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135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6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6.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그림과 같은 인양고리(Lug)의 안전성을 아래의 조건을 활용하여 검토하시오. 인양하중(W) 107 01 t= 50mm 157 288 157 20202330330302 107 , 74, 107 288 [조건] - 강재 규격 : SM275 - 적용 기준 : 강교설계기...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그림과 같은 인양고리(Lug)의 안전성을 아래의 조건을 활용하여 검토하시오. 인양하중(W) 107 01 t= 50mm 157 288 157 20202330330302 107 , 74, 107 288 [조건] - 강재 규격 : SM275 - 적용 기준 : 강교설계기...에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제135회 토목구조기술사  |  2교시 6번  |  그림과 같은 인양고리(Lug)의 안전성을 아래의 조건을 활용하여 검토하시오. 인양하중(W) 107 01 t= 50mm 157 288 157 20202330330302 107 , 74, 107 288 [조건] - 강재 규격 : SM275 - 적용 기준 : 강교설계기...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