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중앙 단면에서 등분포하중(W)에 의해 추가되는 부착(Bonded)강선의 응력과 비부착 (Unbonded) 강선의 응력 3- 1 "채점기준 및 기준답안은 「공공기관의 정보공개에 관한 법률 제9조 제1항 제5호』 에 의거 공개하지 않습니다" 3 교시 기술사 분 야 국...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중앙 단면에서 등분포하중(W)에 의해 추가되는 부착(Bonded)강선의 응력과 비부착 (Unbonded) 강선의 응력 3- 1 "채점기준 및 기준답안은 「공공기관의 정보공개에 관한 법률 제9조 제1항 제5호』 에 의거 공개하지 않습니다" 3 교시 기술사 분 야 국...에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3교시 2번  |  중앙 단면에서 등분포하중(W)에 의해 추가되는 부착(Bonded)강선의 응력과 비부착 (Unbonded) 강선의 응력 3- 1 "채점기준 및 기준답안은 「공공기관의 정보공개에 관한 법률 제9조 제1항 제5호』 에 의거 공개하지 않습니다" 3 교시 기술사 분 야 국...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