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최대 전단 변형률과 요소의 방향 2z -× exdX dx 4- 4 "채점기준 및 기준답안은 「공공기관의 정보공개에 관한 법률 제9조 제1항 제5호』 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최대 전단 변형률과 요소의 방향 2z -× exdX dx 4- 4 "채점기준 및 기준답안은 「공공기관의 정보공개에 관한 법률 제9조 제1항 제5호』 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2번  |  최대 전단 변형률과 요소의 방향 2z -× exdX dx 4- 4 "채점기준 및 기준답안은 「공공기관의 정보공개에 관한 법률 제9조 제1항 제5호』 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