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건설사업정보화(CALS)의 도입 배경과 활용 효과에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건설사업정보화(CALS)의 도입 배경과 활용 효과에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11번  |  건설사업정보화(CALS)의 도입 배경과 활용 효과에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