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건설산업 BIM 시행지침(설계자편, 2022.07)에서 BIM을 활용할 때 다음의 사항들을 설계단계, 시공단계, 유지관리 단계로 구분하여 설명하시오. (1) 개념 및 패러다임 변화 (2) 적용 가능한 기술범위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건설산업 BIM 시행지침(설계자편, 2022.07)에서 BIM을 활용할 때 다음의 사항들을 설계단계, 시공단계, 유지관리 단계로 구분하여 설명하시오. (1) 개념 및 패러다임 변화 (2) 적용 가능한 기술범위에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3교시 4번  |  건설산업 BIM 시행지침(설계자편, 2022.07)에서 BIM을 활용할 때 다음의 사항들을 설계단계, 시공단계, 유지관리 단계로 구분하여 설명하시오. (1) 개념 및 패러다임 변화 (2) 적용 가능한 기술범위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