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스트럿-타이 모델에서 다음 사항에 대하여 설명하시오. (1) 스트럿-타이 모델의 구성요소 (2) 아래 그림과 같은 깊은 보를 스트럿-타이 모델에 의해 설계할 때, 콘크리트 압축경사 스트럿의 안전성과 철근량(As) (단, 압축경사 스트럿의 폭은 460mm로 가정하며...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스트럿-타이 모델에서 다음 사항에 대하여 설명하시오. (1) 스트럿-타이 모델의 구성요소 (2) 아래 그림과 같은 깊은 보를 스트럿-타이 모델에 의해 설계할 때, 콘크리트 압축경사 스트럿의 안전성과 철근량(As) (단, 압축경사 스트럿의 폭은 460mm로 가정하며...에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4번  |  스트럿-타이 모델에서 다음 사항에 대하여 설명하시오. (1) 스트럿-타이 모델의 구성요소 (2) 아래 그림과 같은 깊은 보를 스트럿-타이 모델에 의해 설계할 때, 콘크리트 압축경사 스트럿의 안전성과 철근량(As) (단, 압축경사 스트럿의 폭은 460mm로 가정하며...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