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마찰 손실만을 고려한 강연선의 신장량 3- 3 "채점기준 및 기준답안은 「공공기관의 정보공개에 관한 법률 제9조 제 1항 제5호」 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마찰 손실만을 고려한 강연선의 신장량 3- 3 "채점기준 및 기준답안은 「공공기관의 정보공개에 관한 법률 제9조 제 1항 제5호」 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2번  |  마찰 손실만을 고려한 강연선의 신장량 3- 3 "채점기준 및 기준답안은 「공공기관의 정보공개에 관한 법률 제9조 제 1항 제5호」 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