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어느 지방교량 신설사업에 대한 예비타당성조사 결과가 아래와 같을 때 다음에 대하여 설명하시오. 경제성 분석 자료 총사업비의 현재가치 : 1,800억 원 연간 사회적 편익 : 75억 원 분석 기간 : 20년 정책성•지역균형발전 평가 결과 정책성 : 매우 우수 지역균...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어느 지방교량 신설사업에 대한 예비타당성조사 결과가 아래와 같을 때 다음에 대하여 설명하시오. 경제성 분석 자료 총사업비의 현재가치 : 1,800억 원 연간 사회적 편익 : 75억 원 분석 기간 : 20년 정책성•지역균형발전 평가 결과 정책성 : 매우 우수 지역균...에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3번  |  어느 지방교량 신설사업에 대한 예비타당성조사 결과가 아래와 같을 때 다음에 대하여 설명하시오. 경제성 분석 자료 총사업비의 현재가치 : 1,800억 원 연간 사회적 편익 : 75억 원 분석 기간 : 20년 정책성•지역균형발전 평가 결과 정책성 : 매우 우수 지역균...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