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138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5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5.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그림과 같은 비대칭 I형강의 전단중심(Shear Center)을 구하고, 전단중심의 정의 및 용도에 대하여 설명하시오. (단, 플랜지 폭 bi=100 mm, b2=150 mm이고, 플랜지 중심간거리 h=350 mm이며, 플랜지 및 웨브의 두께 t는 모두 10 mm...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그림과 같은 비대칭 I형강의 전단중심(Shear Center)을 구하고, 전단중심의 정의 및 용도에 대하여 설명하시오. (단, 플랜지 폭 bi=100 mm, b2=150 mm이고, 플랜지 중심간거리 h=350 mm이며, 플랜지 및 웨브의 두께 t는 모두 10 mm...에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제138회 토목구조기술사  |  2교시 5번  |  그림과 같은 비대칭 I형강의 전단중심(Shear Center)을 구하고, 전단중심의 정의 및 용도에 대하여 설명하시오. (단, 플랜지 폭 bi=100 mm, b2=150 mm이고, 플랜지 중심간거리 h=350 mm이며, 플랜지 및 웨브의 두께 t는 모두 10 mm...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