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콘크리트구조 사용성 설계기준(KDS 14 20 30)에 따라 모멘트를 받는 그림과 같은 단면의 평균 균열폭과 최대 균열폭을 구하시오. (단, fa=30 MPa, 1;=400 MPa, 1.0=0.51,=200 MPa(균열단면의 철근력), fce(콘크리트의 유효인장강...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콘크리트구조 사용성 설계기준(KDS 14 20 30)에 따라 모멘트를 받는 그림과 같은 단면의 평균 균열폭과 최대 균열폭을 구하시오. (단, fa=30 MPa, 1;=400 MPa, 1.0=0.51,=200 MPa(균열단면의 철근력), fce(콘크리트의 유효인장강...에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제138회 토목구조기술사  |  3교시 3번  |  콘크리트구조 사용성 설계기준(KDS 14 20 30)에 따라 모멘트를 받는 그림과 같은 단면의 평균 균열폭과 최대 균열폭을 구하시오. (단, fa=30 MPa, 1;=400 MPa, 1.0=0.51,=200 MPa(균열단면의 철근력), fce(콘크리트의 유효인장강...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