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강구조물에서부재의면외좌굴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강구조물에서 부재의 면외좌굴은 횡 방향으로 변형되며 좌굴이 발생하는 현상으로, 설계 시 면외좌굴 안전성 확보가 중요하다.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핵심 원리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설명 및 적용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좌굴 임계강도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부재의 면외좌굴 임계강도는 부재의 단면특성과 지지조건에 따라 결정된다.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단면 2차 모멘트와 길이, 하중의 방향이 중요하다.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지지조건 영향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가로보나 브레이싱 등 지지조건에 따라 면외좌굴 저항이 달라진다.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지점 간 간격과 브레이싱 설치 방식이 좌굴 방지 핵심이다.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면외좌굴 방지를 위해 현장에서는 필수적으로 임시 브레이싱 및 보를 설치한다.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KDS 41 10 00에서 면외좌굴에 대한 검토 및 횡좌굴방지 장치 설계를 강조한다.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면외좌굴 | 횡지지 | 브레이싱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면외좌굴 발생 메커니즘과 실무적 대책을 연계하여 답안에 구체적으로 기술하면 고득점에 유리하다.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5번  |  강구조물에서부재의면외좌굴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