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도로교설계기준(한계상태설계법,2016)에서구조물의여용성,중요도,교량의등급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 2016)은 구조물의 여용성, 중요도, 교량의 등급을 정의하여 설계 시 안전성과 경제성을 동시에 추구한다.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구조물의 여용성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시 사용조건과 내적응력에 따라 허용되는 최대 변형·거동의 기준을 설정한다.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여용성 기준은 사용성, 내구성 확보와, 유지관리 측면에서 중요하다.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교량의 중요도와 등급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교량의 기능, 역할에 따라 등급(KDS 제시)을 구분하여, 설계 하중 및 구조 안전 수준을 차등 적용한다.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주요 교량(1~3등급)은 중요도 계수를 통해 설계기준에 적용된다.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시 여용성 기준을 준수하지 않으면 사용자 불편 및 유지관리 비용이 크게 증가한다.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00 00(교량설계기준)에서는 중요도·등급별 설계기준의 세분화, 그리고 한계상태설계법 적용이 확대되고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여용성 | 중요도 계수 | 교량 등급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등급·중요도의 근거와 여용성 기준 적용 실무 사례를 제시하여, 기준의 논리적 배경과 현장 적용을 명확히 설명하는 답안을 작성한다.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8번  |  도로교설계기준(한계상태설계법,2016)에서구조물의여용성,중요도,교량의등급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