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도로교설계기준(한계상태설계법,2016)의활하중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도로교설계기준(한계상태설계법,2016)의 활하중은 차량 통행에 따른 다양한 동적 하중을 안전하고 효율적으로 반영하기 위한 기준이다. 한계상태설계법은 구조물의 안전성과 사용성을 모두 확보하기 위해 활하중의 조합과 적용방식을 규정한다.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 기준활하중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이중교차로와 일반도로에 적합한 활하중 모델을 제시한다.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 차량, 보행자, 특수하중 등 유형별 모델을 명확히 규정한다.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하중 조합 및 적용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극한상태와 사용상태에 구분하여 하중의 조합 및 계수 적용한다.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설계목적에 따라 하중의 배분 및 조합 방법이 상이하다.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활하중 영향을 고려한 장기적 내구성 검토와 보수 시 하중변화도 반드시 확인한다.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24 00 00 등에서 복합하중과 연속하중 적용 확대, 다양한 하중조합 반영 추세이다.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활하중 | 한계상태설계법 | 설계기준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한계상태설계법의 주요 취지와 실무 적용 기술을 연계하여 구체적 사례와 최신 기준 언급으로 차별화한다.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9번  |  도로교설계기준(한계상태설계법,2016)의활하중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