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120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3</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3.  </w:t>
            </w:r>
            <w:r>
              <w:rPr>
                <w:rFonts w:ascii="Malgun Gothic" w:hAnsi="Malgun Gothic" w:eastAsia="Malgun Gothic"/>
                <w:b/>
                <w:i w:val="0"/>
                <w:color w:val="0D1B2A"/>
                <w:sz w:val="24"/>
              </w:rPr>
              <w:t>3경간연속사장교계획시지형조건에의해중앙경간과측경간의비대칭경간구성일때, 비대칭성을극복할수있는구</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3경간 연속 사장교의 비대칭 경간은 구조적 불리함을 유발하므로, 안정성 확보와 거동 개선을 위한 극복 방안이 필요하다.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핵심 원리</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설명 및 적용</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비대칭 경간 구성</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측경간과 중앙경간의 경간장이 상이.</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지형적‧환경적 제약에 따른 불가피한 경우 많음.</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구조적 영향</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비대칭성은 지점반력, 단면력 편차 유발.</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지점 좌굴 및 주탑 거동에 영향 큼.</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중앙 및 측경간 비율 조정과 주탑 위치, 사장재 배열 최적화가 중요함.</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KDS 24 14 10, 14에서 비대칭 경간 교량의 해석·보강 및 연속화 설계 권장.</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비대칭경간 | 사장교 | 안정성</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비대칭성의 원인, 구조적 거동 변화 및 실효성 있는 극복 대책을 체계적으로 제시한다.</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제120회 토목구조기술사  |  2교시 3번  |  3경간연속사장교계획시지형조건에의해중앙경간과측경간의비대칭경간구성일때, 비대칭성을극복할수있는구</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