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아래그림과같이기둥하단부가힌지로지지된뼈대구조가횡방향변위가발생하면서 좌굴이되는경우의좌굴하중을구</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힌지로 지지된 뼈대구조 기둥의 좌굴하중은 경계조건에 따라 결정되며, 횡변위 발생 시 좌굴해석이 중요하다.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힌지-힌지 경계조건</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기둥 양단이 힌지로 지지되면 유효길이는 전체 길이와 같다.</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좌굴하중 산정 시 유효길이계수(K)=1.0 적용.</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횡방향 변위</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횡방향 변위 발생 시 기둥의 좌굴모드와 좌굴하중이 영향을 받는다.</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강성저하 및 설계상 안전성 확보 필요.</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경간 및 지지조건에 따라 좌굴하중 산정과 보강 설계에 유의해야 한다.</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41 20 00에서 좌굴 설계와 유효길이계수 적용 기준이 강화되고 있다.</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좌굴하중 | 힌지 | 유효길이</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기본 식(Euler) 도출 후 경계조건 해석, 최신 KDS 기준 반영 및 실무적 사례 언급.</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5번  |  아래그림과같이기둥하단부가힌지로지지된뼈대구조가횡방향변위가발생하면서 좌굴이되는경우의좌굴하중을구</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