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강합성박스거더의지점부가다음과같이보강재로보강되어있을때,도로교설계기준 (한계상태설계법,2016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강합성박스거더의 지점부 보강은 국부좌굴과 내하력 확보를 위해 필수적이며, 한계상태설계법(KDS 24 14 10:2016)의 요구조건을 충족해야 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국부좌굴 방지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지점부 판 요소의 국부좌굴 방지를 위해 보강재 배치가 중요하다.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기준에 따라 판폭두께비 및 보강 위치를 검토해야 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내하력 증대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보강재 추가로 단면 내하력이 증진된다.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지점부 단면력 집중에 대응하기 위해 필렛플레이트, 리브 등 적용이 필요하다.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지점부 보강 시 용접부 시공품질과 피로균열 가능성에 유의해야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10 4.3.4 및 보수보강 지침에서 강재 거더의 지점부 보강설계가 집중 강화되고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강합성박스거더 | 지점부 보강 | 한계상태설계법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조항 인용과 실제 보강 상세 예시를 명확히 제시하여 논리적 근거를 강화하라.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6번  |  강합성박스거더의지점부가다음과같이보강재로보강되어있을때,도로교설계기준 (한계상태설계법,2016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