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다음구조계의B에집중하중P가작용시B의수직탄성변위를구하시오. (단,전체부재의탄성계수는 ,부재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집중하중이 작용하는 구조계에서 특정 점(B)의 수직 탄성변위는 단면력-변위 관계와 재료역학 공식을 활용하여 산정한다. 구조물의 지지 조건과 하중 경로 해석이 핵심이다.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핵심 원리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설명 및 적용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단일 혹은 연속 구조계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단부 또는 중간 지점(B)에 하중 작용 특성 파악 필요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지지 조건과 형상에 따라 해석 방식 구분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탄성계수(E)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전 부재 E가 일정하므로 해석이 단순화됨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부재별 탄성계수 차이 없이 공식 적용 가능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부재 연결부 변형, 실제 부재의 좌굴 및 처짐 안전율 고려 필요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KDS 14 20 10 등 구조세장재의 변위 산정 방식이 세분화됨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탄성변위 | 집중하중 | 구조해석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단계별 해석과 함께 단면력 도출 및 대입 과정을 명확히 서술하여 논리적 전개 강조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3교시 4번  |  다음구조계의B에집중하중P가작용시B의수직탄성변위를구하시오. (단,전체부재의탄성계수는 ,부재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