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콘크리트강도에따른응력-변형률곡선계수 ·상승곡선부의형상지수 =2.0·최대응력에처음도달시변형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콘크리트의 응력-변형률 곡선은 강도에 따라 특성이 달라지며, 상승곡선부의 계수와 형상지수는 최대 응력 도달 시의 변형률과 밀접하게 관련된다.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상승곡선부의 계수()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응력-변형률 곡선의 기울기를 결정하는 형상 파라미터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일반적으로 =2.0 값이 구조설계 기준에 사용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최대응력 도달 변형률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콘크리트가 최대 응력에 처음 도달할 때의 변형률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기준에 따라 강도 및 콘크리트 성질로 값이 결정됨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시 콘크리트 강도에 맞는 응력-변형률 곡선 파라미터 적용이 중요하다.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10(2021) 등에서 표준 곡선식 및 형상지수 적용이 강조된다.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응력-변형률곡선 | 상승곡선부형상지수 | 최대변형률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곡선 이론, 기준 적용식과 실무 적용 사례를 연계해 구체적으로 기술할 것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3번  |  콘크리트강도에따른응력-변형률곡선계수 ·상승곡선부의형상지수 =2.0·최대응력에처음도달시변형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