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모멘트재분배후계수휨모멘트 탄성휨모멘트의비율=1.0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모멘트 재분배 후 계수휨모멘트와 탄성휨모멘트의 비율이 1.0이면, 재분배가 일어나지 않은 상태임을 의미한다. 즉, 구조물의 설계가 완전히 탄성해석에 따라 이루어졌음을 뜻한다.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재분배 미실시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모든 단면에 탄성 모멘트값을 그대로 적용한다.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단면의 연성이 부족하거나, 코드에서 재분배 허용하지 않는 상황에 해당.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보수적 설계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부재의 연성 확보 및 과도한 비탄성 거동 방지 목적.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구조적 안전 확보에 중점을 두는 설계방식.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특정 단면에 재분배 적용이 위험할 때 반드시 비율을 1.0으로 두어야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00에서 연성 및 설계요건 충족시 재분배 허용범위 명시.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모멘트 재분배 | 탄성모멘트 | 연성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비탄성 설계와 비교 및 재분배 허용 한계 상황 제시를 통해 구조적 맥락을 강조한다.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4번  |  모멘트재분배후계수휨모멘트 탄성휨모멘트의비율=1.0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