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120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1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3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3.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제출형 검증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답안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(Answer)</w:t>
            </w:r>
          </w:p>
        </w:tc>
      </w:tr>
    </w:tbl>
    <w:p>
      <w:pPr>
        <w:spacing w:before="0" w:after="40" w:line="312" w:lineRule="auto"/>
        <w:ind w:left="454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1) 정의: 대상 공법의 적용 목적과 범위를 제시한다.`n2) 메커니즘: 하중 전달 및 저항 경로를 단계적으로 설명한다.`n3) 기준 검토: KDS 근거와 판정 기준을 명시한다.`n4) 결론: 시공성/유지관리 관점의 권고안을 제시한다.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도해·표·그래프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(Visual Assets for Submission)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[표] 대안 비교표: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의사결정</w:t>
      </w:r>
    </w:p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984"/>
        <w:gridCol w:w="2835"/>
        <w:gridCol w:w="4337"/>
      </w:tblGrid>
      <w:tr>
        <w:tc>
          <w:tcPr>
            <w:tcW w:w="1984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비교항목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A</w:t>
            </w:r>
          </w:p>
        </w:tc>
        <w:tc>
          <w:tcPr>
            <w:tcW w:w="4337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대안 B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안전성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기준 만족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보강 필요</w:t>
            </w:r>
          </w:p>
        </w:tc>
      </w:tr>
      <w:tr>
        <w:tc>
          <w:tcPr>
            <w:tcW w:w="1984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시공성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보통</w:t>
            </w:r>
          </w:p>
        </w:tc>
        <w:tc>
          <w:tcPr>
            <w:tcW w:w="4337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우수</w:t>
            </w:r>
          </w:p>
        </w:tc>
      </w:tr>
      <w:tr>
        <w:tc>
          <w:tcPr>
            <w:tcW w:w="1984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경제성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초기비용 낮음</w:t>
            </w:r>
          </w:p>
        </w:tc>
        <w:tc>
          <w:tcPr>
            <w:tcW w:w="4337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유지관리비 낮음</w:t>
            </w:r>
          </w:p>
        </w:tc>
      </w:tr>
    </w:tbl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근거 제시</w:t>
      </w:r>
    </w:p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[DIAGRAM] 메커니즘 도해: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목적: 경로 시각화</w:t>
      </w:r>
    </w:p>
    <w:p>
      <w:r>
        <w:drawing>
          <wp:inline xmlns:a="http://schemas.openxmlformats.org/drawingml/2006/main" xmlns:pic="http://schemas.openxmlformats.org/drawingml/2006/picture">
            <wp:extent cx="5580000" cy="26866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sual_2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866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하중→저항</w:t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채점 포인트: 가독성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