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0" w:space="0" w:color="auto"/>
        </w:tblBorders>
      </w:tblPr>
      <w:tblGrid>
        <w:gridCol w:w="3213"/>
        <w:gridCol w:w="3213"/>
        <w:gridCol w:w="3213"/>
      </w:tblGrid>
      <w:tr>
        <w:trPr>
          <w:trHeight w:val="680" w:hRule="exact"/>
        </w:trPr>
        <w:tc>
          <w:tcPr>
            <w:tcW w:type="dxa" w:w="9639"/>
            <w:gridSpan w:val="3"/>
            <w:shd w:fill="1B2A4A" w:val="clear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81" w:hRule="exact"/>
        </w:trPr>
        <w:tc>
          <w:tcPr>
            <w:tcW w:type="dxa" w:w="3213"/>
            <w:shd w:fill="E8ECF2" w:val="clear"/>
            <w:tcMar>
              <w:top w:w="40" w:type="dxa"/>
              <w:bottom w:w="4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type="dxa" w:w="3213"/>
            <w:shd w:fill="E8ECF2" w:val="clear"/>
            <w:tcMar>
              <w:top w:w="40" w:type="dxa"/>
              <w:bottom w:w="4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type="dxa" w:w="3213"/>
            <w:shd w:fill="E8ECF2" w:val="clear"/>
            <w:tcMar>
              <w:top w:w="40" w:type="dxa"/>
              <w:bottom w:w="4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67" w:hRule="exact"/>
        </w:trPr>
        <w:tc>
          <w:tcPr>
            <w:tcW w:type="dxa" w:w="9639"/>
            <w:gridSpan w:val="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보의 응력 교란구역 (D-Region)</w:t>
            </w:r>
          </w:p>
        </w:tc>
      </w:tr>
    </w:tbl>
    <w:p>
      <w:pPr>
        <w:spacing w:after="120"/>
      </w:pPr>
    </w:p>
    <w:tbl>
      <w:tblPr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510"/>
            <w:shd w:fill="1B2A4A" w:val="clear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20" w:type="dxa"/>
              <w:right w:w="6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(Definition &amp; Bernoulli Hypothesis)</w:t>
            </w:r>
          </w:p>
        </w:tc>
      </w:tr>
    </w:tbl>
    <w:p>
      <w:pPr>
        <w:spacing w:before="20" w:after="20" w:line="312" w:lineRule="auto"/>
        <w:ind w:left="283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개념: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680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베르누이의 평면유지 가설(Bernoulli Hypothesis)이 성립하지 않는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비선형 변형률 분포 구간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83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발생: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680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하중의 집중(Statical) 또는 형상의 급변(Geometric)으로 응력 흐름이 교란됨.</w:t>
      </w:r>
    </w:p>
    <w:p>
      <w:pPr>
        <w:spacing w:before="20" w:after="20" w:line="312" w:lineRule="auto"/>
        <w:ind w:left="283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설계: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80" w:line="312" w:lineRule="auto"/>
        <w:ind w:left="680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일반 휨 이론 적용 불가 → </w:t>
      </w:r>
      <w:r>
        <w:rPr>
          <w:rFonts w:ascii="Malgun Gothic" w:hAnsi="Malgun Gothic" w:eastAsia="Malgun Gothic"/>
          <w:b/>
          <w:i w:val="0"/>
          <w:color w:val="1B2A4A"/>
          <w:sz w:val="20"/>
        </w:rPr>
        <w:t>STM(Strut-and-Tie Model) 설계 필수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120" w:after="0" w:line="276" w:lineRule="auto"/>
      </w:pPr>
    </w:p>
    <w:tbl>
      <w:tblPr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510"/>
            <w:shd w:fill="1B2A4A" w:val="clear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20" w:type="dxa"/>
              <w:right w:w="6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D-Region의 발생 원인 및 범위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(Saint-Venant's Principle)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4750" w:type="pct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type="dxa" w:w="3213"/>
            <w:shd w:fill="1B2A4A" w:val="clear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원 인</w:t>
            </w:r>
          </w:p>
        </w:tc>
        <w:tc>
          <w:tcPr>
            <w:tcW w:type="dxa" w:w="3213"/>
            <w:shd w:fill="1B2A4A" w:val="clear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사 례</w:t>
            </w:r>
          </w:p>
        </w:tc>
      </w:tr>
      <w:tr>
        <w:tc>
          <w:tcPr>
            <w:tcW w:type="dxa" w:w="3213"/>
            <w:shd w:fill="F2F4F8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기하학적 불연속</w:t>
              <w:br/>
              <w:t>(Geometric)</w:t>
            </w:r>
          </w:p>
        </w:tc>
        <w:tc>
          <w:tcPr>
            <w:tcW w:type="dxa" w:w="3213"/>
            <w:shd w:fill="F2F4F8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형상의 급변</w:t>
            </w:r>
          </w:p>
        </w:tc>
        <w:tc>
          <w:tcPr>
            <w:tcW w:type="dxa" w:w="3213"/>
            <w:shd w:fill="F2F4F8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개구부, 댑트 보(Dapped-end),</w:t>
              <w:br/>
              <w:t>단면 급변부</w:t>
            </w:r>
          </w:p>
        </w:tc>
      </w:tr>
      <w:tr>
        <w:tc>
          <w:tcPr>
            <w:tcW w:type="dxa" w:w="3213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하중 불연속</w:t>
              <w:br/>
              <w:t>(Statical)</w:t>
            </w:r>
          </w:p>
        </w:tc>
        <w:tc>
          <w:tcPr>
            <w:tcW w:type="dxa" w:w="3213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하중의 집중</w:t>
            </w:r>
          </w:p>
        </w:tc>
        <w:tc>
          <w:tcPr>
            <w:tcW w:type="dxa" w:w="3213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집중하중 작용점,</w:t>
              <w:br/>
              <w:t>지점 반력 작용부</w:t>
            </w:r>
          </w:p>
        </w:tc>
      </w:tr>
      <w:tr>
        <w:tc>
          <w:tcPr>
            <w:tcW w:type="dxa" w:w="3213"/>
            <w:shd w:fill="F2F4F8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범위 산정</w:t>
              <w:br/>
              <w:t>(Range)</w:t>
            </w:r>
          </w:p>
        </w:tc>
        <w:tc>
          <w:tcPr>
            <w:tcW w:type="dxa" w:w="3213"/>
            <w:shd w:fill="F2F4F8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Saint-Venant 원리</w:t>
            </w:r>
          </w:p>
        </w:tc>
        <w:tc>
          <w:tcPr>
            <w:tcW w:type="dxa" w:w="3213"/>
            <w:shd w:fill="F2F4F8" w:val="clear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불연속점으로부터</w:t>
              <w:br/>
              <w:t>부재 깊이(h) 이내</w:t>
            </w:r>
          </w:p>
        </w:tc>
      </w:tr>
    </w:tbl>
    <w:p>
      <w:pPr>
        <w:spacing w:before="120" w:after="0" w:line="276" w:lineRule="auto"/>
      </w:pPr>
    </w:p>
    <w:tbl>
      <w:tblPr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510"/>
            <w:shd w:fill="1B2A4A" w:val="clear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20" w:type="dxa"/>
              <w:right w:w="6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실전 삽도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(Hand-drawable Sketch for Exam)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4750" w:type="pct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>📝 시험장 드로잉 전략</w:t>
            </w:r>
          </w:p>
          <w:p>
            <w:pPr>
              <w:spacing w:before="40" w:after="0" w:line="312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 xml:space="preserve">  1. 단순보 외곽선을 그린다.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 xml:space="preserve">  2. 집중하중 P와 지점부 R을 표시한다.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 xml:space="preserve">  3. 각 작용점으로부터 수평거리 h만큼을 점선으로 구획한다.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 xml:space="preserve">  4. 구획된 영역에 'D-Region', 그 외 영역에 'B-Region'을 명기한다.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br/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 xml:space="preserve">  5. D-Region 내부에 Strut(압축대)를 대각선으로 그려 넣는다.</w:t>
            </w:r>
          </w:p>
        </w:tc>
      </w:tr>
    </w:tbl>
    <w:p>
      <w:pPr>
        <w:spacing w:before="8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42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val="396" w:hRule="exact"/>
        </w:trPr>
        <w:tc>
          <w:tcPr>
            <w:tcW w:type="dxa" w:w="1928"/>
            <w:vAlign w:val="bottom"/>
            <w:tcMar>
              <w:top w:w="0" w:type="dxa"/>
              <w:bottom w:w="0" w:type="dxa"/>
              <w:left w:w="20" w:type="dxa"/>
              <w:right w:w="20" w:type="dxa"/>
            </w:tcMar>
          </w:tcPr>
          <w:p/>
        </w:tc>
        <w:tc>
          <w:tcPr>
            <w:tcW w:type="dxa" w:w="5784"/>
            <w:vAlign w:val="bottom"/>
            <w:gridSpan w:val="3"/>
            <w:tcMar>
              <w:top w:w="0" w:type="dxa"/>
              <w:bottom w:w="0" w:type="dxa"/>
              <w:left w:w="20" w:type="dxa"/>
              <w:right w:w="2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0392B"/>
                <w:sz w:val="18"/>
              </w:rPr>
              <w:t>P (집중하중)</w:t>
            </w:r>
          </w:p>
        </w:tc>
        <w:tc>
          <w:tcPr>
            <w:tcW w:type="dxa" w:w="1928"/>
            <w:vAlign w:val="bottom"/>
            <w:tcMar>
              <w:top w:w="0" w:type="dxa"/>
              <w:bottom w:w="0" w:type="dxa"/>
              <w:left w:w="20" w:type="dxa"/>
              <w:right w:w="20" w:type="dxa"/>
            </w:tcMar>
          </w:tcPr>
          <w:p/>
        </w:tc>
      </w:tr>
      <w:tr>
        <w:trPr>
          <w:trHeight w:val="226" w:hRule="exact"/>
        </w:trPr>
        <w:tc>
          <w:tcPr>
            <w:tcW w:type="dxa" w:w="1928"/>
          </w:tcPr>
          <w:p/>
        </w:tc>
        <w:tc>
          <w:tcPr>
            <w:tcW w:type="dxa" w:w="5784"/>
            <w:gridSpan w:val="3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0392B"/>
                <w:sz w:val="28"/>
              </w:rPr>
              <w:t>▼</w:t>
            </w:r>
          </w:p>
        </w:tc>
        <w:tc>
          <w:tcPr>
            <w:tcW w:type="dxa" w:w="1928"/>
          </w:tcPr>
          <w:p/>
        </w:tc>
      </w:tr>
      <w:tr>
        <w:trPr>
          <w:trHeight w:val="850" w:hRule="exact"/>
        </w:trPr>
        <w:tc>
          <w:tcPr>
            <w:tcW w:type="dxa" w:w="3856"/>
            <w:gridSpan w:val="2"/>
            <w:shd w:fill="DCEEFB" w:val="clear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  <w:tcBorders>
              <w:top w:val="single" w:sz="12" w:space="0" w:color="1B2A4A"/>
              <w:bottom w:val="single" w:sz="12" w:space="0" w:color="1B2A4A"/>
              <w:left w:val="single" w:sz="12" w:space="0" w:color="1B2A4A"/>
              <w:right w:val="dashed" w:sz="6" w:space="0" w:color="4A6FA5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D-Region</w:t>
              <w:br/>
              <w:t>(D1)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/>
                <w:color w:val="4A6FA5"/>
                <w:sz w:val="15"/>
              </w:rPr>
              <w:t>비선형 응력</w:t>
            </w:r>
          </w:p>
        </w:tc>
        <w:tc>
          <w:tcPr>
            <w:tcW w:type="dxa" w:w="1928"/>
            <w:shd w:fill="F7F9FC" w:val="clear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  <w:tcBorders>
              <w:top w:val="single" w:sz="12" w:space="0" w:color="1B2A4A"/>
              <w:bottom w:val="single" w:sz="12" w:space="0" w:color="1B2A4A"/>
              <w:left w:val="dashed" w:sz="6" w:space="0" w:color="4A6FA5"/>
              <w:right w:val="dashed" w:sz="6" w:space="0" w:color="4A6FA5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B-Region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/>
                <w:color w:val="666666"/>
                <w:sz w:val="15"/>
              </w:rPr>
              <w:t>선형 응력</w:t>
              <w:br/>
              <w:t>(평면유지)</w:t>
            </w:r>
          </w:p>
        </w:tc>
        <w:tc>
          <w:tcPr>
            <w:tcW w:type="dxa" w:w="3856"/>
            <w:gridSpan w:val="2"/>
            <w:shd w:fill="DCEEFB" w:val="clear"/>
            <w:tcMar>
              <w:top w:w="30" w:type="dxa"/>
              <w:bottom w:w="30" w:type="dxa"/>
              <w:left w:w="40" w:type="dxa"/>
              <w:right w:w="40" w:type="dxa"/>
            </w:tcMar>
            <w:vAlign w:val="center"/>
            <w:tcBorders>
              <w:top w:val="single" w:sz="12" w:space="0" w:color="1B2A4A"/>
              <w:bottom w:val="single" w:sz="12" w:space="0" w:color="1B2A4A"/>
              <w:left w:val="dashed" w:sz="6" w:space="0" w:color="4A6FA5"/>
              <w:right w:val="single" w:sz="12" w:space="0" w:color="1B2A4A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D-Region</w:t>
              <w:br/>
              <w:t>(D2)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/>
                <w:color w:val="4A6FA5"/>
                <w:sz w:val="15"/>
              </w:rPr>
              <w:t>비선형 응력</w:t>
            </w:r>
          </w:p>
        </w:tc>
      </w:tr>
      <w:tr>
        <w:trPr>
          <w:trHeight w:val="283" w:hRule="exact"/>
        </w:trPr>
        <w:tc>
          <w:tcPr>
            <w:tcW w:type="dxa" w:w="1928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D1B2A"/>
                <w:sz w:val="28"/>
              </w:rPr>
              <w:t>▲</w:t>
            </w:r>
          </w:p>
        </w:tc>
        <w:tc>
          <w:tcPr>
            <w:tcW w:type="dxa" w:w="1928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/>
        </w:tc>
        <w:tc>
          <w:tcPr>
            <w:tcW w:type="dxa" w:w="1928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/>
        </w:tc>
        <w:tc>
          <w:tcPr>
            <w:tcW w:type="dxa" w:w="1928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/>
        </w:tc>
        <w:tc>
          <w:tcPr>
            <w:tcW w:type="dxa" w:w="1928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D1B2A"/>
                <w:sz w:val="28"/>
              </w:rPr>
              <w:t>▲</w:t>
            </w:r>
          </w:p>
        </w:tc>
      </w:tr>
      <w:tr>
        <w:trPr>
          <w:trHeight w:val="340" w:hRule="exact"/>
        </w:trPr>
        <w:tc>
          <w:tcPr>
            <w:tcW w:type="dxa" w:w="1928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666666"/>
                <w:sz w:val="16"/>
              </w:rPr>
              <w:t>지점 R₁</w:t>
            </w:r>
          </w:p>
        </w:tc>
        <w:tc>
          <w:tcPr>
            <w:tcW w:type="dxa" w:w="5784"/>
            <w:gridSpan w:val="3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4A6FA5"/>
                <w:sz w:val="16"/>
              </w:rPr>
              <w:t>│← h →│← B-Region →│← h →│</w:t>
            </w:r>
          </w:p>
        </w:tc>
        <w:tc>
          <w:tcPr>
            <w:tcW w:type="dxa" w:w="1928"/>
            <w:tcMar>
              <w:top w:w="0" w:type="dxa"/>
              <w:bottom w:w="0" w:type="dxa"/>
              <w:left w:w="20" w:type="dxa"/>
              <w:right w:w="2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666666"/>
                <w:sz w:val="16"/>
              </w:rPr>
              <w:t>지점 R₂</w:t>
            </w:r>
          </w:p>
        </w:tc>
      </w:tr>
    </w:tbl>
    <w:p>
      <w:pPr>
        <w:spacing w:before="40" w:after="40" w:line="240" w:lineRule="auto"/>
        <w:jc w:val="right"/>
      </w:pPr>
      <w:r>
        <w:rPr>
          <w:rFonts w:ascii="Malgun Gothic" w:hAnsi="Malgun Gothic" w:eastAsia="Malgun Gothic"/>
          <w:b w:val="0"/>
          <w:i/>
          <w:color w:val="666666"/>
          <w:sz w:val="16"/>
        </w:rPr>
        <w:t>※ h = 부재 깊이(Depth)  |  D = Disturbed  |  B = Bernoulli(건전구역)</w:t>
      </w:r>
    </w:p>
    <w:p>
      <w:pPr>
        <w:spacing w:before="120" w:after="0" w:line="276" w:lineRule="auto"/>
      </w:pPr>
    </w:p>
    <w:tbl>
      <w:tblPr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510"/>
            <w:shd w:fill="1B2A4A" w:val="clear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20" w:type="dxa"/>
              <w:right w:w="6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STM 설계 메커니즘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(Strut-and-Tie Model / KDS 14 20:2024)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4750" w:type="pct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2A4A" w:val="clear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구성요소</w:t>
            </w:r>
          </w:p>
        </w:tc>
        <w:tc>
          <w:tcPr>
            <w:tcW w:type="dxa" w:w="2409"/>
            <w:shd w:fill="1B2A4A" w:val="clear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역 할</w:t>
            </w:r>
          </w:p>
        </w:tc>
        <w:tc>
          <w:tcPr>
            <w:tcW w:type="dxa" w:w="2409"/>
            <w:shd w:fill="1B2A4A" w:val="clear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설계 핵심</w:t>
            </w:r>
          </w:p>
        </w:tc>
        <w:tc>
          <w:tcPr>
            <w:tcW w:type="dxa" w:w="2409"/>
            <w:shd w:fill="1B2A4A" w:val="clear"/>
            <w:tcMar>
              <w:top w:w="50" w:type="dxa"/>
              <w:bottom w:w="5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Node 유형</w:t>
            </w:r>
          </w:p>
        </w:tc>
      </w:tr>
      <w:tr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Strut</w:t>
              <w:br/>
              <w:t>(압축대)</w:t>
            </w:r>
          </w:p>
        </w:tc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콘크리트 압축 응력장</w:t>
              <w:br/>
              <w:t>하중→절점 전달</w:t>
            </w:r>
          </w:p>
        </w:tc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유효 압축 강도 검토</w:t>
              <w:br/>
              <w:t>(Bottle/Prismatic형)</w:t>
            </w:r>
          </w:p>
        </w:tc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2409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Tie</w:t>
              <w:br/>
              <w:t>(인장재)</w:t>
            </w:r>
          </w:p>
        </w:tc>
        <w:tc>
          <w:tcPr>
            <w:tcW w:type="dxa" w:w="2409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철근의 인장 응력 수용</w:t>
              <w:br/>
              <w:t>및 정착</w:t>
            </w:r>
          </w:p>
        </w:tc>
        <w:tc>
          <w:tcPr>
            <w:tcW w:type="dxa" w:w="2409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항복 강도 확보</w:t>
              <w:br/>
              <w:t>정착 길이 검토</w:t>
            </w:r>
          </w:p>
        </w:tc>
        <w:tc>
          <w:tcPr>
            <w:tcW w:type="dxa" w:w="2409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—</w:t>
            </w:r>
          </w:p>
        </w:tc>
      </w:tr>
      <w:tr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Node</w:t>
              <w:br/>
              <w:t>(절점)</w:t>
            </w:r>
          </w:p>
        </w:tc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Strut+Tie 교차부</w:t>
              <w:br/>
              <w:t>하중 평형 구역</w:t>
            </w:r>
          </w:p>
        </w:tc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지압 강도 검토</w:t>
              <w:br/>
              <w:t>정착 상세 확보</w:t>
            </w:r>
          </w:p>
        </w:tc>
        <w:tc>
          <w:tcPr>
            <w:tcW w:type="dxa" w:w="2409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7"/>
              </w:rPr>
              <w:t>CCC, CCT,</w:t>
              <w:br/>
              <w:t>CTT</w:t>
            </w:r>
          </w:p>
        </w:tc>
      </w:tr>
    </w:tbl>
    <w:p>
      <w:pPr>
        <w:spacing w:before="80" w:after="40" w:line="312" w:lineRule="auto"/>
        <w:ind w:left="283"/>
      </w:pP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▶ 설계 핵심: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하중 경로(Load Path) 시각화 및 절점부 지압/정착 상세 검토 (KDS 14 20:2024 준수)</w:t>
      </w:r>
    </w:p>
    <w:p>
      <w:pPr>
        <w:spacing w:before="120" w:after="0" w:line="276" w:lineRule="auto"/>
      </w:pPr>
    </w:p>
    <w:tbl>
      <w:tblPr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510"/>
            <w:shd w:fill="1B2A4A" w:val="clear"/>
            <w:vAlign w:val="cente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20" w:type="dxa"/>
              <w:right w:w="6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4750" w:type="pct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D-Region 설계 실패는 대개 '철근의 정착' 및 '절점부의 압축 압쇄'에서 기인함.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전단 설계 시 단순 Vc+Vs 식에 의존하지 말고, STM을 통한 하중의 물리적 거동 파악이 기술사의 핵심 역량임.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2024 KDS 기준은 복잡한 불연속 구간에서 STM 설계를 원칙으로 하며, 특히 절점 상세 설계(Detailing)를 강조함.</w:t>
            </w:r>
          </w:p>
        </w:tc>
      </w:tr>
    </w:tbl>
    <w:p>
      <w:pPr>
        <w:spacing w:before="1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2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2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50" w:type="dxa"/>
              <w:bottom w:w="5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4819"/>
        <w:gridCol w:w="4819"/>
      </w:tblGrid>
      <w:tr>
        <w:tc>
          <w:tcPr>
            <w:tcW w:type="dxa" w:w="1701"/>
            <w:shd w:fill="FFF3E0" w:val="clear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8"/>
              </w:rPr>
              <w:t>핵심 키워드</w:t>
            </w:r>
          </w:p>
        </w:tc>
        <w:tc>
          <w:tcPr>
            <w:tcW w:type="dxa" w:w="4819"/>
            <w:shd w:fill="FFF8E1" w:val="clear"/>
            <w:tcMar>
              <w:top w:w="50" w:type="dxa"/>
              <w:bottom w:w="50" w:type="dxa"/>
              <w:left w:w="100" w:type="dxa"/>
              <w:right w:w="8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Saint-Venant's Principle  |  STM (Strut-and-Tie Model)  |  Bernoulli Hypothesis  |  h (Depth)</w:t>
            </w:r>
          </w:p>
        </w:tc>
      </w:tr>
      <w:tr>
        <w:tc>
          <w:tcPr>
            <w:tcW w:type="dxa" w:w="1701"/>
            <w:shd w:fill="FFF3E0" w:val="clear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8"/>
              </w:rPr>
              <w:t>반드시 포함</w:t>
            </w:r>
          </w:p>
        </w:tc>
        <w:tc>
          <w:tcPr>
            <w:tcW w:type="dxa" w:w="4819"/>
            <w:shd w:fill="FFFFFF" w:val="clear"/>
            <w:tcMar>
              <w:top w:w="50" w:type="dxa"/>
              <w:bottom w:w="50" w:type="dxa"/>
              <w:left w:w="100" w:type="dxa"/>
              <w:right w:w="8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평면유지 가설 파괴 개념  ② D-Region 범위 설정 기준 (부재깊이 h)  ③ STM 구성요소 및 설계 핵심</w:t>
            </w:r>
          </w:p>
        </w:tc>
      </w:tr>
      <w:tr>
        <w:tc>
          <w:tcPr>
            <w:tcW w:type="dxa" w:w="1701"/>
            <w:shd w:fill="FFF3E0" w:val="clear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8"/>
              </w:rPr>
              <w:t>유사 기출문제</w:t>
            </w:r>
          </w:p>
        </w:tc>
        <w:tc>
          <w:tcPr>
            <w:tcW w:type="dxa" w:w="4819"/>
            <w:shd w:fill="FFF8E1" w:val="clear"/>
            <w:tcMar>
              <w:top w:w="50" w:type="dxa"/>
              <w:bottom w:w="50" w:type="dxa"/>
              <w:left w:w="100" w:type="dxa"/>
              <w:right w:w="8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108회 1-5 (개구부 설계)  • 125회 2-3 (댑트 보 계산)  • 132회 1-8 (지압 설계)</w:t>
            </w:r>
          </w:p>
        </w:tc>
      </w:tr>
      <w:tr>
        <w:tc>
          <w:tcPr>
            <w:tcW w:type="dxa" w:w="1701"/>
            <w:shd w:fill="FFF3E0" w:val="clear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8"/>
              </w:rPr>
              <w:t>합격 포인트</w:t>
            </w:r>
          </w:p>
        </w:tc>
        <w:tc>
          <w:tcPr>
            <w:tcW w:type="dxa" w:w="4819"/>
            <w:shd w:fill="FFFFFF" w:val="clear"/>
            <w:tcMar>
              <w:top w:w="50" w:type="dxa"/>
              <w:bottom w:w="50" w:type="dxa"/>
              <w:left w:w="100" w:type="dxa"/>
              <w:right w:w="8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단순 암기 답안이 아닌, '하중 경로(Load Path)'의 이해를 보여주는 삽도 배치가 당락을 결정함.</w:t>
            </w:r>
          </w:p>
        </w:tc>
      </w:tr>
    </w:tbl>
    <w:p>
      <w:pPr>
        <w:spacing w:before="2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8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1번  |  D-Region &amp; STM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