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17950" w14:textId="1A9B7DEB" w:rsidR="00A503EC" w:rsidRDefault="00F30256" w:rsidP="009A396F">
      <w:pPr>
        <w:pStyle w:val="Title"/>
      </w:pPr>
      <w:r>
        <w:t>Xero MCP Learnings 27 August 2025</w:t>
      </w:r>
    </w:p>
    <w:p w14:paraId="327BE3A0" w14:textId="77777777" w:rsidR="009A396F" w:rsidRDefault="009A396F"/>
    <w:p w14:paraId="1EA2B0A1" w14:textId="443EA63A" w:rsidR="00F30256" w:rsidRDefault="00F30256" w:rsidP="009A396F">
      <w:pPr>
        <w:pStyle w:val="Heading1"/>
      </w:pPr>
      <w:r>
        <w:t>Architecture</w:t>
      </w:r>
      <w:r>
        <w:br/>
      </w:r>
    </w:p>
    <w:p w14:paraId="5E480793" w14:textId="54409B46" w:rsidR="00F30256" w:rsidRDefault="00F30256" w:rsidP="00F30256">
      <w:pPr>
        <w:pStyle w:val="ListParagraph"/>
        <w:numPr>
          <w:ilvl w:val="0"/>
          <w:numId w:val="1"/>
        </w:numPr>
      </w:pPr>
      <w:r>
        <w:t>Run the API first</w:t>
      </w:r>
    </w:p>
    <w:p w14:paraId="7A488331" w14:textId="5DDB0F0C" w:rsidR="00F30256" w:rsidRDefault="00F30256" w:rsidP="00F30256">
      <w:pPr>
        <w:pStyle w:val="ListParagraph"/>
        <w:numPr>
          <w:ilvl w:val="0"/>
          <w:numId w:val="1"/>
        </w:numPr>
      </w:pPr>
      <w:r>
        <w:t>This establishes OAuth</w:t>
      </w:r>
    </w:p>
    <w:p w14:paraId="3C8078A2" w14:textId="6C04D3B5" w:rsidR="00F30256" w:rsidRDefault="00F30256" w:rsidP="00F30256">
      <w:pPr>
        <w:pStyle w:val="ListParagraph"/>
        <w:numPr>
          <w:ilvl w:val="0"/>
          <w:numId w:val="1"/>
        </w:numPr>
      </w:pPr>
      <w:r>
        <w:t>Followed by Company selection for 30 minutes</w:t>
      </w:r>
    </w:p>
    <w:p w14:paraId="40A11385" w14:textId="77777777" w:rsidR="00F30256" w:rsidRDefault="00F30256" w:rsidP="00F30256">
      <w:pPr>
        <w:pStyle w:val="ListParagraph"/>
      </w:pPr>
    </w:p>
    <w:p w14:paraId="38404A26" w14:textId="7ED15B1B" w:rsidR="00F30256" w:rsidRDefault="00F30256" w:rsidP="00F30256">
      <w:pPr>
        <w:pStyle w:val="ListParagraph"/>
      </w:pPr>
      <w:r>
        <w:t xml:space="preserve">Then via Claude Desktop </w:t>
      </w:r>
    </w:p>
    <w:p w14:paraId="2C7AD1DA" w14:textId="0E506305" w:rsidR="00F30256" w:rsidRDefault="00F30256" w:rsidP="00F30256">
      <w:pPr>
        <w:pStyle w:val="ListParagraph"/>
        <w:numPr>
          <w:ilvl w:val="0"/>
          <w:numId w:val="1"/>
        </w:numPr>
      </w:pPr>
      <w:r>
        <w:t>CD utilises (1,2,3) to connect MCP</w:t>
      </w:r>
    </w:p>
    <w:p w14:paraId="64946AA3" w14:textId="722D15C9" w:rsidR="00F30256" w:rsidRDefault="00F30256" w:rsidP="00F30256">
      <w:pPr>
        <w:pStyle w:val="ListParagraph"/>
        <w:numPr>
          <w:ilvl w:val="0"/>
          <w:numId w:val="1"/>
        </w:numPr>
      </w:pPr>
      <w:r>
        <w:t>Then ask your questions</w:t>
      </w:r>
    </w:p>
    <w:p w14:paraId="0FC42C59" w14:textId="4F06928B" w:rsidR="00F30256" w:rsidRPr="00EC4975" w:rsidRDefault="00F30256" w:rsidP="009A396F">
      <w:pPr>
        <w:ind w:left="720"/>
        <w:rPr>
          <w:sz w:val="12"/>
          <w:szCs w:val="12"/>
        </w:rPr>
      </w:pPr>
      <w:r w:rsidRPr="00EC4975">
        <w:rPr>
          <w:sz w:val="12"/>
          <w:szCs w:val="12"/>
        </w:rPr>
        <w:t xml:space="preserve">Questions require queries to be </w:t>
      </w:r>
      <w:r w:rsidR="009A396F" w:rsidRPr="00EC4975">
        <w:rPr>
          <w:sz w:val="12"/>
          <w:szCs w:val="12"/>
        </w:rPr>
        <w:t xml:space="preserve">prebuilt that </w:t>
      </w:r>
      <w:r w:rsidRPr="00EC4975">
        <w:rPr>
          <w:sz w:val="12"/>
          <w:szCs w:val="12"/>
        </w:rPr>
        <w:t>MCP</w:t>
      </w:r>
      <w:r w:rsidR="009A396F" w:rsidRPr="00EC4975">
        <w:rPr>
          <w:sz w:val="12"/>
          <w:szCs w:val="12"/>
        </w:rPr>
        <w:t xml:space="preserve"> runs t</w:t>
      </w:r>
      <w:r w:rsidRPr="00EC4975">
        <w:rPr>
          <w:sz w:val="12"/>
          <w:szCs w:val="12"/>
        </w:rPr>
        <w:t>o pull the data</w:t>
      </w:r>
      <w:r w:rsidR="009A396F" w:rsidRPr="00EC4975">
        <w:rPr>
          <w:sz w:val="12"/>
          <w:szCs w:val="12"/>
        </w:rPr>
        <w:t xml:space="preserve"> for</w:t>
      </w:r>
      <w:r w:rsidRPr="00EC4975">
        <w:rPr>
          <w:sz w:val="12"/>
          <w:szCs w:val="12"/>
        </w:rPr>
        <w:t xml:space="preserve"> analys</w:t>
      </w:r>
      <w:r w:rsidR="009A396F" w:rsidRPr="00EC4975">
        <w:rPr>
          <w:sz w:val="12"/>
          <w:szCs w:val="12"/>
        </w:rPr>
        <w:t xml:space="preserve">is. </w:t>
      </w:r>
      <w:r w:rsidRPr="00EC4975">
        <w:rPr>
          <w:sz w:val="12"/>
          <w:szCs w:val="12"/>
        </w:rPr>
        <w:t xml:space="preserve">There is no limitation to creating </w:t>
      </w:r>
      <w:r w:rsidR="00EC4975" w:rsidRPr="00EC4975">
        <w:rPr>
          <w:sz w:val="12"/>
          <w:szCs w:val="12"/>
        </w:rPr>
        <w:t>queries,</w:t>
      </w:r>
      <w:r w:rsidRPr="00EC4975">
        <w:rPr>
          <w:sz w:val="12"/>
          <w:szCs w:val="12"/>
        </w:rPr>
        <w:t xml:space="preserve"> but it makes sense t</w:t>
      </w:r>
      <w:r w:rsidR="009A396F" w:rsidRPr="00EC4975">
        <w:rPr>
          <w:sz w:val="12"/>
          <w:szCs w:val="12"/>
        </w:rPr>
        <w:t xml:space="preserve">o anticipate the </w:t>
      </w:r>
      <w:r w:rsidRPr="00EC4975">
        <w:rPr>
          <w:sz w:val="12"/>
          <w:szCs w:val="12"/>
        </w:rPr>
        <w:t xml:space="preserve">main queries </w:t>
      </w:r>
      <w:r w:rsidR="00EC4975" w:rsidRPr="00EC4975">
        <w:rPr>
          <w:sz w:val="12"/>
          <w:szCs w:val="12"/>
        </w:rPr>
        <w:t xml:space="preserve">that might be needed </w:t>
      </w:r>
      <w:r w:rsidR="009A396F" w:rsidRPr="00EC4975">
        <w:rPr>
          <w:sz w:val="12"/>
          <w:szCs w:val="12"/>
        </w:rPr>
        <w:t>and prebuild those. Currently we have these built</w:t>
      </w:r>
      <w:r w:rsidRPr="00EC4975">
        <w:rPr>
          <w:sz w:val="12"/>
          <w:szCs w:val="12"/>
        </w:rPr>
        <w:t>:</w:t>
      </w:r>
    </w:p>
    <w:tbl>
      <w:tblPr>
        <w:tblW w:w="8364" w:type="dxa"/>
        <w:tblInd w:w="-5" w:type="dxa"/>
        <w:tblLook w:val="04A0" w:firstRow="1" w:lastRow="0" w:firstColumn="1" w:lastColumn="0" w:noHBand="0" w:noVBand="1"/>
      </w:tblPr>
      <w:tblGrid>
        <w:gridCol w:w="401"/>
        <w:gridCol w:w="2147"/>
        <w:gridCol w:w="1689"/>
        <w:gridCol w:w="4127"/>
      </w:tblGrid>
      <w:tr w:rsidR="009A396F" w:rsidRPr="009A396F" w14:paraId="7DEAF165" w14:textId="77777777" w:rsidTr="00EC4975">
        <w:trPr>
          <w:trHeight w:val="313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39384BA9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Ref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3FBB51DC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Tool/Endpoint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104038FF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Purpose</w:t>
            </w:r>
          </w:p>
        </w:tc>
        <w:tc>
          <w:tcPr>
            <w:tcW w:w="4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0AD73A79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Use Case</w:t>
            </w:r>
          </w:p>
        </w:tc>
      </w:tr>
      <w:tr w:rsidR="009A396F" w:rsidRPr="009A396F" w14:paraId="0EA8CD9B" w14:textId="77777777" w:rsidTr="00EC4975">
        <w:trPr>
          <w:trHeight w:val="269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3BADCC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7398F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test_rac_connection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8039A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Health check and connection status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F3749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Verify API connectivity and see which entities are connected</w:t>
            </w:r>
          </w:p>
        </w:tc>
      </w:tr>
      <w:tr w:rsidR="009A396F" w:rsidRPr="009A396F" w14:paraId="6B4964C6" w14:textId="77777777" w:rsidTr="00EC4975">
        <w:trPr>
          <w:trHeight w:val="273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E45DDD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2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1EE14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get_organizations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76CC6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List connected Xero entities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4DD44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Check active/expired connections across RAC portfolio</w:t>
            </w:r>
          </w:p>
        </w:tc>
      </w:tr>
      <w:tr w:rsidR="009A396F" w:rsidRPr="009A396F" w14:paraId="1738E710" w14:textId="77777777" w:rsidTr="00EC4975">
        <w:trPr>
          <w:trHeight w:val="277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ABEF6B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3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CE6DD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get_trial_balance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18408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Individual entity trial balance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2CEEA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Analyze balance sheet structure and verify debits = credits</w:t>
            </w:r>
          </w:p>
        </w:tc>
      </w:tr>
      <w:tr w:rsidR="009A396F" w:rsidRPr="009A396F" w14:paraId="795DFB8D" w14:textId="77777777" w:rsidTr="00EC4975">
        <w:trPr>
          <w:trHeight w:val="267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05149F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4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5005D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get_consolidated_trial_balance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BB924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Multi-entity consolidated view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A6D41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Portfolio-wide financial position analysis</w:t>
            </w:r>
          </w:p>
        </w:tc>
      </w:tr>
      <w:tr w:rsidR="009A396F" w:rsidRPr="009A396F" w14:paraId="15CDBAA5" w14:textId="77777777" w:rsidTr="00EC4975">
        <w:trPr>
          <w:trHeight w:val="285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883F1F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5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A4C38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get_cash_position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AF6E2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Bank account balances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DFD5E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Monitor liquidity across entities</w:t>
            </w:r>
          </w:p>
        </w:tc>
      </w:tr>
      <w:tr w:rsidR="009A396F" w:rsidRPr="009A396F" w14:paraId="6775CA1E" w14:textId="77777777" w:rsidTr="00EC4975">
        <w:trPr>
          <w:trHeight w:val="275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7E07F6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6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2ECD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get_outstanding_invoices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43E6D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Unpaid customer invoices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B87CF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Track receivables and cash flow timing</w:t>
            </w:r>
          </w:p>
        </w:tc>
      </w:tr>
      <w:tr w:rsidR="009A396F" w:rsidRPr="009A396F" w14:paraId="600B61DC" w14:textId="77777777" w:rsidTr="00EC4975">
        <w:trPr>
          <w:trHeight w:val="265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D7CA66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7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C7B4D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get_journal_entries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3276A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Manual journal entry analysis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C03D2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Find unusual or large manual postings</w:t>
            </w:r>
          </w:p>
        </w:tc>
      </w:tr>
      <w:tr w:rsidR="009A396F" w:rsidRPr="009A396F" w14:paraId="0FD20A81" w14:textId="77777777" w:rsidTr="00EC4975">
        <w:trPr>
          <w:trHeight w:val="283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B61535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8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85563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analyze_equity_movements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0AD94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Equity account transaction history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FCEEB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Track changes in capital/retained earnings</w:t>
            </w:r>
          </w:p>
        </w:tc>
      </w:tr>
      <w:tr w:rsidR="009A396F" w:rsidRPr="009A396F" w14:paraId="3953C2EE" w14:textId="77777777" w:rsidTr="00EC4975">
        <w:trPr>
          <w:trHeight w:val="259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E9B761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9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CC6C7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get_account_history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27F28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Detailed account transaction log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50A95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Investigate specific account movements</w:t>
            </w:r>
          </w:p>
        </w:tc>
      </w:tr>
      <w:tr w:rsidR="009A396F" w:rsidRPr="009A396F" w14:paraId="19BC23E1" w14:textId="77777777" w:rsidTr="00EC4975">
        <w:trPr>
          <w:trHeight w:val="291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6A0544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10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8F59E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check_bank_reconciliation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3882A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Compare trial balance vs bank feeds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7DF6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Identify discrepancies between books and banks</w:t>
            </w:r>
          </w:p>
        </w:tc>
      </w:tr>
      <w:tr w:rsidR="009A396F" w:rsidRPr="009A396F" w14:paraId="0CC5807D" w14:textId="77777777" w:rsidTr="00EC4975">
        <w:trPr>
          <w:trHeight w:val="267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B93C96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11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63C22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find_unbalanced_transactions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9E91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Locate problematic journal entries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9260D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Find entries causing trial balance issues</w:t>
            </w:r>
          </w:p>
        </w:tc>
      </w:tr>
      <w:tr w:rsidR="009A396F" w:rsidRPr="009A396F" w14:paraId="00AAD8E1" w14:textId="77777777" w:rsidTr="00EC4975">
        <w:trPr>
          <w:trHeight w:val="271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DF04FE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12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F45FB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get_chart_of_accounts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CB9DA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Complete account structure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2A9DA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Analyze account setup and identify unusual accounts</w:t>
            </w:r>
          </w:p>
        </w:tc>
      </w:tr>
      <w:tr w:rsidR="009A396F" w:rsidRPr="009A396F" w14:paraId="3651DFF1" w14:textId="77777777" w:rsidTr="00EC4975">
        <w:trPr>
          <w:trHeight w:val="275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4EEA8F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13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939FB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investigate_imbalance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222D8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Comprehensive imbalance analysis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F93B2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Automated diagnosis of trial balance problems</w:t>
            </w:r>
          </w:p>
        </w:tc>
      </w:tr>
      <w:tr w:rsidR="009A396F" w:rsidRPr="009A396F" w14:paraId="5000435D" w14:textId="77777777" w:rsidTr="00EC4975">
        <w:trPr>
          <w:trHeight w:val="265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08F6F1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14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665F3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compare_periods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1F26B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Period-over-period comparison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DD63A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Track changes between reporting dates</w:t>
            </w:r>
          </w:p>
        </w:tc>
      </w:tr>
    </w:tbl>
    <w:p w14:paraId="4FEC7EE4" w14:textId="77777777" w:rsidR="00F30256" w:rsidRDefault="00F30256" w:rsidP="00F30256">
      <w:pPr>
        <w:ind w:left="720"/>
      </w:pPr>
    </w:p>
    <w:p w14:paraId="0EAA0F82" w14:textId="2A9E0453" w:rsidR="00EC4975" w:rsidRDefault="00EC4975" w:rsidP="00EC4975">
      <w:pPr>
        <w:pStyle w:val="ListParagraph"/>
        <w:numPr>
          <w:ilvl w:val="0"/>
          <w:numId w:val="1"/>
        </w:numPr>
      </w:pPr>
      <w:r>
        <w:t xml:space="preserve">The process of query is </w:t>
      </w:r>
    </w:p>
    <w:p w14:paraId="4BDF31BE" w14:textId="77777777" w:rsidR="00EC4975" w:rsidRDefault="00EC4975" w:rsidP="00EC4975">
      <w:pPr>
        <w:pStyle w:val="ListParagraph"/>
      </w:pPr>
    </w:p>
    <w:p w14:paraId="64E6CBB2" w14:textId="77777777" w:rsidR="00EC4975" w:rsidRDefault="00EC4975" w:rsidP="00EC4975">
      <w:pPr>
        <w:pStyle w:val="ListParagraph"/>
      </w:pPr>
      <w:r>
        <w:t>Ask a question of CD</w:t>
      </w:r>
    </w:p>
    <w:p w14:paraId="050364BC" w14:textId="7C102500" w:rsidR="00EC4975" w:rsidRDefault="00EC4975" w:rsidP="00EC4975">
      <w:pPr>
        <w:pStyle w:val="ListParagraph"/>
      </w:pPr>
      <w:r>
        <w:t>CD Runs a</w:t>
      </w:r>
      <w:r w:rsidR="00B40228">
        <w:t xml:space="preserve"> prebuilt</w:t>
      </w:r>
      <w:r>
        <w:t xml:space="preserve"> query</w:t>
      </w:r>
      <w:r w:rsidR="00B40228">
        <w:t xml:space="preserve"> such as those above or below</w:t>
      </w:r>
      <w:r>
        <w:br/>
        <w:t>CD Respond</w:t>
      </w:r>
      <w:r w:rsidR="00B40228">
        <w:t>s out of that data</w:t>
      </w:r>
      <w:r>
        <w:br/>
      </w:r>
    </w:p>
    <w:p w14:paraId="0192706A" w14:textId="4ABA95D9" w:rsidR="00EC4975" w:rsidRDefault="00B40228" w:rsidP="00F30256">
      <w:pPr>
        <w:ind w:left="720"/>
      </w:pPr>
      <w:r>
        <w:br/>
      </w:r>
      <w:r>
        <w:br/>
      </w:r>
    </w:p>
    <w:p w14:paraId="0B995953" w14:textId="69EF3246" w:rsidR="009A396F" w:rsidRDefault="009A396F" w:rsidP="00F30256">
      <w:pPr>
        <w:ind w:left="720"/>
      </w:pPr>
      <w:r>
        <w:lastRenderedPageBreak/>
        <w:t>I asked Claude what else should we build – it suggested the following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378"/>
        <w:gridCol w:w="2271"/>
        <w:gridCol w:w="1599"/>
        <w:gridCol w:w="4111"/>
      </w:tblGrid>
      <w:tr w:rsidR="00EC4975" w:rsidRPr="00EC4975" w14:paraId="00924721" w14:textId="77777777" w:rsidTr="00EC4975">
        <w:trPr>
          <w:trHeight w:val="252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5C202801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 </w:t>
            </w:r>
          </w:p>
        </w:tc>
        <w:tc>
          <w:tcPr>
            <w:tcW w:w="2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58ABA0C7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Suggested Tool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4B43DA25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Purpose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05148DD8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Business Value</w:t>
            </w:r>
          </w:p>
        </w:tc>
      </w:tr>
      <w:tr w:rsidR="00EC4975" w:rsidRPr="00EC4975" w14:paraId="692E88D6" w14:textId="77777777" w:rsidTr="00EC4975">
        <w:trPr>
          <w:trHeight w:val="413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BF5E2F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15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CF675" w14:textId="77777777" w:rsidR="00EC4975" w:rsidRPr="00EC4975" w:rsidRDefault="00EC4975" w:rsidP="00EC497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get_profit_loss_summary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7D37D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P&amp;L analysis by entity/period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930B6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Revenue and expense monitoring</w:t>
            </w:r>
          </w:p>
        </w:tc>
      </w:tr>
      <w:tr w:rsidR="00EC4975" w:rsidRPr="00EC4975" w14:paraId="1EC252B6" w14:textId="77777777" w:rsidTr="00EC4975">
        <w:trPr>
          <w:trHeight w:val="420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4467F6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16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529A1" w14:textId="77777777" w:rsidR="00EC4975" w:rsidRPr="00EC4975" w:rsidRDefault="00EC4975" w:rsidP="00EC497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analyze_cash_flow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AB020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Cash flow statement generation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37CAA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Predict liquidity needs</w:t>
            </w:r>
          </w:p>
        </w:tc>
      </w:tr>
      <w:tr w:rsidR="00EC4975" w:rsidRPr="00EC4975" w14:paraId="43CBDDBE" w14:textId="77777777" w:rsidTr="00EC4975">
        <w:trPr>
          <w:trHeight w:val="411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EBD880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17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D6BCF" w14:textId="77777777" w:rsidR="00EC4975" w:rsidRPr="00EC4975" w:rsidRDefault="00EC4975" w:rsidP="00EC497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get_aged_receivables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DBEB7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Customer payment aging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A3625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Identify overdue accounts</w:t>
            </w:r>
          </w:p>
        </w:tc>
      </w:tr>
      <w:tr w:rsidR="00EC4975" w:rsidRPr="00EC4975" w14:paraId="4672EE89" w14:textId="77777777" w:rsidTr="00EC4975">
        <w:trPr>
          <w:trHeight w:val="417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06939E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18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0D2F" w14:textId="77777777" w:rsidR="00EC4975" w:rsidRPr="00EC4975" w:rsidRDefault="00EC4975" w:rsidP="00EC497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get_aged_payables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8966C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Supplier payment aging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F789C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Manage payment timing</w:t>
            </w:r>
          </w:p>
        </w:tc>
      </w:tr>
      <w:tr w:rsidR="00EC4975" w:rsidRPr="00EC4975" w14:paraId="05B0CB4B" w14:textId="77777777" w:rsidTr="00EC4975">
        <w:trPr>
          <w:trHeight w:val="266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35CCE5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19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23FD7" w14:textId="77777777" w:rsidR="00EC4975" w:rsidRPr="00EC4975" w:rsidRDefault="00EC4975" w:rsidP="00EC497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analyze_expense_categories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7DBFE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Expense breakdown and trends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F84A6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Budget variance analysis</w:t>
            </w:r>
          </w:p>
        </w:tc>
      </w:tr>
      <w:tr w:rsidR="00EC4975" w:rsidRPr="00EC4975" w14:paraId="275CE3BD" w14:textId="77777777" w:rsidTr="00EC4975">
        <w:trPr>
          <w:trHeight w:val="343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73C0CE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20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88064" w14:textId="77777777" w:rsidR="00EC4975" w:rsidRPr="00EC4975" w:rsidRDefault="00EC4975" w:rsidP="00EC497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get_intercompany_transactions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26933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Cross-entity transaction analysis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AA085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Consolidation and compliance</w:t>
            </w:r>
          </w:p>
        </w:tc>
      </w:tr>
      <w:tr w:rsidR="00EC4975" w:rsidRPr="00EC4975" w14:paraId="4C7AD68E" w14:textId="77777777" w:rsidTr="00EC4975">
        <w:trPr>
          <w:trHeight w:val="277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997FD6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21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9F4BB" w14:textId="77777777" w:rsidR="00EC4975" w:rsidRPr="00EC4975" w:rsidRDefault="00EC4975" w:rsidP="00EC497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check_gst_reconciliation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E886C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GST calculation validation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44C95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Tax compliance verification</w:t>
            </w:r>
          </w:p>
        </w:tc>
      </w:tr>
      <w:tr w:rsidR="00EC4975" w:rsidRPr="00EC4975" w14:paraId="1FAAAF33" w14:textId="77777777" w:rsidTr="00EC4975">
        <w:trPr>
          <w:trHeight w:val="338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85EB1E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22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99618" w14:textId="77777777" w:rsidR="00EC4975" w:rsidRPr="00EC4975" w:rsidRDefault="00EC4975" w:rsidP="00EC497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get_budget_variance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FF966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Actual vs budget comparison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FA06F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Performance monitoring</w:t>
            </w:r>
          </w:p>
        </w:tc>
      </w:tr>
      <w:tr w:rsidR="00EC4975" w:rsidRPr="00EC4975" w14:paraId="0B462C05" w14:textId="77777777" w:rsidTr="00EC4975">
        <w:trPr>
          <w:trHeight w:val="417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0FE814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23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73C14" w14:textId="77777777" w:rsidR="00EC4975" w:rsidRPr="00EC4975" w:rsidRDefault="00EC4975" w:rsidP="00EC497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analyze_customer_concentration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AC00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Top customer revenue analysis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4295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Risk assessment</w:t>
            </w:r>
          </w:p>
        </w:tc>
      </w:tr>
      <w:tr w:rsidR="00EC4975" w:rsidRPr="00EC4975" w14:paraId="3ACB328C" w14:textId="77777777" w:rsidTr="00EC4975">
        <w:trPr>
          <w:trHeight w:val="395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135FC9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24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E5CB0" w14:textId="77777777" w:rsidR="00EC4975" w:rsidRPr="00EC4975" w:rsidRDefault="00EC4975" w:rsidP="00EC497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get_financial_ratios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6AE65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Key financial ratio calculation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D2618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Performance benchmarking</w:t>
            </w:r>
          </w:p>
        </w:tc>
      </w:tr>
      <w:tr w:rsidR="00EC4975" w:rsidRPr="00EC4975" w14:paraId="5C71BDC2" w14:textId="77777777" w:rsidTr="00EC4975">
        <w:trPr>
          <w:trHeight w:val="347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EF7CF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25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57698" w14:textId="77777777" w:rsidR="00EC4975" w:rsidRPr="00EC4975" w:rsidRDefault="00EC4975" w:rsidP="00EC497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track_recurring_revenue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3A07A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Subscription/recurring income analysis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3A84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Revenue predictability</w:t>
            </w:r>
          </w:p>
        </w:tc>
      </w:tr>
      <w:tr w:rsidR="00EC4975" w:rsidRPr="00EC4975" w14:paraId="4EC33E7F" w14:textId="77777777" w:rsidTr="00EC4975">
        <w:trPr>
          <w:trHeight w:val="313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899338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26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199B8" w14:textId="77777777" w:rsidR="00EC4975" w:rsidRPr="00EC4975" w:rsidRDefault="00EC4975" w:rsidP="00EC497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analyze_seasonal_trends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30188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Monthly/quarterly pattern analysis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EA882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Forecasting support</w:t>
            </w:r>
          </w:p>
        </w:tc>
      </w:tr>
    </w:tbl>
    <w:p w14:paraId="2F254675" w14:textId="77777777" w:rsidR="009A396F" w:rsidRDefault="009A396F" w:rsidP="00F30256">
      <w:pPr>
        <w:ind w:left="720"/>
      </w:pPr>
    </w:p>
    <w:p w14:paraId="63591D76" w14:textId="77777777" w:rsidR="00794F92" w:rsidRDefault="00794F92">
      <w:r>
        <w:br/>
      </w:r>
    </w:p>
    <w:p w14:paraId="705C4A0C" w14:textId="77777777" w:rsidR="00794F92" w:rsidRDefault="00794F92">
      <w:r>
        <w:br w:type="page"/>
      </w:r>
    </w:p>
    <w:p w14:paraId="2B0AA68B" w14:textId="77777777" w:rsidR="00794F92" w:rsidRDefault="00794F92" w:rsidP="00794F92">
      <w:r>
        <w:lastRenderedPageBreak/>
        <w:t>Examples:</w:t>
      </w:r>
      <w:r>
        <w:br/>
      </w:r>
      <w:r>
        <w:rPr>
          <w:rFonts w:ascii="Segoe UI Emoji" w:hAnsi="Segoe UI Emoji" w:cs="Segoe UI Emoji"/>
        </w:rPr>
        <w:t>📈</w:t>
      </w:r>
      <w:r>
        <w:t xml:space="preserve"> PROFIT &amp; LOSS SUMMARY</w:t>
      </w:r>
    </w:p>
    <w:p w14:paraId="52A3DBD1" w14:textId="77777777" w:rsidR="00794F92" w:rsidRDefault="00794F92" w:rsidP="00794F92"/>
    <w:p w14:paraId="7334B90A" w14:textId="77777777" w:rsidR="00794F92" w:rsidRDefault="00794F92" w:rsidP="00794F92">
      <w:r>
        <w:t>Organization: Rirratjingu Aboriginal Corporation 8538</w:t>
      </w:r>
    </w:p>
    <w:p w14:paraId="48ABA5D9" w14:textId="77777777" w:rsidR="00794F92" w:rsidRDefault="00794F92" w:rsidP="00794F92">
      <w:r>
        <w:t>Period: 2024-08-28 to 2025-08-28 (12 months)</w:t>
      </w:r>
    </w:p>
    <w:p w14:paraId="7C06615A" w14:textId="77777777" w:rsidR="00794F92" w:rsidRDefault="00794F92" w:rsidP="00794F92"/>
    <w:p w14:paraId="1BD1ACA3" w14:textId="77777777" w:rsidR="00794F92" w:rsidRDefault="00794F92" w:rsidP="00794F92">
      <w:r>
        <w:rPr>
          <w:rFonts w:ascii="Segoe UI Emoji" w:hAnsi="Segoe UI Emoji" w:cs="Segoe UI Emoji"/>
        </w:rPr>
        <w:t>💰</w:t>
      </w:r>
      <w:r>
        <w:t xml:space="preserve"> FINANCIAL PERFORMANCE:</w:t>
      </w:r>
    </w:p>
    <w:p w14:paraId="55D8B544" w14:textId="77777777" w:rsidR="00794F92" w:rsidRDefault="00794F92" w:rsidP="00794F92">
      <w:r>
        <w:t>• Total Revenue: $1,872,727.32</w:t>
      </w:r>
    </w:p>
    <w:p w14:paraId="75AED98D" w14:textId="77777777" w:rsidR="00794F92" w:rsidRDefault="00794F92" w:rsidP="00794F92">
      <w:r>
        <w:t>• Total Expenses: $5,616,604.51</w:t>
      </w:r>
    </w:p>
    <w:p w14:paraId="4FDCECFC" w14:textId="77777777" w:rsidR="00794F92" w:rsidRDefault="00794F92" w:rsidP="00794F92">
      <w:r>
        <w:t>• Net Profit: $-3,743,877.19</w:t>
      </w:r>
    </w:p>
    <w:p w14:paraId="697C55A3" w14:textId="77777777" w:rsidR="00794F92" w:rsidRDefault="00794F92" w:rsidP="00794F92">
      <w:r>
        <w:t>• Profit Margin: -199.9%</w:t>
      </w:r>
    </w:p>
    <w:p w14:paraId="61EE431A" w14:textId="77777777" w:rsidR="00794F92" w:rsidRDefault="00794F92" w:rsidP="00794F92"/>
    <w:p w14:paraId="0C912413" w14:textId="77777777" w:rsidR="00794F92" w:rsidRDefault="00794F92" w:rsidP="00794F92">
      <w:r>
        <w:rPr>
          <w:rFonts w:ascii="Segoe UI Emoji" w:hAnsi="Segoe UI Emoji" w:cs="Segoe UI Emoji"/>
        </w:rPr>
        <w:t>📊</w:t>
      </w:r>
      <w:r>
        <w:t xml:space="preserve"> TOP REVENUE SOURCES:</w:t>
      </w:r>
    </w:p>
    <w:p w14:paraId="3721A865" w14:textId="77777777" w:rsidR="00794F92" w:rsidRDefault="00794F92" w:rsidP="00794F92">
      <w:r>
        <w:t>• Seniors Month Grants: $350</w:t>
      </w:r>
    </w:p>
    <w:p w14:paraId="21460D13" w14:textId="77777777" w:rsidR="00794F92" w:rsidRDefault="00794F92" w:rsidP="00794F92">
      <w:r>
        <w:t>• ALPA - Employment Incentive: $5,000</w:t>
      </w:r>
    </w:p>
    <w:p w14:paraId="17705856" w14:textId="77777777" w:rsidR="00794F92" w:rsidRDefault="00794F92" w:rsidP="00794F92">
      <w:r>
        <w:t>• Barawun Centre Room Hire: $5,050</w:t>
      </w:r>
    </w:p>
    <w:p w14:paraId="4BF9AB31" w14:textId="77777777" w:rsidR="00794F92" w:rsidRDefault="00794F92" w:rsidP="00794F92">
      <w:r>
        <w:t>• Interest Received - Yirrkala Enterprises loan: $16,531.45</w:t>
      </w:r>
    </w:p>
    <w:p w14:paraId="4429495F" w14:textId="77777777" w:rsidR="00794F92" w:rsidRDefault="00794F92" w:rsidP="00794F92">
      <w:r>
        <w:t>• ISEP - NIAA Funding: $252,988.37</w:t>
      </w:r>
    </w:p>
    <w:p w14:paraId="7EF0A1CB" w14:textId="77777777" w:rsidR="00794F92" w:rsidRDefault="00794F92" w:rsidP="00794F92"/>
    <w:p w14:paraId="707BD23E" w14:textId="77777777" w:rsidR="00794F92" w:rsidRDefault="00794F92" w:rsidP="00794F92">
      <w:r>
        <w:rPr>
          <w:rFonts w:ascii="Segoe UI Emoji" w:hAnsi="Segoe UI Emoji" w:cs="Segoe UI Emoji"/>
        </w:rPr>
        <w:t>💳</w:t>
      </w:r>
      <w:r>
        <w:t xml:space="preserve"> TOP EXPENSES:</w:t>
      </w:r>
    </w:p>
    <w:p w14:paraId="593D8B22" w14:textId="77777777" w:rsidR="00794F92" w:rsidRDefault="00794F92" w:rsidP="00794F92">
      <w:r>
        <w:t>• Annual Report: $52,545.53</w:t>
      </w:r>
    </w:p>
    <w:p w14:paraId="290F85DF" w14:textId="77777777" w:rsidR="00794F92" w:rsidRDefault="00794F92" w:rsidP="00794F92">
      <w:r>
        <w:t>• Cleaning: $37,747.98</w:t>
      </w:r>
    </w:p>
    <w:p w14:paraId="538F92C7" w14:textId="77777777" w:rsidR="00794F92" w:rsidRDefault="00794F92" w:rsidP="00794F92">
      <w:r>
        <w:t>• Depreciation - Lot 84 Galpu Road Improvements: $13,020.67</w:t>
      </w:r>
    </w:p>
    <w:p w14:paraId="45FEC32B" w14:textId="77777777" w:rsidR="00794F92" w:rsidRDefault="00794F92" w:rsidP="00794F92">
      <w:r>
        <w:t>• Employee EAP, Permits &amp; other Associated Costs: $2,068.27</w:t>
      </w:r>
    </w:p>
    <w:p w14:paraId="3BED56A0" w14:textId="59923185" w:rsidR="00F30256" w:rsidRDefault="00794F92" w:rsidP="00794F92">
      <w:r>
        <w:t>• Fines: $3,354</w:t>
      </w:r>
    </w:p>
    <w:p w14:paraId="2655DD8C" w14:textId="77777777" w:rsidR="00794F92" w:rsidRDefault="00794F92" w:rsidP="00794F92"/>
    <w:p w14:paraId="2CF55B7B" w14:textId="77777777" w:rsidR="00794F92" w:rsidRDefault="00794F9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6C66A300" w14:textId="650C891F" w:rsidR="00794F92" w:rsidRDefault="00794F92" w:rsidP="00794F92">
      <w:r>
        <w:rPr>
          <w:rFonts w:ascii="Segoe UI Emoji" w:hAnsi="Segoe UI Emoji" w:cs="Segoe UI Emoji"/>
        </w:rPr>
        <w:lastRenderedPageBreak/>
        <w:t>📊</w:t>
      </w:r>
      <w:r>
        <w:t xml:space="preserve"> FINANCIAL RATIOS ANALYSIS</w:t>
      </w:r>
    </w:p>
    <w:p w14:paraId="38882200" w14:textId="77777777" w:rsidR="00794F92" w:rsidRDefault="00794F92" w:rsidP="00794F92"/>
    <w:p w14:paraId="598D1C29" w14:textId="77777777" w:rsidR="00794F92" w:rsidRDefault="00794F92" w:rsidP="00794F92">
      <w:r>
        <w:t>Organization: Rirratjingu Aboriginal Corporation 8538</w:t>
      </w:r>
    </w:p>
    <w:p w14:paraId="157E39A6" w14:textId="77777777" w:rsidR="00794F92" w:rsidRDefault="00794F92" w:rsidP="00794F92">
      <w:r>
        <w:t>Report Date: 2025-08-28</w:t>
      </w:r>
    </w:p>
    <w:p w14:paraId="2676463C" w14:textId="77777777" w:rsidR="00794F92" w:rsidRDefault="00794F92" w:rsidP="00794F92"/>
    <w:p w14:paraId="227136BA" w14:textId="77777777" w:rsidR="00794F92" w:rsidRDefault="00794F92" w:rsidP="00794F92">
      <w:r>
        <w:rPr>
          <w:rFonts w:ascii="Segoe UI Emoji" w:hAnsi="Segoe UI Emoji" w:cs="Segoe UI Emoji"/>
        </w:rPr>
        <w:t>💧</w:t>
      </w:r>
      <w:r>
        <w:t xml:space="preserve"> LIQUIDITY RATIOS:</w:t>
      </w:r>
    </w:p>
    <w:p w14:paraId="6C4D499F" w14:textId="77777777" w:rsidR="00794F92" w:rsidRDefault="00794F92" w:rsidP="00794F92">
      <w:r>
        <w:t>• Current Ratio: 11.75 (Strong)</w:t>
      </w:r>
    </w:p>
    <w:p w14:paraId="6C0E409C" w14:textId="77777777" w:rsidR="00794F92" w:rsidRDefault="00794F92" w:rsidP="00794F92">
      <w:r>
        <w:t>• Working Capital: $16,533,914.65</w:t>
      </w:r>
    </w:p>
    <w:p w14:paraId="79D19794" w14:textId="77777777" w:rsidR="00794F92" w:rsidRDefault="00794F92" w:rsidP="00794F92"/>
    <w:p w14:paraId="78B11328" w14:textId="77777777" w:rsidR="00794F92" w:rsidRDefault="00794F92" w:rsidP="00794F92">
      <w:r>
        <w:rPr>
          <w:rFonts w:ascii="Segoe UI Emoji" w:hAnsi="Segoe UI Emoji" w:cs="Segoe UI Emoji"/>
        </w:rPr>
        <w:t>⚖️</w:t>
      </w:r>
      <w:r>
        <w:t xml:space="preserve"> LEVERAGE RATIOS:</w:t>
      </w:r>
    </w:p>
    <w:p w14:paraId="3C38D241" w14:textId="77777777" w:rsidR="00794F92" w:rsidRDefault="00794F92" w:rsidP="00794F92">
      <w:r>
        <w:t>• Debt-to-Equity: 0.04 (Conservative)</w:t>
      </w:r>
    </w:p>
    <w:p w14:paraId="6AE6D0AB" w14:textId="77777777" w:rsidR="00794F92" w:rsidRDefault="00794F92" w:rsidP="00794F92">
      <w:r>
        <w:t>• Equity Ratio: 238.2%</w:t>
      </w:r>
    </w:p>
    <w:p w14:paraId="33E00DC8" w14:textId="77777777" w:rsidR="00794F92" w:rsidRDefault="00794F92" w:rsidP="00794F92"/>
    <w:p w14:paraId="357D8D98" w14:textId="77777777" w:rsidR="00794F92" w:rsidRDefault="00794F92" w:rsidP="00794F92">
      <w:r>
        <w:rPr>
          <w:rFonts w:ascii="Segoe UI Emoji" w:hAnsi="Segoe UI Emoji" w:cs="Segoe UI Emoji"/>
        </w:rPr>
        <w:t>💰</w:t>
      </w:r>
      <w:r>
        <w:t xml:space="preserve"> PROFITABILITY RATIOS:</w:t>
      </w:r>
    </w:p>
    <w:p w14:paraId="2CADD530" w14:textId="77777777" w:rsidR="00794F92" w:rsidRDefault="00794F92" w:rsidP="00794F92">
      <w:r>
        <w:t>• Net Profit Margin: -199.9% (Loss)</w:t>
      </w:r>
    </w:p>
    <w:p w14:paraId="23D86B87" w14:textId="77777777" w:rsidR="00794F92" w:rsidRDefault="00794F92" w:rsidP="00794F92">
      <w:r>
        <w:t>• Return on Assets: -20.7%</w:t>
      </w:r>
    </w:p>
    <w:p w14:paraId="40A1F2C2" w14:textId="77777777" w:rsidR="00794F92" w:rsidRDefault="00794F92" w:rsidP="00794F92">
      <w:r>
        <w:t>• Return on Equity: -8.7%</w:t>
      </w:r>
    </w:p>
    <w:p w14:paraId="1FEAD8B7" w14:textId="77777777" w:rsidR="00794F92" w:rsidRDefault="00794F92" w:rsidP="00794F92"/>
    <w:p w14:paraId="0F88AEF6" w14:textId="77777777" w:rsidR="00794F92" w:rsidRDefault="00794F92" w:rsidP="00794F92">
      <w:r>
        <w:rPr>
          <w:rFonts w:ascii="Segoe UI Emoji" w:hAnsi="Segoe UI Emoji" w:cs="Segoe UI Emoji"/>
        </w:rPr>
        <w:t>⚡</w:t>
      </w:r>
      <w:r>
        <w:t xml:space="preserve"> EFFICIENCY RATIOS:</w:t>
      </w:r>
    </w:p>
    <w:p w14:paraId="09ACDBFA" w14:textId="77777777" w:rsidR="00794F92" w:rsidRDefault="00794F92" w:rsidP="00794F92">
      <w:r>
        <w:t>• Asset Turnover: 0.10</w:t>
      </w:r>
    </w:p>
    <w:p w14:paraId="477FB9AC" w14:textId="77777777" w:rsidR="00794F92" w:rsidRDefault="00794F92" w:rsidP="00794F92">
      <w:r>
        <w:t>• Expense Ratio: 299.9%</w:t>
      </w:r>
    </w:p>
    <w:p w14:paraId="0A02C9A3" w14:textId="77777777" w:rsidR="00794F92" w:rsidRDefault="00794F92" w:rsidP="00794F92"/>
    <w:p w14:paraId="27FE3700" w14:textId="77777777" w:rsidR="00794F92" w:rsidRDefault="00794F92" w:rsidP="00794F92">
      <w:r>
        <w:rPr>
          <w:rFonts w:ascii="Segoe UI Emoji" w:hAnsi="Segoe UI Emoji" w:cs="Segoe UI Emoji"/>
        </w:rPr>
        <w:t>📈</w:t>
      </w:r>
      <w:r>
        <w:t xml:space="preserve"> DATA SUMMARY:</w:t>
      </w:r>
    </w:p>
    <w:p w14:paraId="5E90CB19" w14:textId="77777777" w:rsidR="00794F92" w:rsidRDefault="00794F92" w:rsidP="00794F92">
      <w:r>
        <w:t>• Total Assets: $18,071,411.09</w:t>
      </w:r>
    </w:p>
    <w:p w14:paraId="73CC5E96" w14:textId="77777777" w:rsidR="00794F92" w:rsidRDefault="00794F92" w:rsidP="00794F92">
      <w:r>
        <w:t>• Total Liabilities: $1,537,496.44</w:t>
      </w:r>
    </w:p>
    <w:p w14:paraId="02559EE6" w14:textId="77777777" w:rsidR="00794F92" w:rsidRDefault="00794F92" w:rsidP="00794F92">
      <w:r>
        <w:t>• Total Equity: $43,050,281.53</w:t>
      </w:r>
    </w:p>
    <w:p w14:paraId="29BDA184" w14:textId="77777777" w:rsidR="00794F92" w:rsidRDefault="00794F92" w:rsidP="00794F92">
      <w:r>
        <w:t>• Revenue: $1,872,727.32</w:t>
      </w:r>
    </w:p>
    <w:p w14:paraId="5A890433" w14:textId="6AEA1520" w:rsidR="00794F92" w:rsidRDefault="00794F92" w:rsidP="00794F92">
      <w:r>
        <w:t>• Net Profit: $-3,743,877.19</w:t>
      </w:r>
    </w:p>
    <w:sectPr w:rsidR="00794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463"/>
    <w:multiLevelType w:val="hybridMultilevel"/>
    <w:tmpl w:val="02BC25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78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56"/>
    <w:rsid w:val="005A0113"/>
    <w:rsid w:val="00794F92"/>
    <w:rsid w:val="009A396F"/>
    <w:rsid w:val="00A503EC"/>
    <w:rsid w:val="00B40228"/>
    <w:rsid w:val="00D424E5"/>
    <w:rsid w:val="00EC4975"/>
    <w:rsid w:val="00F30256"/>
    <w:rsid w:val="00F8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A944"/>
  <w15:chartTrackingRefBased/>
  <w15:docId w15:val="{95FA55AD-8277-49B1-9E9B-026E57B4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2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02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Kuru</dc:creator>
  <cp:keywords/>
  <dc:description/>
  <cp:lastModifiedBy>Duane Kuru</cp:lastModifiedBy>
  <cp:revision>2</cp:revision>
  <dcterms:created xsi:type="dcterms:W3CDTF">2025-08-26T23:13:00Z</dcterms:created>
  <dcterms:modified xsi:type="dcterms:W3CDTF">2025-08-28T02:35:00Z</dcterms:modified>
</cp:coreProperties>
</file>