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7950" w14:textId="1A9B7DEB" w:rsidR="00A503EC" w:rsidRDefault="00F30256" w:rsidP="009A396F">
      <w:pPr>
        <w:pStyle w:val="Title"/>
      </w:pPr>
      <w:r>
        <w:t>Xero MCP Learnings 27 August 2025</w:t>
      </w:r>
    </w:p>
    <w:p w14:paraId="327BE3A0" w14:textId="77777777" w:rsidR="009A396F" w:rsidRDefault="009A396F"/>
    <w:p w14:paraId="1EA2B0A1" w14:textId="443EA63A" w:rsidR="00F30256" w:rsidRDefault="00F30256" w:rsidP="009A396F">
      <w:pPr>
        <w:pStyle w:val="Heading1"/>
      </w:pPr>
      <w:r>
        <w:t>Architecture</w:t>
      </w:r>
      <w:r>
        <w:br/>
      </w:r>
    </w:p>
    <w:p w14:paraId="5E480793" w14:textId="54409B46" w:rsidR="00F30256" w:rsidRDefault="00F30256" w:rsidP="00F30256">
      <w:pPr>
        <w:pStyle w:val="ListParagraph"/>
        <w:numPr>
          <w:ilvl w:val="0"/>
          <w:numId w:val="1"/>
        </w:numPr>
      </w:pPr>
      <w:r>
        <w:t>Run the API first</w:t>
      </w:r>
    </w:p>
    <w:p w14:paraId="7A488331" w14:textId="5DDB0F0C" w:rsidR="00F30256" w:rsidRDefault="00F30256" w:rsidP="00F30256">
      <w:pPr>
        <w:pStyle w:val="ListParagraph"/>
        <w:numPr>
          <w:ilvl w:val="0"/>
          <w:numId w:val="1"/>
        </w:numPr>
      </w:pPr>
      <w:r>
        <w:t>This establishes OAuth</w:t>
      </w:r>
    </w:p>
    <w:p w14:paraId="3C8078A2" w14:textId="6C04D3B5" w:rsidR="00F30256" w:rsidRDefault="00F30256" w:rsidP="00F30256">
      <w:pPr>
        <w:pStyle w:val="ListParagraph"/>
        <w:numPr>
          <w:ilvl w:val="0"/>
          <w:numId w:val="1"/>
        </w:numPr>
      </w:pPr>
      <w:r>
        <w:t>Followed by Company selection for 30 minutes</w:t>
      </w:r>
    </w:p>
    <w:p w14:paraId="40A11385" w14:textId="77777777" w:rsidR="00F30256" w:rsidRDefault="00F30256" w:rsidP="00F30256">
      <w:pPr>
        <w:pStyle w:val="ListParagraph"/>
      </w:pPr>
    </w:p>
    <w:p w14:paraId="38404A26" w14:textId="7ED15B1B" w:rsidR="00F30256" w:rsidRDefault="00F30256" w:rsidP="00F30256">
      <w:pPr>
        <w:pStyle w:val="ListParagraph"/>
      </w:pPr>
      <w:r>
        <w:t xml:space="preserve">Then via Claude Desktop </w:t>
      </w:r>
    </w:p>
    <w:p w14:paraId="2C7AD1DA" w14:textId="0E506305" w:rsidR="00F30256" w:rsidRDefault="00F30256" w:rsidP="00F30256">
      <w:pPr>
        <w:pStyle w:val="ListParagraph"/>
        <w:numPr>
          <w:ilvl w:val="0"/>
          <w:numId w:val="1"/>
        </w:numPr>
      </w:pPr>
      <w:r>
        <w:t>CD utilises (1,2,3) to connect MCP</w:t>
      </w:r>
    </w:p>
    <w:p w14:paraId="64946AA3" w14:textId="722D15C9" w:rsidR="00F30256" w:rsidRDefault="00F30256" w:rsidP="00F30256">
      <w:pPr>
        <w:pStyle w:val="ListParagraph"/>
        <w:numPr>
          <w:ilvl w:val="0"/>
          <w:numId w:val="1"/>
        </w:numPr>
      </w:pPr>
      <w:r>
        <w:t>Then ask your questions</w:t>
      </w:r>
    </w:p>
    <w:p w14:paraId="0FC42C59" w14:textId="4F06928B" w:rsidR="00F30256" w:rsidRPr="00EC4975" w:rsidRDefault="00F30256" w:rsidP="009A396F">
      <w:pPr>
        <w:ind w:left="720"/>
        <w:rPr>
          <w:sz w:val="12"/>
          <w:szCs w:val="12"/>
        </w:rPr>
      </w:pPr>
      <w:r w:rsidRPr="00EC4975">
        <w:rPr>
          <w:sz w:val="12"/>
          <w:szCs w:val="12"/>
        </w:rPr>
        <w:t xml:space="preserve">Questions require queries to be </w:t>
      </w:r>
      <w:r w:rsidR="009A396F" w:rsidRPr="00EC4975">
        <w:rPr>
          <w:sz w:val="12"/>
          <w:szCs w:val="12"/>
        </w:rPr>
        <w:t xml:space="preserve">prebuilt that </w:t>
      </w:r>
      <w:r w:rsidRPr="00EC4975">
        <w:rPr>
          <w:sz w:val="12"/>
          <w:szCs w:val="12"/>
        </w:rPr>
        <w:t>MCP</w:t>
      </w:r>
      <w:r w:rsidR="009A396F" w:rsidRPr="00EC4975">
        <w:rPr>
          <w:sz w:val="12"/>
          <w:szCs w:val="12"/>
        </w:rPr>
        <w:t xml:space="preserve"> runs t</w:t>
      </w:r>
      <w:r w:rsidRPr="00EC4975">
        <w:rPr>
          <w:sz w:val="12"/>
          <w:szCs w:val="12"/>
        </w:rPr>
        <w:t>o pull the data</w:t>
      </w:r>
      <w:r w:rsidR="009A396F" w:rsidRPr="00EC4975">
        <w:rPr>
          <w:sz w:val="12"/>
          <w:szCs w:val="12"/>
        </w:rPr>
        <w:t xml:space="preserve"> for</w:t>
      </w:r>
      <w:r w:rsidRPr="00EC4975">
        <w:rPr>
          <w:sz w:val="12"/>
          <w:szCs w:val="12"/>
        </w:rPr>
        <w:t xml:space="preserve"> analys</w:t>
      </w:r>
      <w:r w:rsidR="009A396F" w:rsidRPr="00EC4975">
        <w:rPr>
          <w:sz w:val="12"/>
          <w:szCs w:val="12"/>
        </w:rPr>
        <w:t xml:space="preserve">is. </w:t>
      </w:r>
      <w:r w:rsidRPr="00EC4975">
        <w:rPr>
          <w:sz w:val="12"/>
          <w:szCs w:val="12"/>
        </w:rPr>
        <w:t xml:space="preserve">There is no limitation to creating </w:t>
      </w:r>
      <w:r w:rsidR="00EC4975" w:rsidRPr="00EC4975">
        <w:rPr>
          <w:sz w:val="12"/>
          <w:szCs w:val="12"/>
        </w:rPr>
        <w:t>queries,</w:t>
      </w:r>
      <w:r w:rsidRPr="00EC4975">
        <w:rPr>
          <w:sz w:val="12"/>
          <w:szCs w:val="12"/>
        </w:rPr>
        <w:t xml:space="preserve"> but it makes sense t</w:t>
      </w:r>
      <w:r w:rsidR="009A396F" w:rsidRPr="00EC4975">
        <w:rPr>
          <w:sz w:val="12"/>
          <w:szCs w:val="12"/>
        </w:rPr>
        <w:t xml:space="preserve">o anticipate the </w:t>
      </w:r>
      <w:r w:rsidRPr="00EC4975">
        <w:rPr>
          <w:sz w:val="12"/>
          <w:szCs w:val="12"/>
        </w:rPr>
        <w:t xml:space="preserve">main queries </w:t>
      </w:r>
      <w:r w:rsidR="00EC4975" w:rsidRPr="00EC4975">
        <w:rPr>
          <w:sz w:val="12"/>
          <w:szCs w:val="12"/>
        </w:rPr>
        <w:t xml:space="preserve">that might be needed </w:t>
      </w:r>
      <w:r w:rsidR="009A396F" w:rsidRPr="00EC4975">
        <w:rPr>
          <w:sz w:val="12"/>
          <w:szCs w:val="12"/>
        </w:rPr>
        <w:t>and prebuild those. Currently we have these built</w:t>
      </w:r>
      <w:r w:rsidRPr="00EC4975">
        <w:rPr>
          <w:sz w:val="12"/>
          <w:szCs w:val="12"/>
        </w:rPr>
        <w:t>:</w:t>
      </w:r>
    </w:p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401"/>
        <w:gridCol w:w="2147"/>
        <w:gridCol w:w="1689"/>
        <w:gridCol w:w="4127"/>
      </w:tblGrid>
      <w:tr w:rsidR="009A396F" w:rsidRPr="009A396F" w14:paraId="7DEAF165" w14:textId="77777777" w:rsidTr="00EC4975">
        <w:trPr>
          <w:trHeight w:val="313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39384BA9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Ref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3FBB51DC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Tool/Endpoint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04038FF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Purpose</w:t>
            </w:r>
          </w:p>
        </w:tc>
        <w:tc>
          <w:tcPr>
            <w:tcW w:w="4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0AD73A79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Use Case</w:t>
            </w:r>
          </w:p>
        </w:tc>
      </w:tr>
      <w:tr w:rsidR="009A396F" w:rsidRPr="009A396F" w14:paraId="0EA8CD9B" w14:textId="77777777" w:rsidTr="00EC4975">
        <w:trPr>
          <w:trHeight w:val="269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BADCC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7398F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test_rac_connection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8039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Health check and connection status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F3749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Verify API connectivity and see which entities are connected</w:t>
            </w:r>
          </w:p>
        </w:tc>
      </w:tr>
      <w:tr w:rsidR="009A396F" w:rsidRPr="009A396F" w14:paraId="6B4964C6" w14:textId="77777777" w:rsidTr="00EC4975">
        <w:trPr>
          <w:trHeight w:val="273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E45DDD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1EE14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get_organizations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6CC6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List connected Xero entities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DD44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Check active/expired connections across RAC portfolio</w:t>
            </w:r>
          </w:p>
        </w:tc>
      </w:tr>
      <w:tr w:rsidR="009A396F" w:rsidRPr="009A396F" w14:paraId="1738E710" w14:textId="77777777" w:rsidTr="00EC4975">
        <w:trPr>
          <w:trHeight w:val="277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ABEF6B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E6DD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get_trial_balance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8408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Individual entity trial balance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2CEE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 balance sheet structure and verify debits = credits</w:t>
            </w:r>
          </w:p>
        </w:tc>
      </w:tr>
      <w:tr w:rsidR="009A396F" w:rsidRPr="009A396F" w14:paraId="795DFB8D" w14:textId="77777777" w:rsidTr="00EC4975">
        <w:trPr>
          <w:trHeight w:val="267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05149F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5005D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get_consolidated_trial_balance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BB924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Multi-entity consolidated view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A6D41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Portfolio-wide financial position analysis</w:t>
            </w:r>
          </w:p>
        </w:tc>
      </w:tr>
      <w:tr w:rsidR="009A396F" w:rsidRPr="009A396F" w14:paraId="15CDBAA5" w14:textId="77777777" w:rsidTr="00EC4975">
        <w:trPr>
          <w:trHeight w:val="285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83F1F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5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4C38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get_cash_position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F6E2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Bank account balances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FD5E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Monitor liquidity across entities</w:t>
            </w:r>
          </w:p>
        </w:tc>
      </w:tr>
      <w:tr w:rsidR="009A396F" w:rsidRPr="009A396F" w14:paraId="6775CA1E" w14:textId="77777777" w:rsidTr="00EC4975">
        <w:trPr>
          <w:trHeight w:val="275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E07F6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6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2ECD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get_outstanding_invoices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3E6D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Unpaid customer invoices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B87CF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Track receivables and cash flow timing</w:t>
            </w:r>
          </w:p>
        </w:tc>
      </w:tr>
      <w:tr w:rsidR="009A396F" w:rsidRPr="009A396F" w14:paraId="600B61DC" w14:textId="77777777" w:rsidTr="00EC4975">
        <w:trPr>
          <w:trHeight w:val="265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D7CA66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7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C7B4D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get_journal_entries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276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Manual journal entry analysis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03D2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Find unusual or large manual postings</w:t>
            </w:r>
          </w:p>
        </w:tc>
      </w:tr>
      <w:tr w:rsidR="009A396F" w:rsidRPr="009A396F" w14:paraId="0FD20A81" w14:textId="77777777" w:rsidTr="00EC4975">
        <w:trPr>
          <w:trHeight w:val="283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61535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8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85563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analyze_equity_movements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0AD94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Equity account transaction history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CEEB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Track changes in capital/retained earnings</w:t>
            </w:r>
          </w:p>
        </w:tc>
      </w:tr>
      <w:tr w:rsidR="009A396F" w:rsidRPr="009A396F" w14:paraId="3953C2EE" w14:textId="77777777" w:rsidTr="00EC4975">
        <w:trPr>
          <w:trHeight w:val="259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E9B761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9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CC6C7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get_account_history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7F28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Detailed account transaction log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50A95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Investigate specific account movements</w:t>
            </w:r>
          </w:p>
        </w:tc>
      </w:tr>
      <w:tr w:rsidR="009A396F" w:rsidRPr="009A396F" w14:paraId="19BC23E1" w14:textId="77777777" w:rsidTr="00EC4975">
        <w:trPr>
          <w:trHeight w:val="291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A0544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10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F59E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check_bank_reconciliation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882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Compare trial balance vs bank feeds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7DF6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Identify discrepancies between books and banks</w:t>
            </w:r>
          </w:p>
        </w:tc>
      </w:tr>
      <w:tr w:rsidR="009A396F" w:rsidRPr="009A396F" w14:paraId="0CC5807D" w14:textId="77777777" w:rsidTr="00EC4975">
        <w:trPr>
          <w:trHeight w:val="267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93C96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63C22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find_unbalanced_transactions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9E91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Locate problematic journal entries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9260D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Find entries causing trial balance issues</w:t>
            </w:r>
          </w:p>
        </w:tc>
      </w:tr>
      <w:tr w:rsidR="009A396F" w:rsidRPr="009A396F" w14:paraId="00AAD8E1" w14:textId="77777777" w:rsidTr="00EC4975">
        <w:trPr>
          <w:trHeight w:val="271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F04FE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45FB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get_chart_of_accounts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B9D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Complete account structure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2A9D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 account setup and identify unusual accounts</w:t>
            </w:r>
          </w:p>
        </w:tc>
      </w:tr>
      <w:tr w:rsidR="009A396F" w:rsidRPr="009A396F" w14:paraId="3651DFF1" w14:textId="77777777" w:rsidTr="00EC4975">
        <w:trPr>
          <w:trHeight w:val="275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EEA8F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39FB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investigate_imbalance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22D8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Comprehensive imbalance analysis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93B2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Automated diagnosis of trial balance problems</w:t>
            </w:r>
          </w:p>
        </w:tc>
      </w:tr>
      <w:tr w:rsidR="009A396F" w:rsidRPr="009A396F" w14:paraId="5000435D" w14:textId="77777777" w:rsidTr="00EC4975">
        <w:trPr>
          <w:trHeight w:val="265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8F6F1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65F3" w14:textId="77777777" w:rsidR="009A396F" w:rsidRPr="009A396F" w:rsidRDefault="009A396F" w:rsidP="009A396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9A396F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compare_periods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1F26B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Period-over-period comparison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DD63A" w14:textId="77777777" w:rsidR="009A396F" w:rsidRPr="009A396F" w:rsidRDefault="009A396F" w:rsidP="009A39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9A396F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Track changes between reporting dates</w:t>
            </w:r>
          </w:p>
        </w:tc>
      </w:tr>
    </w:tbl>
    <w:p w14:paraId="4FEC7EE4" w14:textId="77777777" w:rsidR="00F30256" w:rsidRDefault="00F30256" w:rsidP="00F30256">
      <w:pPr>
        <w:ind w:left="720"/>
      </w:pPr>
    </w:p>
    <w:p w14:paraId="0EAA0F82" w14:textId="2A9E0453" w:rsidR="00EC4975" w:rsidRDefault="00EC4975" w:rsidP="00EC4975">
      <w:pPr>
        <w:pStyle w:val="ListParagraph"/>
        <w:numPr>
          <w:ilvl w:val="0"/>
          <w:numId w:val="1"/>
        </w:numPr>
      </w:pPr>
      <w:r>
        <w:t xml:space="preserve">The process of query is </w:t>
      </w:r>
    </w:p>
    <w:p w14:paraId="4BDF31BE" w14:textId="77777777" w:rsidR="00EC4975" w:rsidRDefault="00EC4975" w:rsidP="00EC4975">
      <w:pPr>
        <w:pStyle w:val="ListParagraph"/>
      </w:pPr>
    </w:p>
    <w:p w14:paraId="64E6CBB2" w14:textId="77777777" w:rsidR="00EC4975" w:rsidRDefault="00EC4975" w:rsidP="00EC4975">
      <w:pPr>
        <w:pStyle w:val="ListParagraph"/>
      </w:pPr>
      <w:r>
        <w:t>Ask a question of CD</w:t>
      </w:r>
    </w:p>
    <w:p w14:paraId="050364BC" w14:textId="7C102500" w:rsidR="00EC4975" w:rsidRDefault="00EC4975" w:rsidP="00EC4975">
      <w:pPr>
        <w:pStyle w:val="ListParagraph"/>
      </w:pPr>
      <w:r>
        <w:t>CD Runs a</w:t>
      </w:r>
      <w:r w:rsidR="00B40228">
        <w:t xml:space="preserve"> prebuilt</w:t>
      </w:r>
      <w:r>
        <w:t xml:space="preserve"> query</w:t>
      </w:r>
      <w:r w:rsidR="00B40228">
        <w:t xml:space="preserve"> such as those above or below</w:t>
      </w:r>
      <w:r>
        <w:br/>
        <w:t>CD Respond</w:t>
      </w:r>
      <w:r w:rsidR="00B40228">
        <w:t>s out of that data</w:t>
      </w:r>
      <w:r>
        <w:br/>
      </w:r>
    </w:p>
    <w:p w14:paraId="0192706A" w14:textId="4ABA95D9" w:rsidR="00EC4975" w:rsidRDefault="00B40228" w:rsidP="00F30256">
      <w:pPr>
        <w:ind w:left="720"/>
      </w:pPr>
      <w:r>
        <w:br/>
      </w:r>
      <w:r>
        <w:br/>
      </w:r>
    </w:p>
    <w:p w14:paraId="0B995953" w14:textId="69EF3246" w:rsidR="009A396F" w:rsidRDefault="009A396F" w:rsidP="00F30256">
      <w:pPr>
        <w:ind w:left="720"/>
      </w:pPr>
      <w:r>
        <w:lastRenderedPageBreak/>
        <w:t>I asked Claude what else should we build – it suggested the following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378"/>
        <w:gridCol w:w="2271"/>
        <w:gridCol w:w="1599"/>
        <w:gridCol w:w="4111"/>
      </w:tblGrid>
      <w:tr w:rsidR="00EC4975" w:rsidRPr="00EC4975" w14:paraId="00924721" w14:textId="77777777" w:rsidTr="00EC4975">
        <w:trPr>
          <w:trHeight w:val="252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5C202801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 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8ABA0C7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Suggested Tool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B43DA2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Purpose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5148DD8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Business Value</w:t>
            </w:r>
          </w:p>
        </w:tc>
      </w:tr>
      <w:tr w:rsidR="00EC4975" w:rsidRPr="00EC4975" w14:paraId="692E88D6" w14:textId="77777777" w:rsidTr="00EC4975">
        <w:trPr>
          <w:trHeight w:val="413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5E2F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F675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get_profit_loss_summary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7D37D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P&amp;L analysis by entity/period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30B6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Revenue and expense monitoring</w:t>
            </w:r>
          </w:p>
        </w:tc>
      </w:tr>
      <w:tr w:rsidR="00EC4975" w:rsidRPr="00EC4975" w14:paraId="1EC252B6" w14:textId="77777777" w:rsidTr="00EC4975">
        <w:trPr>
          <w:trHeight w:val="42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4467F6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29A1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analyze_cash_flow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AB020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Cash flow statement generation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37CAA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Predict liquidity needs</w:t>
            </w:r>
          </w:p>
        </w:tc>
      </w:tr>
      <w:tr w:rsidR="00EC4975" w:rsidRPr="00EC4975" w14:paraId="43CBDDBE" w14:textId="77777777" w:rsidTr="00EC4975">
        <w:trPr>
          <w:trHeight w:val="411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BD880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D6BCF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get_aged_receivables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DBEB7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Customer payment aging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A362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Identify overdue accounts</w:t>
            </w:r>
          </w:p>
        </w:tc>
      </w:tr>
      <w:tr w:rsidR="00EC4975" w:rsidRPr="00EC4975" w14:paraId="4672EE89" w14:textId="77777777" w:rsidTr="00EC4975">
        <w:trPr>
          <w:trHeight w:val="417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6939E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0D2F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get_aged_payables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966C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Supplier payment aging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789C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Manage payment timing</w:t>
            </w:r>
          </w:p>
        </w:tc>
      </w:tr>
      <w:tr w:rsidR="00EC4975" w:rsidRPr="00EC4975" w14:paraId="05B0CB4B" w14:textId="77777777" w:rsidTr="00EC4975">
        <w:trPr>
          <w:trHeight w:val="266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5CCE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19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23FD7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analyze_expense_categories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DBFE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Expense breakdown and trends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F84A6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Budget variance analysis</w:t>
            </w:r>
          </w:p>
        </w:tc>
      </w:tr>
      <w:tr w:rsidR="00EC4975" w:rsidRPr="00EC4975" w14:paraId="275CE3BD" w14:textId="77777777" w:rsidTr="00EC4975">
        <w:trPr>
          <w:trHeight w:val="343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73C0CE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8064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get_intercompany_transactions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26933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Cross-entity transaction analysis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A08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Consolidation and compliance</w:t>
            </w:r>
          </w:p>
        </w:tc>
      </w:tr>
      <w:tr w:rsidR="00EC4975" w:rsidRPr="00EC4975" w14:paraId="4C7AD68E" w14:textId="77777777" w:rsidTr="00EC4975">
        <w:trPr>
          <w:trHeight w:val="277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97FD6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9F4BB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check_gst_reconciliation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E886C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GST calculation validation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44C9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Tax compliance verification</w:t>
            </w:r>
          </w:p>
        </w:tc>
      </w:tr>
      <w:tr w:rsidR="00EC4975" w:rsidRPr="00EC4975" w14:paraId="1FAAAF33" w14:textId="77777777" w:rsidTr="00EC4975">
        <w:trPr>
          <w:trHeight w:val="338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5EB1E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9618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get_budget_variance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FF966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Actual vs budget comparison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FA06F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Performance monitoring</w:t>
            </w:r>
          </w:p>
        </w:tc>
      </w:tr>
      <w:tr w:rsidR="00EC4975" w:rsidRPr="00EC4975" w14:paraId="0B462C05" w14:textId="77777777" w:rsidTr="00EC4975">
        <w:trPr>
          <w:trHeight w:val="417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FE814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73C14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analyze_customer_concentration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AC00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Top customer revenue analysis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429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Risk assessment</w:t>
            </w:r>
          </w:p>
        </w:tc>
      </w:tr>
      <w:tr w:rsidR="00EC4975" w:rsidRPr="00EC4975" w14:paraId="3ACB328C" w14:textId="77777777" w:rsidTr="00EC4975">
        <w:trPr>
          <w:trHeight w:val="395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35FC9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E5CB0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get_financial_ratios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6AE65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Key financial ratio calculation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D2618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Performance benchmarking</w:t>
            </w:r>
          </w:p>
        </w:tc>
      </w:tr>
      <w:tr w:rsidR="00EC4975" w:rsidRPr="00EC4975" w14:paraId="5C71BDC2" w14:textId="77777777" w:rsidTr="00EC4975">
        <w:trPr>
          <w:trHeight w:val="347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EF7CF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7698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track_recurring_revenue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3A07A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Subscription/recurring income analysis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3A84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Revenue predictability</w:t>
            </w:r>
          </w:p>
        </w:tc>
      </w:tr>
      <w:tr w:rsidR="00EC4975" w:rsidRPr="00EC4975" w14:paraId="4EC33E7F" w14:textId="77777777" w:rsidTr="00EC4975">
        <w:trPr>
          <w:trHeight w:val="313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99338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26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99B8" w14:textId="77777777" w:rsidR="00EC4975" w:rsidRPr="00EC4975" w:rsidRDefault="00EC4975" w:rsidP="00EC497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proofErr w:type="spellStart"/>
            <w:r w:rsidRPr="00EC4975">
              <w:rPr>
                <w:rFonts w:ascii="Arial Unicode MS" w:eastAsia="Times New Roman" w:hAnsi="Arial Unicode MS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analyze_seasonal_trends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0188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Monthly/quarterly pattern analysis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EA882" w14:textId="77777777" w:rsidR="00EC4975" w:rsidRPr="00EC4975" w:rsidRDefault="00EC4975" w:rsidP="00EC49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</w:pPr>
            <w:r w:rsidRPr="00EC497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n-AU"/>
                <w14:ligatures w14:val="none"/>
              </w:rPr>
              <w:t>Forecasting support</w:t>
            </w:r>
          </w:p>
        </w:tc>
      </w:tr>
    </w:tbl>
    <w:p w14:paraId="2F254675" w14:textId="77777777" w:rsidR="009A396F" w:rsidRDefault="009A396F" w:rsidP="00F30256">
      <w:pPr>
        <w:ind w:left="720"/>
      </w:pPr>
    </w:p>
    <w:p w14:paraId="3BED56A0" w14:textId="77777777" w:rsidR="00F30256" w:rsidRDefault="00F30256"/>
    <w:sectPr w:rsidR="00F3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463"/>
    <w:multiLevelType w:val="hybridMultilevel"/>
    <w:tmpl w:val="02BC25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78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56"/>
    <w:rsid w:val="005A0113"/>
    <w:rsid w:val="009A396F"/>
    <w:rsid w:val="00A503EC"/>
    <w:rsid w:val="00B40228"/>
    <w:rsid w:val="00D424E5"/>
    <w:rsid w:val="00EC4975"/>
    <w:rsid w:val="00F30256"/>
    <w:rsid w:val="00F8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A944"/>
  <w15:chartTrackingRefBased/>
  <w15:docId w15:val="{95FA55AD-8277-49B1-9E9B-026E57B4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Kuru</dc:creator>
  <cp:keywords/>
  <dc:description/>
  <cp:lastModifiedBy>Duane Kuru</cp:lastModifiedBy>
  <cp:revision>1</cp:revision>
  <dcterms:created xsi:type="dcterms:W3CDTF">2025-08-26T23:13:00Z</dcterms:created>
  <dcterms:modified xsi:type="dcterms:W3CDTF">2025-08-27T23:05:00Z</dcterms:modified>
</cp:coreProperties>
</file>