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F3590" w14:textId="77777777" w:rsidR="003A36D6" w:rsidRDefault="00000000">
      <w:pPr>
        <w:spacing w:after="80"/>
      </w:pPr>
      <w:r>
        <w:rPr>
          <w:color w:val="605E5C"/>
          <w:sz w:val="28"/>
          <w:szCs w:val="28"/>
        </w:rPr>
        <w:t>Rirratjingu Aboriginal Corporation</w:t>
      </w:r>
    </w:p>
    <w:p w14:paraId="42D6A051" w14:textId="77777777" w:rsidR="003A36D6" w:rsidRDefault="00000000">
      <w:pPr>
        <w:spacing w:after="40"/>
      </w:pPr>
      <w:r>
        <w:rPr>
          <w:b/>
          <w:bCs/>
          <w:color w:val="2E5A88"/>
          <w:sz w:val="48"/>
          <w:szCs w:val="48"/>
        </w:rPr>
        <w:t>Known Xero API Discrepancies</w:t>
      </w:r>
    </w:p>
    <w:p w14:paraId="3ED11672" w14:textId="77777777" w:rsidR="003A36D6" w:rsidRDefault="00000000">
      <w:pPr>
        <w:pBdr>
          <w:bottom w:val="single" w:sz="6" w:space="1" w:color="2E5A88"/>
        </w:pBdr>
        <w:spacing w:after="200"/>
      </w:pPr>
      <w:r>
        <w:rPr>
          <w:i/>
          <w:iCs/>
          <w:color w:val="8A8886"/>
          <w:sz w:val="24"/>
          <w:szCs w:val="24"/>
        </w:rPr>
        <w:t>RAC Business Dashboard — Reference Document</w:t>
      </w:r>
    </w:p>
    <w:tbl>
      <w:tblPr>
        <w:tblW w:w="4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tblGrid>
      <w:tr w:rsidR="003A36D6" w14:paraId="120B6BA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56F724" w14:textId="77777777" w:rsidR="003A36D6" w:rsidRDefault="00000000">
            <w:r>
              <w:rPr>
                <w:b/>
                <w:bCs/>
                <w:color w:val="333333"/>
                <w:sz w:val="20"/>
                <w:szCs w:val="20"/>
              </w:rPr>
              <w:t>Version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541738" w14:textId="77777777" w:rsidR="003A36D6" w:rsidRDefault="00000000">
            <w:r>
              <w:rPr>
                <w:color w:val="333333"/>
                <w:sz w:val="20"/>
                <w:szCs w:val="20"/>
              </w:rPr>
              <w:t>1.0</w:t>
            </w:r>
          </w:p>
        </w:tc>
      </w:tr>
      <w:tr w:rsidR="003A36D6" w14:paraId="624BB26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2CC060" w14:textId="77777777" w:rsidR="003A36D6" w:rsidRDefault="00000000">
            <w:r>
              <w:rPr>
                <w:b/>
                <w:bCs/>
                <w:color w:val="333333"/>
                <w:sz w:val="20"/>
                <w:szCs w:val="20"/>
              </w:rPr>
              <w:t>Date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DD13C1" w14:textId="77777777" w:rsidR="003A36D6" w:rsidRDefault="00000000">
            <w:r>
              <w:rPr>
                <w:color w:val="333333"/>
                <w:sz w:val="20"/>
                <w:szCs w:val="20"/>
              </w:rPr>
              <w:t>February 2026</w:t>
            </w:r>
          </w:p>
        </w:tc>
      </w:tr>
      <w:tr w:rsidR="003A36D6" w14:paraId="4EA51B2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08B4E0" w14:textId="77777777" w:rsidR="003A36D6" w:rsidRDefault="00000000">
            <w:r>
              <w:rPr>
                <w:b/>
                <w:bCs/>
                <w:color w:val="333333"/>
                <w:sz w:val="20"/>
                <w:szCs w:val="20"/>
              </w:rPr>
              <w:t>Author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0FAE79" w14:textId="77777777" w:rsidR="003A36D6" w:rsidRDefault="00000000">
            <w:r>
              <w:rPr>
                <w:color w:val="333333"/>
                <w:sz w:val="20"/>
                <w:szCs w:val="20"/>
              </w:rPr>
              <w:t>Duane Kuru</w:t>
            </w:r>
          </w:p>
        </w:tc>
      </w:tr>
      <w:tr w:rsidR="003A36D6" w14:paraId="256BF75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1017D7" w14:textId="77777777" w:rsidR="003A36D6" w:rsidRDefault="00000000">
            <w:r>
              <w:rPr>
                <w:b/>
                <w:bCs/>
                <w:color w:val="333333"/>
                <w:sz w:val="20"/>
                <w:szCs w:val="20"/>
              </w:rPr>
              <w:t>Status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6F5711" w14:textId="77777777" w:rsidR="003A36D6" w:rsidRDefault="00000000">
            <w:r>
              <w:rPr>
                <w:color w:val="333333"/>
                <w:sz w:val="20"/>
                <w:szCs w:val="20"/>
              </w:rPr>
              <w:t>Living Document</w:t>
            </w:r>
          </w:p>
        </w:tc>
      </w:tr>
    </w:tbl>
    <w:p w14:paraId="39FCF8CF" w14:textId="77777777" w:rsidR="003A36D6" w:rsidRDefault="003A36D6">
      <w:pPr>
        <w:spacing w:before="80" w:after="80"/>
      </w:pPr>
    </w:p>
    <w:p w14:paraId="38E1F11F" w14:textId="77777777" w:rsidR="003A36D6" w:rsidRDefault="00000000">
      <w:pPr>
        <w:pStyle w:val="Heading1"/>
      </w:pPr>
      <w:r>
        <w:t>Purpose</w:t>
      </w:r>
    </w:p>
    <w:p w14:paraId="4EEBF685" w14:textId="77777777" w:rsidR="003A36D6" w:rsidRDefault="00000000">
      <w:pPr>
        <w:spacing w:after="200"/>
      </w:pPr>
      <w:r>
        <w:rPr>
          <w:color w:val="333333"/>
        </w:rPr>
        <w:t>The RAC Business Dashboard retrieves financial data from multiple Xero API endpoints. In some cases, different Xero APIs return slightly different figures for what appears to be the same metric. These are not dashboard bugs — they are known behaviours of the Xero API.</w:t>
      </w:r>
    </w:p>
    <w:p w14:paraId="4D5D385D" w14:textId="77777777" w:rsidR="003A36D6" w:rsidRDefault="00000000">
      <w:pPr>
        <w:spacing w:after="200"/>
      </w:pPr>
      <w:r>
        <w:rPr>
          <w:color w:val="333333"/>
        </w:rPr>
        <w:t>This document catalogues each known discrepancy so that finance team members and future developers can quickly identify the cause when figures don’t match exactly between the dashboard, Xero reports, and historical snapshots.</w:t>
      </w:r>
    </w:p>
    <w:p w14:paraId="0C481EC8" w14:textId="77777777" w:rsidR="003A36D6" w:rsidRDefault="00000000">
      <w:pPr>
        <w:spacing w:after="200"/>
      </w:pPr>
      <w:r>
        <w:rPr>
          <w:b/>
          <w:bCs/>
          <w:color w:val="F57C00"/>
        </w:rPr>
        <w:t>This is a living document. Add new discrepancies as they are discovered.</w:t>
      </w:r>
    </w:p>
    <w:p w14:paraId="45D18DB6" w14:textId="77777777" w:rsidR="003A36D6" w:rsidRDefault="00000000">
      <w:pPr>
        <w:pStyle w:val="Heading1"/>
      </w:pPr>
      <w:r>
        <w:t>1. Cash Position: Bank Summary vs Balance Sheet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A36D6" w14:paraId="34DF2A4D" w14:textId="77777777">
        <w:tblPrEx>
          <w:tblCellMar>
            <w:top w:w="0" w:type="dxa"/>
            <w:bottom w:w="0" w:type="dxa"/>
          </w:tblCellMar>
        </w:tblPrEx>
        <w:tc>
          <w:tcPr>
            <w:tcW w:w="2400" w:type="dxa"/>
            <w:tcBorders>
              <w:top w:val="single" w:sz="1" w:space="0" w:color="2E5A88"/>
              <w:left w:val="single" w:sz="1" w:space="0" w:color="2E5A88"/>
              <w:bottom w:val="single" w:sz="1" w:space="0" w:color="2E5A88"/>
              <w:right w:val="single" w:sz="1" w:space="0" w:color="2E5A88"/>
            </w:tcBorders>
            <w:shd w:val="clear" w:color="auto" w:fill="2E5A88"/>
            <w:tcMar>
              <w:top w:w="80" w:type="dxa"/>
              <w:left w:w="120" w:type="dxa"/>
              <w:bottom w:w="80" w:type="dxa"/>
              <w:right w:w="120" w:type="dxa"/>
            </w:tcMar>
          </w:tcPr>
          <w:p w14:paraId="13365BA8" w14:textId="77777777" w:rsidR="003A36D6" w:rsidRDefault="00000000">
            <w:r>
              <w:rPr>
                <w:b/>
                <w:bCs/>
                <w:color w:val="FFFFFF"/>
                <w:sz w:val="20"/>
                <w:szCs w:val="20"/>
              </w:rPr>
              <w:t>Detail</w:t>
            </w:r>
          </w:p>
        </w:tc>
        <w:tc>
          <w:tcPr>
            <w:tcW w:w="6960" w:type="dxa"/>
            <w:tcBorders>
              <w:top w:val="single" w:sz="1" w:space="0" w:color="2E5A88"/>
              <w:left w:val="single" w:sz="1" w:space="0" w:color="2E5A88"/>
              <w:bottom w:val="single" w:sz="1" w:space="0" w:color="2E5A88"/>
              <w:right w:val="single" w:sz="1" w:space="0" w:color="2E5A88"/>
            </w:tcBorders>
            <w:shd w:val="clear" w:color="auto" w:fill="2E5A88"/>
            <w:tcMar>
              <w:top w:w="80" w:type="dxa"/>
              <w:left w:w="120" w:type="dxa"/>
              <w:bottom w:w="80" w:type="dxa"/>
              <w:right w:w="120" w:type="dxa"/>
            </w:tcMar>
          </w:tcPr>
          <w:p w14:paraId="2766FC06" w14:textId="77777777" w:rsidR="003A36D6" w:rsidRDefault="00000000">
            <w:r>
              <w:rPr>
                <w:b/>
                <w:bCs/>
                <w:color w:val="FFFFFF"/>
                <w:sz w:val="20"/>
                <w:szCs w:val="20"/>
              </w:rPr>
              <w:t>Description</w:t>
            </w:r>
          </w:p>
        </w:tc>
      </w:tr>
      <w:tr w:rsidR="003A36D6" w14:paraId="69E7A4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66A7AF" w14:textId="77777777" w:rsidR="003A36D6" w:rsidRDefault="00000000">
            <w:r>
              <w:rPr>
                <w:b/>
                <w:bCs/>
                <w:color w:val="333333"/>
                <w:sz w:val="20"/>
                <w:szCs w:val="20"/>
              </w:rPr>
              <w:t>Symptom</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3BCB01" w14:textId="77777777" w:rsidR="003A36D6" w:rsidRDefault="00000000">
            <w:r>
              <w:rPr>
                <w:color w:val="333333"/>
                <w:sz w:val="20"/>
                <w:szCs w:val="20"/>
              </w:rPr>
              <w:t>The Cash Position KPI on the dashboard may differ from the cash figure in the Balance Sheet card and from historical snapshot data by a small to moderate amount.</w:t>
            </w:r>
          </w:p>
        </w:tc>
      </w:tr>
      <w:tr w:rsidR="003A36D6" w14:paraId="66D10F8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9FAD99" w14:textId="77777777" w:rsidR="003A36D6" w:rsidRDefault="00000000">
            <w:r>
              <w:rPr>
                <w:b/>
                <w:bCs/>
                <w:color w:val="333333"/>
                <w:sz w:val="20"/>
                <w:szCs w:val="20"/>
              </w:rPr>
              <w:t>Dashboard Source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3CFA0" w14:textId="77777777" w:rsidR="003A36D6" w:rsidRDefault="00000000">
            <w:r>
              <w:rPr>
                <w:color w:val="333333"/>
                <w:sz w:val="20"/>
                <w:szCs w:val="20"/>
              </w:rPr>
              <w:t>Cash Position KPI uses the Xero Bank Summary Report API (</w:t>
            </w:r>
            <w:proofErr w:type="spellStart"/>
            <w:r>
              <w:rPr>
                <w:color w:val="333333"/>
                <w:sz w:val="20"/>
                <w:szCs w:val="20"/>
              </w:rPr>
              <w:t>getReportBankSummary</w:t>
            </w:r>
            <w:proofErr w:type="spellEnd"/>
            <w:r>
              <w:rPr>
                <w:color w:val="333333"/>
                <w:sz w:val="20"/>
                <w:szCs w:val="20"/>
              </w:rPr>
              <w:t>). This returns the closing balance for each bank account including unreconciled statement lines.</w:t>
            </w:r>
          </w:p>
        </w:tc>
      </w:tr>
      <w:tr w:rsidR="003A36D6" w14:paraId="6F440D9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4CB4A8" w14:textId="77777777" w:rsidR="003A36D6" w:rsidRDefault="00000000">
            <w:r>
              <w:rPr>
                <w:b/>
                <w:bCs/>
                <w:color w:val="333333"/>
                <w:sz w:val="20"/>
                <w:szCs w:val="20"/>
              </w:rPr>
              <w:t>Snapshot Source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BB8759" w14:textId="77777777" w:rsidR="003A36D6" w:rsidRDefault="00000000">
            <w:r>
              <w:rPr>
                <w:color w:val="333333"/>
                <w:sz w:val="20"/>
                <w:szCs w:val="20"/>
              </w:rPr>
              <w:t>Daily snapshots and Balance Sheet use the Xero Balance Sheet Report API (</w:t>
            </w:r>
            <w:proofErr w:type="spellStart"/>
            <w:r>
              <w:rPr>
                <w:color w:val="333333"/>
                <w:sz w:val="20"/>
                <w:szCs w:val="20"/>
              </w:rPr>
              <w:t>getReportBalanceSheet</w:t>
            </w:r>
            <w:proofErr w:type="spellEnd"/>
            <w:r>
              <w:rPr>
                <w:color w:val="333333"/>
                <w:sz w:val="20"/>
                <w:szCs w:val="20"/>
              </w:rPr>
              <w:t>). This returns only posted/reconciled balances.</w:t>
            </w:r>
          </w:p>
        </w:tc>
      </w:tr>
      <w:tr w:rsidR="003A36D6" w14:paraId="5437A05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CB274A" w14:textId="77777777" w:rsidR="003A36D6" w:rsidRDefault="00000000">
            <w:r>
              <w:rPr>
                <w:b/>
                <w:bCs/>
                <w:color w:val="333333"/>
                <w:sz w:val="20"/>
                <w:szCs w:val="20"/>
              </w:rPr>
              <w:t>Root Cause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AF17FA" w14:textId="77777777" w:rsidR="003A36D6" w:rsidRDefault="00000000">
            <w:r>
              <w:rPr>
                <w:color w:val="333333"/>
                <w:sz w:val="20"/>
                <w:szCs w:val="20"/>
              </w:rPr>
              <w:t>Unreconciled bank transactions (received but not yet matched in Xero) appear in the Bank Summary but not the Balance Sheet. This is standard Xero behaviour.</w:t>
            </w:r>
          </w:p>
        </w:tc>
      </w:tr>
      <w:tr w:rsidR="003A36D6" w14:paraId="6FA74F6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0F3797" w14:textId="77777777" w:rsidR="003A36D6" w:rsidRDefault="00000000">
            <w:r>
              <w:rPr>
                <w:b/>
                <w:bCs/>
                <w:color w:val="333333"/>
                <w:sz w:val="20"/>
                <w:szCs w:val="20"/>
              </w:rPr>
              <w:t>Typical Variance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D4A413" w14:textId="77777777" w:rsidR="003A36D6" w:rsidRDefault="00000000">
            <w:r>
              <w:rPr>
                <w:color w:val="333333"/>
                <w:sz w:val="20"/>
                <w:szCs w:val="20"/>
              </w:rPr>
              <w:t>Varies. Observed: $604,114 (Bank Summary) vs $587,397 (Balance Sheet) for Mining on 26 Feb 2026 — a $16,717 difference representing unreconciled items.</w:t>
            </w:r>
          </w:p>
        </w:tc>
      </w:tr>
      <w:tr w:rsidR="003A36D6" w14:paraId="68EA249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9F29B3" w14:textId="77777777" w:rsidR="003A36D6" w:rsidRDefault="00000000">
            <w:r>
              <w:rPr>
                <w:b/>
                <w:bCs/>
                <w:color w:val="333333"/>
                <w:sz w:val="20"/>
                <w:szCs w:val="20"/>
              </w:rPr>
              <w:lastRenderedPageBreak/>
              <w:t>Impact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0F5984" w14:textId="77777777" w:rsidR="003A36D6" w:rsidRDefault="00000000">
            <w:r>
              <w:rPr>
                <w:color w:val="333333"/>
                <w:sz w:val="20"/>
                <w:szCs w:val="20"/>
              </w:rPr>
              <w:t>The live Cash KPI shows a slightly more current view (includes pending items). Sparkline charts use snapshot data which is based on posted balances. Both are correct for their respective contexts.</w:t>
            </w:r>
          </w:p>
        </w:tc>
      </w:tr>
      <w:tr w:rsidR="003A36D6" w14:paraId="4E5DC4C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89F7F0" w14:textId="77777777" w:rsidR="003A36D6" w:rsidRDefault="00000000">
            <w:r>
              <w:rPr>
                <w:b/>
                <w:bCs/>
                <w:color w:val="333333"/>
                <w:sz w:val="20"/>
                <w:szCs w:val="20"/>
              </w:rPr>
              <w:t>Resolution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F9988A" w14:textId="77777777" w:rsidR="003A36D6" w:rsidRDefault="00000000">
            <w:r>
              <w:rPr>
                <w:color w:val="333333"/>
                <w:sz w:val="20"/>
                <w:szCs w:val="20"/>
              </w:rPr>
              <w:t>No action required. This is expected behaviour. The variance reduces to zero once bank reconciliation is completed in Xero.</w:t>
            </w:r>
          </w:p>
        </w:tc>
      </w:tr>
    </w:tbl>
    <w:p w14:paraId="7E527CD9" w14:textId="77777777" w:rsidR="003A36D6" w:rsidRDefault="003A36D6">
      <w:pPr>
        <w:spacing w:before="80" w:after="80"/>
      </w:pPr>
    </w:p>
    <w:p w14:paraId="3D8C9561" w14:textId="77777777" w:rsidR="003A36D6" w:rsidRDefault="00000000">
      <w:pPr>
        <w:pStyle w:val="Heading1"/>
      </w:pPr>
      <w:r>
        <w:t>2. Negative Monthly P&amp;L Due to Journal Reversals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A36D6" w14:paraId="7F36AE6C" w14:textId="77777777">
        <w:tblPrEx>
          <w:tblCellMar>
            <w:top w:w="0" w:type="dxa"/>
            <w:bottom w:w="0" w:type="dxa"/>
          </w:tblCellMar>
        </w:tblPrEx>
        <w:tc>
          <w:tcPr>
            <w:tcW w:w="2400" w:type="dxa"/>
            <w:tcBorders>
              <w:top w:val="single" w:sz="1" w:space="0" w:color="2E5A88"/>
              <w:left w:val="single" w:sz="1" w:space="0" w:color="2E5A88"/>
              <w:bottom w:val="single" w:sz="1" w:space="0" w:color="2E5A88"/>
              <w:right w:val="single" w:sz="1" w:space="0" w:color="2E5A88"/>
            </w:tcBorders>
            <w:shd w:val="clear" w:color="auto" w:fill="2E5A88"/>
            <w:tcMar>
              <w:top w:w="80" w:type="dxa"/>
              <w:left w:w="120" w:type="dxa"/>
              <w:bottom w:w="80" w:type="dxa"/>
              <w:right w:w="120" w:type="dxa"/>
            </w:tcMar>
          </w:tcPr>
          <w:p w14:paraId="554B9084" w14:textId="77777777" w:rsidR="003A36D6" w:rsidRDefault="00000000">
            <w:r>
              <w:rPr>
                <w:b/>
                <w:bCs/>
                <w:color w:val="FFFFFF"/>
                <w:sz w:val="20"/>
                <w:szCs w:val="20"/>
              </w:rPr>
              <w:t>Detail</w:t>
            </w:r>
          </w:p>
        </w:tc>
        <w:tc>
          <w:tcPr>
            <w:tcW w:w="6960" w:type="dxa"/>
            <w:tcBorders>
              <w:top w:val="single" w:sz="1" w:space="0" w:color="2E5A88"/>
              <w:left w:val="single" w:sz="1" w:space="0" w:color="2E5A88"/>
              <w:bottom w:val="single" w:sz="1" w:space="0" w:color="2E5A88"/>
              <w:right w:val="single" w:sz="1" w:space="0" w:color="2E5A88"/>
            </w:tcBorders>
            <w:shd w:val="clear" w:color="auto" w:fill="2E5A88"/>
            <w:tcMar>
              <w:top w:w="80" w:type="dxa"/>
              <w:left w:w="120" w:type="dxa"/>
              <w:bottom w:w="80" w:type="dxa"/>
              <w:right w:w="120" w:type="dxa"/>
            </w:tcMar>
          </w:tcPr>
          <w:p w14:paraId="4EF3EF78" w14:textId="77777777" w:rsidR="003A36D6" w:rsidRDefault="00000000">
            <w:r>
              <w:rPr>
                <w:b/>
                <w:bCs/>
                <w:color w:val="FFFFFF"/>
                <w:sz w:val="20"/>
                <w:szCs w:val="20"/>
              </w:rPr>
              <w:t>Description</w:t>
            </w:r>
          </w:p>
        </w:tc>
      </w:tr>
      <w:tr w:rsidR="003A36D6" w14:paraId="15310DC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CE71A6" w14:textId="77777777" w:rsidR="003A36D6" w:rsidRDefault="00000000">
            <w:r>
              <w:rPr>
                <w:b/>
                <w:bCs/>
                <w:color w:val="333333"/>
                <w:sz w:val="20"/>
                <w:szCs w:val="20"/>
              </w:rPr>
              <w:t>Symptom</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AD66D" w14:textId="77777777" w:rsidR="003A36D6" w:rsidRDefault="00000000">
            <w:r>
              <w:rPr>
                <w:color w:val="333333"/>
                <w:sz w:val="20"/>
                <w:szCs w:val="20"/>
              </w:rPr>
              <w:t>A completed month may show negative revenue and/or negative COGS in the monthly P&amp;L snapshots, causing an unexpected dip in sparkline and trend charts.</w:t>
            </w:r>
          </w:p>
        </w:tc>
      </w:tr>
      <w:tr w:rsidR="003A36D6" w14:paraId="7DB8B6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EB7B7E" w14:textId="77777777" w:rsidR="003A36D6" w:rsidRDefault="00000000">
            <w:r>
              <w:rPr>
                <w:b/>
                <w:bCs/>
                <w:color w:val="333333"/>
                <w:sz w:val="20"/>
                <w:szCs w:val="20"/>
              </w:rPr>
              <w:t>Example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D5A95" w14:textId="77777777" w:rsidR="003A36D6" w:rsidRDefault="00000000">
            <w:r>
              <w:rPr>
                <w:color w:val="333333"/>
                <w:sz w:val="20"/>
                <w:szCs w:val="20"/>
              </w:rPr>
              <w:t>Mining January 2026: Revenue -$85,480, COGS -$84,000. This followed December 2025: Revenue $465,677, COGS $456,267.</w:t>
            </w:r>
          </w:p>
        </w:tc>
      </w:tr>
      <w:tr w:rsidR="003A36D6" w14:paraId="4CBC5AC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39A68B" w14:textId="77777777" w:rsidR="003A36D6" w:rsidRDefault="00000000">
            <w:r>
              <w:rPr>
                <w:b/>
                <w:bCs/>
                <w:color w:val="333333"/>
                <w:sz w:val="20"/>
                <w:szCs w:val="20"/>
              </w:rPr>
              <w:t>Root Cause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B6ED59" w14:textId="77777777" w:rsidR="003A36D6" w:rsidRDefault="00000000">
            <w:r>
              <w:rPr>
                <w:color w:val="333333"/>
                <w:sz w:val="20"/>
                <w:szCs w:val="20"/>
              </w:rPr>
              <w:t>Month-end accrual journals posted in December (recognising revenue and costs early) are reversed in January. When viewed as a standalone month, January’s reversal entries exceed its actual trading activity, producing negative totals.</w:t>
            </w:r>
          </w:p>
        </w:tc>
      </w:tr>
      <w:tr w:rsidR="003A36D6" w14:paraId="5556A91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F37043" w14:textId="77777777" w:rsidR="003A36D6" w:rsidRDefault="00000000">
            <w:r>
              <w:rPr>
                <w:b/>
                <w:bCs/>
                <w:color w:val="333333"/>
                <w:sz w:val="20"/>
                <w:szCs w:val="20"/>
              </w:rPr>
              <w:t>Impact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26B0BA" w14:textId="77777777" w:rsidR="003A36D6" w:rsidRDefault="00000000">
            <w:r>
              <w:rPr>
                <w:color w:val="333333"/>
                <w:sz w:val="20"/>
                <w:szCs w:val="20"/>
              </w:rPr>
              <w:t>Sparklines and trend charts will show a dip in the reversal month. YTD totals remain correct because the accrual and reversal cancel out. This is a visual distortion of individual months, not a data error.</w:t>
            </w:r>
          </w:p>
        </w:tc>
      </w:tr>
      <w:tr w:rsidR="003A36D6" w14:paraId="359251E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27355" w14:textId="77777777" w:rsidR="003A36D6" w:rsidRDefault="00000000">
            <w:r>
              <w:rPr>
                <w:b/>
                <w:bCs/>
                <w:color w:val="333333"/>
                <w:sz w:val="20"/>
                <w:szCs w:val="20"/>
              </w:rPr>
              <w:t>Resolution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2F6DC2" w14:textId="77777777" w:rsidR="003A36D6" w:rsidRDefault="00000000">
            <w:r>
              <w:rPr>
                <w:color w:val="333333"/>
                <w:sz w:val="20"/>
                <w:szCs w:val="20"/>
              </w:rPr>
              <w:t>Use the 🔄 Reversals toggle on the dashboard to exclude specified reversal journals from P&amp;L figures. Matt can configure which journal types are excluded via “Save Selections.” The YTD figures will then show underlying trading performance without month-end timing noise.</w:t>
            </w:r>
          </w:p>
        </w:tc>
      </w:tr>
    </w:tbl>
    <w:p w14:paraId="495D5ED1" w14:textId="77777777" w:rsidR="003A36D6" w:rsidRDefault="003A36D6">
      <w:pPr>
        <w:spacing w:before="80" w:after="80"/>
      </w:pPr>
    </w:p>
    <w:p w14:paraId="1E0B457B" w14:textId="77777777" w:rsidR="003A36D6" w:rsidRDefault="00000000">
      <w:pPr>
        <w:pStyle w:val="Heading1"/>
      </w:pPr>
      <w:r>
        <w:t>3. GST-Inclusive vs GST-Exclusive Amounts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A36D6" w14:paraId="3BEF932D" w14:textId="77777777">
        <w:tblPrEx>
          <w:tblCellMar>
            <w:top w:w="0" w:type="dxa"/>
            <w:bottom w:w="0" w:type="dxa"/>
          </w:tblCellMar>
        </w:tblPrEx>
        <w:tc>
          <w:tcPr>
            <w:tcW w:w="2400" w:type="dxa"/>
            <w:tcBorders>
              <w:top w:val="single" w:sz="1" w:space="0" w:color="2E5A88"/>
              <w:left w:val="single" w:sz="1" w:space="0" w:color="2E5A88"/>
              <w:bottom w:val="single" w:sz="1" w:space="0" w:color="2E5A88"/>
              <w:right w:val="single" w:sz="1" w:space="0" w:color="2E5A88"/>
            </w:tcBorders>
            <w:shd w:val="clear" w:color="auto" w:fill="2E5A88"/>
            <w:tcMar>
              <w:top w:w="80" w:type="dxa"/>
              <w:left w:w="120" w:type="dxa"/>
              <w:bottom w:w="80" w:type="dxa"/>
              <w:right w:w="120" w:type="dxa"/>
            </w:tcMar>
          </w:tcPr>
          <w:p w14:paraId="31753316" w14:textId="77777777" w:rsidR="003A36D6" w:rsidRDefault="00000000">
            <w:r>
              <w:rPr>
                <w:b/>
                <w:bCs/>
                <w:color w:val="FFFFFF"/>
                <w:sz w:val="20"/>
                <w:szCs w:val="20"/>
              </w:rPr>
              <w:t>Detail</w:t>
            </w:r>
          </w:p>
        </w:tc>
        <w:tc>
          <w:tcPr>
            <w:tcW w:w="6960" w:type="dxa"/>
            <w:tcBorders>
              <w:top w:val="single" w:sz="1" w:space="0" w:color="2E5A88"/>
              <w:left w:val="single" w:sz="1" w:space="0" w:color="2E5A88"/>
              <w:bottom w:val="single" w:sz="1" w:space="0" w:color="2E5A88"/>
              <w:right w:val="single" w:sz="1" w:space="0" w:color="2E5A88"/>
            </w:tcBorders>
            <w:shd w:val="clear" w:color="auto" w:fill="2E5A88"/>
            <w:tcMar>
              <w:top w:w="80" w:type="dxa"/>
              <w:left w:w="120" w:type="dxa"/>
              <w:bottom w:w="80" w:type="dxa"/>
              <w:right w:w="120" w:type="dxa"/>
            </w:tcMar>
          </w:tcPr>
          <w:p w14:paraId="78359DB1" w14:textId="77777777" w:rsidR="003A36D6" w:rsidRDefault="00000000">
            <w:r>
              <w:rPr>
                <w:b/>
                <w:bCs/>
                <w:color w:val="FFFFFF"/>
                <w:sz w:val="20"/>
                <w:szCs w:val="20"/>
              </w:rPr>
              <w:t>Description</w:t>
            </w:r>
          </w:p>
        </w:tc>
      </w:tr>
      <w:tr w:rsidR="003A36D6" w14:paraId="1EE62B3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EDF332" w14:textId="77777777" w:rsidR="003A36D6" w:rsidRDefault="00000000">
            <w:r>
              <w:rPr>
                <w:b/>
                <w:bCs/>
                <w:color w:val="333333"/>
                <w:sz w:val="20"/>
                <w:szCs w:val="20"/>
              </w:rPr>
              <w:t>Symptom</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97BACC" w14:textId="77777777" w:rsidR="003A36D6" w:rsidRDefault="00000000">
            <w:r>
              <w:rPr>
                <w:color w:val="333333"/>
                <w:sz w:val="20"/>
                <w:szCs w:val="20"/>
              </w:rPr>
              <w:t>Revenue or expense figures on the dashboard may differ from what a user sees when viewing the same invoices in Xero’s invoice list, which defaults to showing GST-inclusive totals.</w:t>
            </w:r>
          </w:p>
        </w:tc>
      </w:tr>
      <w:tr w:rsidR="003A36D6" w14:paraId="08ADAD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1456E8" w14:textId="77777777" w:rsidR="003A36D6" w:rsidRDefault="00000000">
            <w:r>
              <w:rPr>
                <w:b/>
                <w:bCs/>
                <w:color w:val="333333"/>
                <w:sz w:val="20"/>
                <w:szCs w:val="20"/>
              </w:rPr>
              <w:t>Dashboard Source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570D7F" w14:textId="77777777" w:rsidR="003A36D6" w:rsidRDefault="00000000">
            <w:r>
              <w:rPr>
                <w:color w:val="333333"/>
                <w:sz w:val="20"/>
                <w:szCs w:val="20"/>
              </w:rPr>
              <w:t>The P&amp;L report API returns GST-exclusive figures (standard accounting treatment). All dashboard P&amp;L, Budget, and Ratio calculations use GST-exclusive amounts.</w:t>
            </w:r>
          </w:p>
        </w:tc>
      </w:tr>
      <w:tr w:rsidR="003A36D6" w14:paraId="55D1859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F399E8" w14:textId="77777777" w:rsidR="003A36D6" w:rsidRDefault="00000000">
            <w:r>
              <w:rPr>
                <w:b/>
                <w:bCs/>
                <w:color w:val="333333"/>
                <w:sz w:val="20"/>
                <w:szCs w:val="20"/>
              </w:rPr>
              <w:t>Root Cause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64099C" w14:textId="77777777" w:rsidR="003A36D6" w:rsidRDefault="00000000">
            <w:r>
              <w:rPr>
                <w:color w:val="333333"/>
                <w:sz w:val="20"/>
                <w:szCs w:val="20"/>
              </w:rPr>
              <w:t>Xero’s invoice views default to GST-inclusive display. The P&amp;L reporting API correctly strips GST. The difference is always exactly the GST component (typically 10%).</w:t>
            </w:r>
          </w:p>
        </w:tc>
      </w:tr>
      <w:tr w:rsidR="003A36D6" w14:paraId="7701719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FE6BC9" w14:textId="77777777" w:rsidR="003A36D6" w:rsidRDefault="00000000">
            <w:r>
              <w:rPr>
                <w:b/>
                <w:bCs/>
                <w:color w:val="333333"/>
                <w:sz w:val="20"/>
                <w:szCs w:val="20"/>
              </w:rPr>
              <w:t>Impact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79E2DF" w14:textId="77777777" w:rsidR="003A36D6" w:rsidRDefault="00000000">
            <w:r>
              <w:rPr>
                <w:color w:val="333333"/>
                <w:sz w:val="20"/>
                <w:szCs w:val="20"/>
              </w:rPr>
              <w:t>Users comparing individual invoice amounts against P&amp;L line items will see a ~10% difference. This is correct accounting treatment, not an error.</w:t>
            </w:r>
          </w:p>
        </w:tc>
      </w:tr>
      <w:tr w:rsidR="003A36D6" w14:paraId="47CC025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6F429D" w14:textId="77777777" w:rsidR="003A36D6" w:rsidRDefault="00000000">
            <w:r>
              <w:rPr>
                <w:b/>
                <w:bCs/>
                <w:color w:val="333333"/>
                <w:sz w:val="20"/>
                <w:szCs w:val="20"/>
              </w:rPr>
              <w:lastRenderedPageBreak/>
              <w:t>Resolution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5B40A7" w14:textId="77777777" w:rsidR="003A36D6" w:rsidRDefault="00000000">
            <w:r>
              <w:rPr>
                <w:color w:val="333333"/>
                <w:sz w:val="20"/>
                <w:szCs w:val="20"/>
              </w:rPr>
              <w:t>No action required. When comparing, switch Xero’s invoice view to “Amounts are Tax Exclusive” for a like-for-like comparison.</w:t>
            </w:r>
          </w:p>
        </w:tc>
      </w:tr>
    </w:tbl>
    <w:p w14:paraId="78818104" w14:textId="77777777" w:rsidR="003A36D6" w:rsidRDefault="003A36D6">
      <w:pPr>
        <w:spacing w:before="80" w:after="80"/>
      </w:pPr>
    </w:p>
    <w:p w14:paraId="1B3F6965" w14:textId="77777777" w:rsidR="003A36D6" w:rsidRDefault="00000000">
      <w:pPr>
        <w:pStyle w:val="Heading1"/>
      </w:pPr>
      <w:r>
        <w:t>4. Receivables: Invoice API vs Balance Sheet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A36D6" w14:paraId="345F2CC6" w14:textId="77777777">
        <w:tblPrEx>
          <w:tblCellMar>
            <w:top w:w="0" w:type="dxa"/>
            <w:bottom w:w="0" w:type="dxa"/>
          </w:tblCellMar>
        </w:tblPrEx>
        <w:tc>
          <w:tcPr>
            <w:tcW w:w="2400" w:type="dxa"/>
            <w:tcBorders>
              <w:top w:val="single" w:sz="1" w:space="0" w:color="2E5A88"/>
              <w:left w:val="single" w:sz="1" w:space="0" w:color="2E5A88"/>
              <w:bottom w:val="single" w:sz="1" w:space="0" w:color="2E5A88"/>
              <w:right w:val="single" w:sz="1" w:space="0" w:color="2E5A88"/>
            </w:tcBorders>
            <w:shd w:val="clear" w:color="auto" w:fill="2E5A88"/>
            <w:tcMar>
              <w:top w:w="80" w:type="dxa"/>
              <w:left w:w="120" w:type="dxa"/>
              <w:bottom w:w="80" w:type="dxa"/>
              <w:right w:w="120" w:type="dxa"/>
            </w:tcMar>
          </w:tcPr>
          <w:p w14:paraId="6ABB13BE" w14:textId="77777777" w:rsidR="003A36D6" w:rsidRDefault="00000000">
            <w:r>
              <w:rPr>
                <w:b/>
                <w:bCs/>
                <w:color w:val="FFFFFF"/>
                <w:sz w:val="20"/>
                <w:szCs w:val="20"/>
              </w:rPr>
              <w:t>Detail</w:t>
            </w:r>
          </w:p>
        </w:tc>
        <w:tc>
          <w:tcPr>
            <w:tcW w:w="6960" w:type="dxa"/>
            <w:tcBorders>
              <w:top w:val="single" w:sz="1" w:space="0" w:color="2E5A88"/>
              <w:left w:val="single" w:sz="1" w:space="0" w:color="2E5A88"/>
              <w:bottom w:val="single" w:sz="1" w:space="0" w:color="2E5A88"/>
              <w:right w:val="single" w:sz="1" w:space="0" w:color="2E5A88"/>
            </w:tcBorders>
            <w:shd w:val="clear" w:color="auto" w:fill="2E5A88"/>
            <w:tcMar>
              <w:top w:w="80" w:type="dxa"/>
              <w:left w:w="120" w:type="dxa"/>
              <w:bottom w:w="80" w:type="dxa"/>
              <w:right w:w="120" w:type="dxa"/>
            </w:tcMar>
          </w:tcPr>
          <w:p w14:paraId="25F147E0" w14:textId="77777777" w:rsidR="003A36D6" w:rsidRDefault="00000000">
            <w:r>
              <w:rPr>
                <w:b/>
                <w:bCs/>
                <w:color w:val="FFFFFF"/>
                <w:sz w:val="20"/>
                <w:szCs w:val="20"/>
              </w:rPr>
              <w:t>Description</w:t>
            </w:r>
          </w:p>
        </w:tc>
      </w:tr>
      <w:tr w:rsidR="003A36D6" w14:paraId="6229C92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457DF3" w14:textId="77777777" w:rsidR="003A36D6" w:rsidRDefault="00000000">
            <w:r>
              <w:rPr>
                <w:b/>
                <w:bCs/>
                <w:color w:val="333333"/>
                <w:sz w:val="20"/>
                <w:szCs w:val="20"/>
              </w:rPr>
              <w:t>Symptom</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D9AD5" w14:textId="77777777" w:rsidR="003A36D6" w:rsidRDefault="00000000">
            <w:r>
              <w:rPr>
                <w:color w:val="333333"/>
                <w:sz w:val="20"/>
                <w:szCs w:val="20"/>
              </w:rPr>
              <w:t>The Aged Debtors card total may not exactly match the Receivables KPI figure or the Trade Debtors line in the Balance Sheet.</w:t>
            </w:r>
          </w:p>
        </w:tc>
      </w:tr>
      <w:tr w:rsidR="003A36D6" w14:paraId="6C15441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15B241" w14:textId="77777777" w:rsidR="003A36D6" w:rsidRDefault="00000000">
            <w:r>
              <w:rPr>
                <w:b/>
                <w:bCs/>
                <w:color w:val="333333"/>
                <w:sz w:val="20"/>
                <w:szCs w:val="20"/>
              </w:rPr>
              <w:t>Dashboard Sources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645B73" w14:textId="77777777" w:rsidR="003A36D6" w:rsidRDefault="00000000">
            <w:r>
              <w:rPr>
                <w:color w:val="333333"/>
                <w:sz w:val="20"/>
                <w:szCs w:val="20"/>
              </w:rPr>
              <w:t>Receivables KPI and Aged Debtors use the Outstanding Invoices API (</w:t>
            </w:r>
            <w:proofErr w:type="spellStart"/>
            <w:r>
              <w:rPr>
                <w:color w:val="333333"/>
                <w:sz w:val="20"/>
                <w:szCs w:val="20"/>
              </w:rPr>
              <w:t>getInvoices</w:t>
            </w:r>
            <w:proofErr w:type="spellEnd"/>
            <w:r>
              <w:rPr>
                <w:color w:val="333333"/>
                <w:sz w:val="20"/>
                <w:szCs w:val="20"/>
              </w:rPr>
              <w:t xml:space="preserve"> with status=AUTHORISED). Balance Sheet Trade Debtors comes from the Balance Sheet Report API.</w:t>
            </w:r>
          </w:p>
        </w:tc>
      </w:tr>
      <w:tr w:rsidR="003A36D6" w14:paraId="64E9419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E1DCD5" w14:textId="77777777" w:rsidR="003A36D6" w:rsidRDefault="00000000">
            <w:r>
              <w:rPr>
                <w:b/>
                <w:bCs/>
                <w:color w:val="333333"/>
                <w:sz w:val="20"/>
                <w:szCs w:val="20"/>
              </w:rPr>
              <w:t>Root Cause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E18CF4" w14:textId="77777777" w:rsidR="003A36D6" w:rsidRDefault="00000000">
            <w:r>
              <w:rPr>
                <w:color w:val="333333"/>
                <w:sz w:val="20"/>
                <w:szCs w:val="20"/>
              </w:rPr>
              <w:t xml:space="preserve">Timing: the Invoice API returns real-time outstanding amounts, while the Balance Sheet reflects the last posted state. Credit notes, overpayments, or </w:t>
            </w:r>
            <w:proofErr w:type="gramStart"/>
            <w:r>
              <w:rPr>
                <w:color w:val="333333"/>
                <w:sz w:val="20"/>
                <w:szCs w:val="20"/>
              </w:rPr>
              <w:t>partially-paid</w:t>
            </w:r>
            <w:proofErr w:type="gramEnd"/>
            <w:r>
              <w:rPr>
                <w:color w:val="333333"/>
                <w:sz w:val="20"/>
                <w:szCs w:val="20"/>
              </w:rPr>
              <w:t xml:space="preserve"> invoices can create small timing differences. Additionally, DRAFT invoices appear in some views but not others.</w:t>
            </w:r>
          </w:p>
        </w:tc>
      </w:tr>
      <w:tr w:rsidR="003A36D6" w14:paraId="12CC56D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6D6C3" w14:textId="77777777" w:rsidR="003A36D6" w:rsidRDefault="00000000">
            <w:r>
              <w:rPr>
                <w:b/>
                <w:bCs/>
                <w:color w:val="333333"/>
                <w:sz w:val="20"/>
                <w:szCs w:val="20"/>
              </w:rPr>
              <w:t>Typical Variance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9CF8E" w14:textId="77777777" w:rsidR="003A36D6" w:rsidRDefault="00000000">
            <w:r>
              <w:rPr>
                <w:color w:val="333333"/>
                <w:sz w:val="20"/>
                <w:szCs w:val="20"/>
              </w:rPr>
              <w:t>Usually minor (under $1,000). Larger variances indicate unposted payments or credit notes pending allocation.</w:t>
            </w:r>
          </w:p>
        </w:tc>
      </w:tr>
      <w:tr w:rsidR="003A36D6" w14:paraId="718110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2BA722" w14:textId="77777777" w:rsidR="003A36D6" w:rsidRDefault="00000000">
            <w:r>
              <w:rPr>
                <w:b/>
                <w:bCs/>
                <w:color w:val="333333"/>
                <w:sz w:val="20"/>
                <w:szCs w:val="20"/>
              </w:rPr>
              <w:t>Resolution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B78BF5" w14:textId="77777777" w:rsidR="003A36D6" w:rsidRDefault="00000000">
            <w:r>
              <w:rPr>
                <w:color w:val="333333"/>
                <w:sz w:val="20"/>
                <w:szCs w:val="20"/>
              </w:rPr>
              <w:t>No action required for minor variances. For large discrepancies, check for unposted payments or credit notes in Xero that need allocation.</w:t>
            </w:r>
          </w:p>
        </w:tc>
      </w:tr>
    </w:tbl>
    <w:p w14:paraId="7F58027E" w14:textId="77777777" w:rsidR="003A36D6" w:rsidRDefault="003A36D6">
      <w:pPr>
        <w:spacing w:before="80" w:after="80"/>
      </w:pPr>
    </w:p>
    <w:p w14:paraId="6E6486FE" w14:textId="77777777" w:rsidR="003A36D6" w:rsidRDefault="00000000">
      <w:pPr>
        <w:pStyle w:val="Heading1"/>
      </w:pPr>
      <w:r>
        <w:t>5. Period Boundary Edge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A36D6" w14:paraId="31DF2879" w14:textId="77777777">
        <w:tblPrEx>
          <w:tblCellMar>
            <w:top w:w="0" w:type="dxa"/>
            <w:bottom w:w="0" w:type="dxa"/>
          </w:tblCellMar>
        </w:tblPrEx>
        <w:tc>
          <w:tcPr>
            <w:tcW w:w="2400" w:type="dxa"/>
            <w:tcBorders>
              <w:top w:val="single" w:sz="1" w:space="0" w:color="2E5A88"/>
              <w:left w:val="single" w:sz="1" w:space="0" w:color="2E5A88"/>
              <w:bottom w:val="single" w:sz="1" w:space="0" w:color="2E5A88"/>
              <w:right w:val="single" w:sz="1" w:space="0" w:color="2E5A88"/>
            </w:tcBorders>
            <w:shd w:val="clear" w:color="auto" w:fill="2E5A88"/>
            <w:tcMar>
              <w:top w:w="80" w:type="dxa"/>
              <w:left w:w="120" w:type="dxa"/>
              <w:bottom w:w="80" w:type="dxa"/>
              <w:right w:w="120" w:type="dxa"/>
            </w:tcMar>
          </w:tcPr>
          <w:p w14:paraId="219BBBC8" w14:textId="77777777" w:rsidR="003A36D6" w:rsidRDefault="00000000">
            <w:r>
              <w:rPr>
                <w:b/>
                <w:bCs/>
                <w:color w:val="FFFFFF"/>
                <w:sz w:val="20"/>
                <w:szCs w:val="20"/>
              </w:rPr>
              <w:t>Detail</w:t>
            </w:r>
          </w:p>
        </w:tc>
        <w:tc>
          <w:tcPr>
            <w:tcW w:w="6960" w:type="dxa"/>
            <w:tcBorders>
              <w:top w:val="single" w:sz="1" w:space="0" w:color="2E5A88"/>
              <w:left w:val="single" w:sz="1" w:space="0" w:color="2E5A88"/>
              <w:bottom w:val="single" w:sz="1" w:space="0" w:color="2E5A88"/>
              <w:right w:val="single" w:sz="1" w:space="0" w:color="2E5A88"/>
            </w:tcBorders>
            <w:shd w:val="clear" w:color="auto" w:fill="2E5A88"/>
            <w:tcMar>
              <w:top w:w="80" w:type="dxa"/>
              <w:left w:w="120" w:type="dxa"/>
              <w:bottom w:w="80" w:type="dxa"/>
              <w:right w:w="120" w:type="dxa"/>
            </w:tcMar>
          </w:tcPr>
          <w:p w14:paraId="6E7FA4B8" w14:textId="77777777" w:rsidR="003A36D6" w:rsidRDefault="00000000">
            <w:r>
              <w:rPr>
                <w:b/>
                <w:bCs/>
                <w:color w:val="FFFFFF"/>
                <w:sz w:val="20"/>
                <w:szCs w:val="20"/>
              </w:rPr>
              <w:t>Description</w:t>
            </w:r>
          </w:p>
        </w:tc>
      </w:tr>
      <w:tr w:rsidR="003A36D6" w14:paraId="0025267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2066B9" w14:textId="77777777" w:rsidR="003A36D6" w:rsidRDefault="00000000">
            <w:r>
              <w:rPr>
                <w:b/>
                <w:bCs/>
                <w:color w:val="333333"/>
                <w:sz w:val="20"/>
                <w:szCs w:val="20"/>
              </w:rPr>
              <w:t>Symptom</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11ACF6" w14:textId="77777777" w:rsidR="003A36D6" w:rsidRDefault="00000000">
            <w:r>
              <w:rPr>
                <w:color w:val="333333"/>
                <w:sz w:val="20"/>
                <w:szCs w:val="20"/>
              </w:rPr>
              <w:t>P&amp;L figures for a quarter may differ slightly between the dashboard and a Xero P&amp;L report run for the same period.</w:t>
            </w:r>
          </w:p>
        </w:tc>
      </w:tr>
      <w:tr w:rsidR="003A36D6" w14:paraId="66EA6F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419FEA" w14:textId="77777777" w:rsidR="003A36D6" w:rsidRDefault="00000000">
            <w:r>
              <w:rPr>
                <w:b/>
                <w:bCs/>
                <w:color w:val="333333"/>
                <w:sz w:val="20"/>
                <w:szCs w:val="20"/>
              </w:rPr>
              <w:t>Root Cause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A09113" w14:textId="77777777" w:rsidR="003A36D6" w:rsidRDefault="00000000">
            <w:r>
              <w:rPr>
                <w:color w:val="333333"/>
                <w:sz w:val="20"/>
                <w:szCs w:val="20"/>
              </w:rPr>
              <w:t xml:space="preserve">The dashboard calculates period dates dynamically (e.g., Q3 = Jan 1 to Mar 31) and requests a P&amp;L for that date range. If transactions are posted with a date on the boundary (e.g., midnight on Jan 1), </w:t>
            </w:r>
            <w:proofErr w:type="spellStart"/>
            <w:r>
              <w:rPr>
                <w:color w:val="333333"/>
                <w:sz w:val="20"/>
                <w:szCs w:val="20"/>
              </w:rPr>
              <w:t>timezone</w:t>
            </w:r>
            <w:proofErr w:type="spellEnd"/>
            <w:r>
              <w:rPr>
                <w:color w:val="333333"/>
                <w:sz w:val="20"/>
                <w:szCs w:val="20"/>
              </w:rPr>
              <w:t xml:space="preserve"> differences between the dashboard server (UTC) and Xero’s reporting engine can cause a transaction to fall in different periods.</w:t>
            </w:r>
          </w:p>
        </w:tc>
      </w:tr>
      <w:tr w:rsidR="003A36D6" w14:paraId="599A78E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C6528F" w14:textId="77777777" w:rsidR="003A36D6" w:rsidRDefault="00000000">
            <w:r>
              <w:rPr>
                <w:b/>
                <w:bCs/>
                <w:color w:val="333333"/>
                <w:sz w:val="20"/>
                <w:szCs w:val="20"/>
              </w:rPr>
              <w:t>Typical Variance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5A05BA" w14:textId="77777777" w:rsidR="003A36D6" w:rsidRDefault="00000000">
            <w:r>
              <w:rPr>
                <w:color w:val="333333"/>
                <w:sz w:val="20"/>
                <w:szCs w:val="20"/>
              </w:rPr>
              <w:t>Rare. When it occurs, typically affects only transactions posted exactly on a period boundary date.</w:t>
            </w:r>
          </w:p>
        </w:tc>
      </w:tr>
      <w:tr w:rsidR="003A36D6" w14:paraId="4F1DA8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1C0E15" w14:textId="77777777" w:rsidR="003A36D6" w:rsidRDefault="00000000">
            <w:r>
              <w:rPr>
                <w:b/>
                <w:bCs/>
                <w:color w:val="333333"/>
                <w:sz w:val="20"/>
                <w:szCs w:val="20"/>
              </w:rPr>
              <w:t>Resolution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54F3E6" w14:textId="77777777" w:rsidR="003A36D6" w:rsidRDefault="00000000">
            <w:r>
              <w:rPr>
                <w:color w:val="333333"/>
                <w:sz w:val="20"/>
                <w:szCs w:val="20"/>
              </w:rPr>
              <w:t>No action required. If noticed, verify the transaction’s posting date in Xero. The YTD view eliminates this issue entirely as all months are aggregated.</w:t>
            </w:r>
          </w:p>
        </w:tc>
      </w:tr>
    </w:tbl>
    <w:p w14:paraId="3FCAB113" w14:textId="77777777" w:rsidR="003A36D6" w:rsidRDefault="003A36D6">
      <w:pPr>
        <w:spacing w:before="80" w:after="80"/>
      </w:pPr>
    </w:p>
    <w:p w14:paraId="5DF80C1A" w14:textId="77777777" w:rsidR="003A36D6" w:rsidRDefault="00000000">
      <w:pPr>
        <w:pStyle w:val="Heading1"/>
      </w:pPr>
      <w:r>
        <w:t>6. Snapshot Receivables: Zero Values in Historical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A36D6" w14:paraId="3D9B5BC5" w14:textId="77777777">
        <w:tblPrEx>
          <w:tblCellMar>
            <w:top w:w="0" w:type="dxa"/>
            <w:bottom w:w="0" w:type="dxa"/>
          </w:tblCellMar>
        </w:tblPrEx>
        <w:tc>
          <w:tcPr>
            <w:tcW w:w="2400" w:type="dxa"/>
            <w:tcBorders>
              <w:top w:val="single" w:sz="1" w:space="0" w:color="2E5A88"/>
              <w:left w:val="single" w:sz="1" w:space="0" w:color="2E5A88"/>
              <w:bottom w:val="single" w:sz="1" w:space="0" w:color="2E5A88"/>
              <w:right w:val="single" w:sz="1" w:space="0" w:color="2E5A88"/>
            </w:tcBorders>
            <w:shd w:val="clear" w:color="auto" w:fill="2E5A88"/>
            <w:tcMar>
              <w:top w:w="80" w:type="dxa"/>
              <w:left w:w="120" w:type="dxa"/>
              <w:bottom w:w="80" w:type="dxa"/>
              <w:right w:w="120" w:type="dxa"/>
            </w:tcMar>
          </w:tcPr>
          <w:p w14:paraId="0FF5385C" w14:textId="77777777" w:rsidR="003A36D6" w:rsidRDefault="00000000">
            <w:r>
              <w:rPr>
                <w:b/>
                <w:bCs/>
                <w:color w:val="FFFFFF"/>
                <w:sz w:val="20"/>
                <w:szCs w:val="20"/>
              </w:rPr>
              <w:lastRenderedPageBreak/>
              <w:t>Detail</w:t>
            </w:r>
          </w:p>
        </w:tc>
        <w:tc>
          <w:tcPr>
            <w:tcW w:w="6960" w:type="dxa"/>
            <w:tcBorders>
              <w:top w:val="single" w:sz="1" w:space="0" w:color="2E5A88"/>
              <w:left w:val="single" w:sz="1" w:space="0" w:color="2E5A88"/>
              <w:bottom w:val="single" w:sz="1" w:space="0" w:color="2E5A88"/>
              <w:right w:val="single" w:sz="1" w:space="0" w:color="2E5A88"/>
            </w:tcBorders>
            <w:shd w:val="clear" w:color="auto" w:fill="2E5A88"/>
            <w:tcMar>
              <w:top w:w="80" w:type="dxa"/>
              <w:left w:w="120" w:type="dxa"/>
              <w:bottom w:w="80" w:type="dxa"/>
              <w:right w:w="120" w:type="dxa"/>
            </w:tcMar>
          </w:tcPr>
          <w:p w14:paraId="4D7FDF03" w14:textId="77777777" w:rsidR="003A36D6" w:rsidRDefault="00000000">
            <w:r>
              <w:rPr>
                <w:b/>
                <w:bCs/>
                <w:color w:val="FFFFFF"/>
                <w:sz w:val="20"/>
                <w:szCs w:val="20"/>
              </w:rPr>
              <w:t>Description</w:t>
            </w:r>
          </w:p>
        </w:tc>
      </w:tr>
      <w:tr w:rsidR="003A36D6" w14:paraId="72EB3B4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1C5AB4" w14:textId="77777777" w:rsidR="003A36D6" w:rsidRDefault="00000000">
            <w:r>
              <w:rPr>
                <w:b/>
                <w:bCs/>
                <w:color w:val="333333"/>
                <w:sz w:val="20"/>
                <w:szCs w:val="20"/>
              </w:rPr>
              <w:t>Symptom</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D05F77" w14:textId="77777777" w:rsidR="003A36D6" w:rsidRDefault="00000000">
            <w:r>
              <w:rPr>
                <w:color w:val="333333"/>
                <w:sz w:val="20"/>
                <w:szCs w:val="20"/>
              </w:rPr>
              <w:t>Some historical daily snapshot rows may show $0 receivables even when receivables were clearly not zero on that date.</w:t>
            </w:r>
          </w:p>
        </w:tc>
      </w:tr>
      <w:tr w:rsidR="003A36D6" w14:paraId="0666AEC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4E3E4E" w14:textId="77777777" w:rsidR="003A36D6" w:rsidRDefault="00000000">
            <w:r>
              <w:rPr>
                <w:b/>
                <w:bCs/>
                <w:color w:val="333333"/>
                <w:sz w:val="20"/>
                <w:szCs w:val="20"/>
              </w:rPr>
              <w:t>Example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B907A2" w14:textId="77777777" w:rsidR="003A36D6" w:rsidRDefault="00000000">
            <w:r>
              <w:rPr>
                <w:color w:val="333333"/>
                <w:sz w:val="20"/>
                <w:szCs w:val="20"/>
              </w:rPr>
              <w:t xml:space="preserve">Mining snapshot for 29 Jan 2026 shows </w:t>
            </w:r>
            <w:proofErr w:type="spellStart"/>
            <w:r>
              <w:rPr>
                <w:color w:val="333333"/>
                <w:sz w:val="20"/>
                <w:szCs w:val="20"/>
              </w:rPr>
              <w:t>receivables_total</w:t>
            </w:r>
            <w:proofErr w:type="spellEnd"/>
            <w:r>
              <w:rPr>
                <w:color w:val="333333"/>
                <w:sz w:val="20"/>
                <w:szCs w:val="20"/>
              </w:rPr>
              <w:t xml:space="preserve"> of $0.00, while the 31 Jan snapshot shows $169,477.</w:t>
            </w:r>
          </w:p>
        </w:tc>
      </w:tr>
      <w:tr w:rsidR="003A36D6" w14:paraId="026CB66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4B51AC" w14:textId="77777777" w:rsidR="003A36D6" w:rsidRDefault="00000000">
            <w:r>
              <w:rPr>
                <w:b/>
                <w:bCs/>
                <w:color w:val="333333"/>
                <w:sz w:val="20"/>
                <w:szCs w:val="20"/>
              </w:rPr>
              <w:t>Root Cause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88FD5D" w14:textId="77777777" w:rsidR="003A36D6" w:rsidRDefault="00000000">
            <w:r>
              <w:rPr>
                <w:color w:val="333333"/>
                <w:sz w:val="20"/>
                <w:szCs w:val="20"/>
              </w:rPr>
              <w:t>The snapshot process extracts Trade Debtors from the Balance Sheet report. If the Balance Sheet was fetched at a moment when Xero’s reporting cache hadn’t refreshed, or if the account name didn’t match the exact string “Trade Debtors”, the value would be recorded as zero. Early snapshot runs also had less robust parsing logic.</w:t>
            </w:r>
          </w:p>
        </w:tc>
      </w:tr>
      <w:tr w:rsidR="003A36D6" w14:paraId="2CA179D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9D2F55" w14:textId="77777777" w:rsidR="003A36D6" w:rsidRDefault="00000000">
            <w:r>
              <w:rPr>
                <w:b/>
                <w:bCs/>
                <w:color w:val="333333"/>
                <w:sz w:val="20"/>
                <w:szCs w:val="20"/>
              </w:rPr>
              <w:t>Impact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2D9B08" w14:textId="77777777" w:rsidR="003A36D6" w:rsidRDefault="00000000">
            <w:r>
              <w:rPr>
                <w:color w:val="333333"/>
                <w:sz w:val="20"/>
                <w:szCs w:val="20"/>
              </w:rPr>
              <w:t>Receivables sparkline may show occasional dips to zero. These are data capture artefacts, not real movements.</w:t>
            </w:r>
          </w:p>
        </w:tc>
      </w:tr>
      <w:tr w:rsidR="003A36D6" w14:paraId="738A99B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CD0C25" w14:textId="77777777" w:rsidR="003A36D6" w:rsidRDefault="00000000">
            <w:r>
              <w:rPr>
                <w:b/>
                <w:bCs/>
                <w:color w:val="333333"/>
                <w:sz w:val="20"/>
                <w:szCs w:val="20"/>
              </w:rPr>
              <w:t>Resolution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57C0C1" w14:textId="77777777" w:rsidR="003A36D6" w:rsidRDefault="00000000">
            <w:r>
              <w:rPr>
                <w:color w:val="333333"/>
                <w:sz w:val="20"/>
                <w:szCs w:val="20"/>
              </w:rPr>
              <w:t>Historical zeros can be cleaned up via database query if needed. The current snapshot logic (Feb 2026+) has improved parsing that prevents this. Running a fresh snapshot overwrites the current day’s data.</w:t>
            </w:r>
          </w:p>
        </w:tc>
      </w:tr>
    </w:tbl>
    <w:p w14:paraId="2738912C" w14:textId="77777777" w:rsidR="003A36D6" w:rsidRDefault="003A36D6">
      <w:pPr>
        <w:spacing w:before="80" w:after="80"/>
      </w:pPr>
    </w:p>
    <w:p w14:paraId="402610BD" w14:textId="77777777" w:rsidR="003A36D6" w:rsidRDefault="00000000">
      <w:pPr>
        <w:pStyle w:val="Heading1"/>
      </w:pPr>
      <w:r>
        <w:t>Adding New Discrepancies</w:t>
      </w:r>
    </w:p>
    <w:p w14:paraId="0F5CEEA4" w14:textId="77777777" w:rsidR="003A36D6" w:rsidRDefault="00000000">
      <w:pPr>
        <w:spacing w:after="200"/>
      </w:pPr>
      <w:r>
        <w:rPr>
          <w:color w:val="333333"/>
        </w:rPr>
        <w:t xml:space="preserve">When a new discrepancy is discovered, document it </w:t>
      </w:r>
      <w:proofErr w:type="gramStart"/>
      <w:r>
        <w:rPr>
          <w:color w:val="333333"/>
        </w:rPr>
        <w:t>following</w:t>
      </w:r>
      <w:proofErr w:type="gramEnd"/>
      <w:r>
        <w:rPr>
          <w:color w:val="333333"/>
        </w:rPr>
        <w:t xml:space="preserve"> this template: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A36D6" w14:paraId="039C3498" w14:textId="77777777">
        <w:tblPrEx>
          <w:tblCellMar>
            <w:top w:w="0" w:type="dxa"/>
            <w:bottom w:w="0" w:type="dxa"/>
          </w:tblCellMar>
        </w:tblPrEx>
        <w:tc>
          <w:tcPr>
            <w:tcW w:w="2400" w:type="dxa"/>
            <w:tcBorders>
              <w:top w:val="single" w:sz="1" w:space="0" w:color="2E5A88"/>
              <w:left w:val="single" w:sz="1" w:space="0" w:color="2E5A88"/>
              <w:bottom w:val="single" w:sz="1" w:space="0" w:color="2E5A88"/>
              <w:right w:val="single" w:sz="1" w:space="0" w:color="2E5A88"/>
            </w:tcBorders>
            <w:shd w:val="clear" w:color="auto" w:fill="2E5A88"/>
            <w:tcMar>
              <w:top w:w="80" w:type="dxa"/>
              <w:left w:w="120" w:type="dxa"/>
              <w:bottom w:w="80" w:type="dxa"/>
              <w:right w:w="120" w:type="dxa"/>
            </w:tcMar>
          </w:tcPr>
          <w:p w14:paraId="7B3BC418" w14:textId="77777777" w:rsidR="003A36D6" w:rsidRDefault="00000000">
            <w:r>
              <w:rPr>
                <w:b/>
                <w:bCs/>
                <w:color w:val="FFFFFF"/>
                <w:sz w:val="20"/>
                <w:szCs w:val="20"/>
              </w:rPr>
              <w:t>Field</w:t>
            </w:r>
          </w:p>
        </w:tc>
        <w:tc>
          <w:tcPr>
            <w:tcW w:w="6960" w:type="dxa"/>
            <w:tcBorders>
              <w:top w:val="single" w:sz="1" w:space="0" w:color="2E5A88"/>
              <w:left w:val="single" w:sz="1" w:space="0" w:color="2E5A88"/>
              <w:bottom w:val="single" w:sz="1" w:space="0" w:color="2E5A88"/>
              <w:right w:val="single" w:sz="1" w:space="0" w:color="2E5A88"/>
            </w:tcBorders>
            <w:shd w:val="clear" w:color="auto" w:fill="2E5A88"/>
            <w:tcMar>
              <w:top w:w="80" w:type="dxa"/>
              <w:left w:w="120" w:type="dxa"/>
              <w:bottom w:w="80" w:type="dxa"/>
              <w:right w:w="120" w:type="dxa"/>
            </w:tcMar>
          </w:tcPr>
          <w:p w14:paraId="3EDEC79A" w14:textId="77777777" w:rsidR="003A36D6" w:rsidRDefault="00000000">
            <w:r>
              <w:rPr>
                <w:b/>
                <w:bCs/>
                <w:color w:val="FFFFFF"/>
                <w:sz w:val="20"/>
                <w:szCs w:val="20"/>
              </w:rPr>
              <w:t>What to Record</w:t>
            </w:r>
          </w:p>
        </w:tc>
      </w:tr>
      <w:tr w:rsidR="003A36D6" w14:paraId="7590D42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9A4FF0" w14:textId="77777777" w:rsidR="003A36D6" w:rsidRDefault="00000000">
            <w:r>
              <w:rPr>
                <w:b/>
                <w:bCs/>
                <w:color w:val="333333"/>
                <w:sz w:val="20"/>
                <w:szCs w:val="20"/>
              </w:rPr>
              <w:t>Symptom</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95DD1" w14:textId="77777777" w:rsidR="003A36D6" w:rsidRDefault="00000000">
            <w:r>
              <w:rPr>
                <w:color w:val="333333"/>
                <w:sz w:val="20"/>
                <w:szCs w:val="20"/>
              </w:rPr>
              <w:t>What the user sees that looks wrong (specific numbers if possible)</w:t>
            </w:r>
          </w:p>
        </w:tc>
      </w:tr>
      <w:tr w:rsidR="003A36D6" w14:paraId="341DBB1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286D22" w14:textId="77777777" w:rsidR="003A36D6" w:rsidRDefault="00000000">
            <w:r>
              <w:rPr>
                <w:b/>
                <w:bCs/>
                <w:color w:val="333333"/>
                <w:sz w:val="20"/>
                <w:szCs w:val="20"/>
              </w:rPr>
              <w:t>Dashboard Source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EF8067" w14:textId="77777777" w:rsidR="003A36D6" w:rsidRDefault="00000000">
            <w:r>
              <w:rPr>
                <w:color w:val="333333"/>
                <w:sz w:val="20"/>
                <w:szCs w:val="20"/>
              </w:rPr>
              <w:t>Which API endpoint or report the dashboard is using</w:t>
            </w:r>
          </w:p>
        </w:tc>
      </w:tr>
      <w:tr w:rsidR="003A36D6" w14:paraId="2A0C839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9F7317" w14:textId="77777777" w:rsidR="003A36D6" w:rsidRDefault="00000000">
            <w:r>
              <w:rPr>
                <w:b/>
                <w:bCs/>
                <w:color w:val="333333"/>
                <w:sz w:val="20"/>
                <w:szCs w:val="20"/>
              </w:rPr>
              <w:t>Root Cause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0F1E5C" w14:textId="77777777" w:rsidR="003A36D6" w:rsidRDefault="00000000">
            <w:r>
              <w:rPr>
                <w:color w:val="333333"/>
                <w:sz w:val="20"/>
                <w:szCs w:val="20"/>
              </w:rPr>
              <w:t>Why the Xero APIs return different values</w:t>
            </w:r>
          </w:p>
        </w:tc>
      </w:tr>
      <w:tr w:rsidR="003A36D6" w14:paraId="3F39728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202AD7" w14:textId="77777777" w:rsidR="003A36D6" w:rsidRDefault="00000000">
            <w:r>
              <w:rPr>
                <w:b/>
                <w:bCs/>
                <w:color w:val="333333"/>
                <w:sz w:val="20"/>
                <w:szCs w:val="20"/>
              </w:rPr>
              <w:t>Example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1859CB" w14:textId="77777777" w:rsidR="003A36D6" w:rsidRDefault="00000000">
            <w:r>
              <w:rPr>
                <w:color w:val="333333"/>
                <w:sz w:val="20"/>
                <w:szCs w:val="20"/>
              </w:rPr>
              <w:t>Specific instance with entity, date, and amounts</w:t>
            </w:r>
          </w:p>
        </w:tc>
      </w:tr>
      <w:tr w:rsidR="003A36D6" w14:paraId="2038D40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EA635B" w14:textId="77777777" w:rsidR="003A36D6" w:rsidRDefault="00000000">
            <w:r>
              <w:rPr>
                <w:b/>
                <w:bCs/>
                <w:color w:val="333333"/>
                <w:sz w:val="20"/>
                <w:szCs w:val="20"/>
              </w:rPr>
              <w:t>Impact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F25F24" w14:textId="77777777" w:rsidR="003A36D6" w:rsidRDefault="00000000">
            <w:r>
              <w:rPr>
                <w:color w:val="333333"/>
                <w:sz w:val="20"/>
                <w:szCs w:val="20"/>
              </w:rPr>
              <w:t>Which dashboard cards or charts are affected</w:t>
            </w:r>
          </w:p>
        </w:tc>
      </w:tr>
      <w:tr w:rsidR="003A36D6" w14:paraId="459D6E4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2BC6BF" w14:textId="77777777" w:rsidR="003A36D6" w:rsidRDefault="00000000">
            <w:r>
              <w:rPr>
                <w:b/>
                <w:bCs/>
                <w:color w:val="333333"/>
                <w:sz w:val="20"/>
                <w:szCs w:val="20"/>
              </w:rPr>
              <w:t>Resolution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7466EE" w14:textId="77777777" w:rsidR="003A36D6" w:rsidRDefault="00000000">
            <w:r>
              <w:rPr>
                <w:color w:val="333333"/>
                <w:sz w:val="20"/>
                <w:szCs w:val="20"/>
              </w:rPr>
              <w:t>Whether action is needed or if this is expected behaviour</w:t>
            </w:r>
          </w:p>
        </w:tc>
      </w:tr>
    </w:tbl>
    <w:p w14:paraId="439BC3DA" w14:textId="77777777" w:rsidR="003A36D6" w:rsidRDefault="003A36D6">
      <w:pPr>
        <w:spacing w:before="80" w:after="80"/>
      </w:pPr>
    </w:p>
    <w:p w14:paraId="49B54EEC" w14:textId="77777777" w:rsidR="003A36D6" w:rsidRDefault="00000000">
      <w:pPr>
        <w:spacing w:after="200"/>
      </w:pPr>
      <w:r>
        <w:rPr>
          <w:i/>
          <w:iCs/>
          <w:color w:val="605E5C"/>
        </w:rPr>
        <w:t>File discrepancies with Duane so the dashboard logic can be reviewed and this document updated.</w:t>
      </w:r>
    </w:p>
    <w:p w14:paraId="4BA18D93" w14:textId="77777777" w:rsidR="003A36D6" w:rsidRDefault="00000000">
      <w:pPr>
        <w:pBdr>
          <w:top w:val="single" w:sz="2" w:space="1" w:color="CCCCCC"/>
        </w:pBdr>
        <w:spacing w:before="400"/>
      </w:pPr>
      <w:r>
        <w:rPr>
          <w:i/>
          <w:iCs/>
          <w:color w:val="8A8886"/>
          <w:sz w:val="18"/>
          <w:szCs w:val="18"/>
        </w:rPr>
        <w:t>This document is a companion to the RAC Business Dashboard SOP v1.1. It should be reviewed whenever the dashboard’s data sources or Xero API integrations are modified.</w:t>
      </w:r>
    </w:p>
    <w:sectPr w:rsidR="003A36D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685E5" w14:textId="77777777" w:rsidR="00AC2D30" w:rsidRDefault="00AC2D30">
      <w:r>
        <w:separator/>
      </w:r>
    </w:p>
  </w:endnote>
  <w:endnote w:type="continuationSeparator" w:id="0">
    <w:p w14:paraId="41DDEB68" w14:textId="77777777" w:rsidR="00AC2D30" w:rsidRDefault="00AC2D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BA6FA" w14:textId="77777777" w:rsidR="003A36D6" w:rsidRDefault="00000000">
    <w:pPr>
      <w:jc w:val="center"/>
    </w:pPr>
    <w:r>
      <w:rPr>
        <w:color w:val="8A8886"/>
        <w:sz w:val="16"/>
        <w:szCs w:val="16"/>
      </w:rPr>
      <w:t xml:space="preserve">CONFIDENTIAL — Internal Use </w:t>
    </w:r>
    <w:proofErr w:type="gramStart"/>
    <w:r>
      <w:rPr>
        <w:color w:val="8A8886"/>
        <w:sz w:val="16"/>
        <w:szCs w:val="16"/>
      </w:rPr>
      <w:t>Only  |</w:t>
    </w:r>
    <w:proofErr w:type="gramEnd"/>
    <w:r>
      <w:rPr>
        <w:color w:val="8A8886"/>
        <w:sz w:val="16"/>
        <w:szCs w:val="16"/>
      </w:rPr>
      <w:t xml:space="preserve">  Page </w:t>
    </w:r>
    <w:r>
      <w:rPr>
        <w:color w:val="8A8886"/>
        <w:sz w:val="16"/>
        <w:szCs w:val="16"/>
      </w:rPr>
      <w:fldChar w:fldCharType="begin"/>
    </w:r>
    <w:r>
      <w:rPr>
        <w:color w:val="8A8886"/>
        <w:sz w:val="16"/>
        <w:szCs w:val="16"/>
      </w:rPr>
      <w:instrText>PAGE</w:instrText>
    </w:r>
    <w:r>
      <w:rPr>
        <w:color w:val="8A8886"/>
        <w:sz w:val="16"/>
        <w:szCs w:val="16"/>
      </w:rPr>
      <w:fldChar w:fldCharType="separate"/>
    </w:r>
    <w:r w:rsidR="006217E5">
      <w:rPr>
        <w:noProof/>
        <w:color w:val="8A8886"/>
        <w:sz w:val="16"/>
        <w:szCs w:val="16"/>
      </w:rPr>
      <w:t>1</w:t>
    </w:r>
    <w:r>
      <w:rPr>
        <w:color w:val="8A888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C2FA6" w14:textId="77777777" w:rsidR="00AC2D30" w:rsidRDefault="00AC2D30">
      <w:r>
        <w:separator/>
      </w:r>
    </w:p>
  </w:footnote>
  <w:footnote w:type="continuationSeparator" w:id="0">
    <w:p w14:paraId="7CFFABA2" w14:textId="77777777" w:rsidR="00AC2D30" w:rsidRDefault="00AC2D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35D6D" w14:textId="77777777" w:rsidR="003A36D6" w:rsidRDefault="00000000">
    <w:r>
      <w:rPr>
        <w:i/>
        <w:iCs/>
        <w:color w:val="8A8886"/>
        <w:sz w:val="16"/>
        <w:szCs w:val="16"/>
      </w:rPr>
      <w:t>RAC Business Dashboard — Known Xero API Discrepancies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3202D"/>
    <w:multiLevelType w:val="hybridMultilevel"/>
    <w:tmpl w:val="42DC64F2"/>
    <w:lvl w:ilvl="0" w:tplc="36E8F3CE">
      <w:start w:val="1"/>
      <w:numFmt w:val="decimal"/>
      <w:lvlText w:val="%1."/>
      <w:lvlJc w:val="left"/>
      <w:pPr>
        <w:ind w:left="720" w:hanging="360"/>
      </w:pPr>
    </w:lvl>
    <w:lvl w:ilvl="1" w:tplc="B96260C8">
      <w:numFmt w:val="decimal"/>
      <w:lvlText w:val=""/>
      <w:lvlJc w:val="left"/>
    </w:lvl>
    <w:lvl w:ilvl="2" w:tplc="5DECB55C">
      <w:numFmt w:val="decimal"/>
      <w:lvlText w:val=""/>
      <w:lvlJc w:val="left"/>
    </w:lvl>
    <w:lvl w:ilvl="3" w:tplc="1F5680F0">
      <w:numFmt w:val="decimal"/>
      <w:lvlText w:val=""/>
      <w:lvlJc w:val="left"/>
    </w:lvl>
    <w:lvl w:ilvl="4" w:tplc="F8E293C8">
      <w:numFmt w:val="decimal"/>
      <w:lvlText w:val=""/>
      <w:lvlJc w:val="left"/>
    </w:lvl>
    <w:lvl w:ilvl="5" w:tplc="F00ED27E">
      <w:numFmt w:val="decimal"/>
      <w:lvlText w:val=""/>
      <w:lvlJc w:val="left"/>
    </w:lvl>
    <w:lvl w:ilvl="6" w:tplc="A998DC04">
      <w:numFmt w:val="decimal"/>
      <w:lvlText w:val=""/>
      <w:lvlJc w:val="left"/>
    </w:lvl>
    <w:lvl w:ilvl="7" w:tplc="1A8CB7D0">
      <w:numFmt w:val="decimal"/>
      <w:lvlText w:val=""/>
      <w:lvlJc w:val="left"/>
    </w:lvl>
    <w:lvl w:ilvl="8" w:tplc="510A4DF4">
      <w:numFmt w:val="decimal"/>
      <w:lvlText w:val=""/>
      <w:lvlJc w:val="left"/>
    </w:lvl>
  </w:abstractNum>
  <w:abstractNum w:abstractNumId="1" w15:restartNumberingAfterBreak="0">
    <w:nsid w:val="35AC3A0E"/>
    <w:multiLevelType w:val="hybridMultilevel"/>
    <w:tmpl w:val="73C235F6"/>
    <w:lvl w:ilvl="0" w:tplc="7EE24148">
      <w:start w:val="1"/>
      <w:numFmt w:val="bullet"/>
      <w:lvlText w:val="●"/>
      <w:lvlJc w:val="left"/>
      <w:pPr>
        <w:ind w:left="720" w:hanging="360"/>
      </w:pPr>
    </w:lvl>
    <w:lvl w:ilvl="1" w:tplc="E93C421C">
      <w:start w:val="1"/>
      <w:numFmt w:val="bullet"/>
      <w:lvlText w:val="○"/>
      <w:lvlJc w:val="left"/>
      <w:pPr>
        <w:ind w:left="1440" w:hanging="360"/>
      </w:pPr>
    </w:lvl>
    <w:lvl w:ilvl="2" w:tplc="A0EAC516">
      <w:start w:val="1"/>
      <w:numFmt w:val="bullet"/>
      <w:lvlText w:val="■"/>
      <w:lvlJc w:val="left"/>
      <w:pPr>
        <w:ind w:left="2160" w:hanging="360"/>
      </w:pPr>
    </w:lvl>
    <w:lvl w:ilvl="3" w:tplc="5D60B3FE">
      <w:start w:val="1"/>
      <w:numFmt w:val="bullet"/>
      <w:lvlText w:val="●"/>
      <w:lvlJc w:val="left"/>
      <w:pPr>
        <w:ind w:left="2880" w:hanging="360"/>
      </w:pPr>
    </w:lvl>
    <w:lvl w:ilvl="4" w:tplc="AD9A6248">
      <w:start w:val="1"/>
      <w:numFmt w:val="bullet"/>
      <w:lvlText w:val="○"/>
      <w:lvlJc w:val="left"/>
      <w:pPr>
        <w:ind w:left="3600" w:hanging="360"/>
      </w:pPr>
    </w:lvl>
    <w:lvl w:ilvl="5" w:tplc="EF1A44B4">
      <w:start w:val="1"/>
      <w:numFmt w:val="bullet"/>
      <w:lvlText w:val="■"/>
      <w:lvlJc w:val="left"/>
      <w:pPr>
        <w:ind w:left="4320" w:hanging="360"/>
      </w:pPr>
    </w:lvl>
    <w:lvl w:ilvl="6" w:tplc="3912D9F6">
      <w:start w:val="1"/>
      <w:numFmt w:val="bullet"/>
      <w:lvlText w:val="●"/>
      <w:lvlJc w:val="left"/>
      <w:pPr>
        <w:ind w:left="5040" w:hanging="360"/>
      </w:pPr>
    </w:lvl>
    <w:lvl w:ilvl="7" w:tplc="44C4A954">
      <w:start w:val="1"/>
      <w:numFmt w:val="bullet"/>
      <w:lvlText w:val="●"/>
      <w:lvlJc w:val="left"/>
      <w:pPr>
        <w:ind w:left="5760" w:hanging="360"/>
      </w:pPr>
    </w:lvl>
    <w:lvl w:ilvl="8" w:tplc="6E8EAFCC">
      <w:start w:val="1"/>
      <w:numFmt w:val="bullet"/>
      <w:lvlText w:val="●"/>
      <w:lvlJc w:val="left"/>
      <w:pPr>
        <w:ind w:left="6480" w:hanging="360"/>
      </w:pPr>
    </w:lvl>
  </w:abstractNum>
  <w:abstractNum w:abstractNumId="2" w15:restartNumberingAfterBreak="0">
    <w:nsid w:val="793774C7"/>
    <w:multiLevelType w:val="hybridMultilevel"/>
    <w:tmpl w:val="76946E3C"/>
    <w:lvl w:ilvl="0" w:tplc="938E4914">
      <w:start w:val="1"/>
      <w:numFmt w:val="bullet"/>
      <w:lvlText w:val="•"/>
      <w:lvlJc w:val="left"/>
      <w:pPr>
        <w:ind w:left="720" w:hanging="360"/>
      </w:pPr>
    </w:lvl>
    <w:lvl w:ilvl="1" w:tplc="E9D64D22">
      <w:numFmt w:val="decimal"/>
      <w:lvlText w:val=""/>
      <w:lvlJc w:val="left"/>
    </w:lvl>
    <w:lvl w:ilvl="2" w:tplc="7B2CCE32">
      <w:numFmt w:val="decimal"/>
      <w:lvlText w:val=""/>
      <w:lvlJc w:val="left"/>
    </w:lvl>
    <w:lvl w:ilvl="3" w:tplc="0C9E8DE8">
      <w:numFmt w:val="decimal"/>
      <w:lvlText w:val=""/>
      <w:lvlJc w:val="left"/>
    </w:lvl>
    <w:lvl w:ilvl="4" w:tplc="9C423C30">
      <w:numFmt w:val="decimal"/>
      <w:lvlText w:val=""/>
      <w:lvlJc w:val="left"/>
    </w:lvl>
    <w:lvl w:ilvl="5" w:tplc="68D65816">
      <w:numFmt w:val="decimal"/>
      <w:lvlText w:val=""/>
      <w:lvlJc w:val="left"/>
    </w:lvl>
    <w:lvl w:ilvl="6" w:tplc="A044EE66">
      <w:numFmt w:val="decimal"/>
      <w:lvlText w:val=""/>
      <w:lvlJc w:val="left"/>
    </w:lvl>
    <w:lvl w:ilvl="7" w:tplc="473067D2">
      <w:numFmt w:val="decimal"/>
      <w:lvlText w:val=""/>
      <w:lvlJc w:val="left"/>
    </w:lvl>
    <w:lvl w:ilvl="8" w:tplc="76806770">
      <w:numFmt w:val="decimal"/>
      <w:lvlText w:val=""/>
      <w:lvlJc w:val="left"/>
    </w:lvl>
  </w:abstractNum>
  <w:num w:numId="1" w16cid:durableId="10170044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36D6"/>
    <w:rsid w:val="003A36D6"/>
    <w:rsid w:val="006217E5"/>
    <w:rsid w:val="00AC2D30"/>
    <w:rsid w:val="00FC2A8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23489"/>
  <w15:docId w15:val="{DA824AEF-FA5C-4A36-8FBF-442419DCF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E5A88"/>
      <w:sz w:val="36"/>
      <w:szCs w:val="36"/>
    </w:rPr>
  </w:style>
  <w:style w:type="paragraph" w:styleId="Heading2">
    <w:name w:val="heading 2"/>
    <w:uiPriority w:val="9"/>
    <w:semiHidden/>
    <w:unhideWhenUsed/>
    <w:qFormat/>
    <w:pPr>
      <w:spacing w:before="280" w:after="160"/>
      <w:outlineLvl w:val="1"/>
    </w:pPr>
    <w:rPr>
      <w:b/>
      <w:bCs/>
      <w:color w:val="2E5A88"/>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1127</Words>
  <Characters>6380</Characters>
  <Application>Microsoft Office Word</Application>
  <DocSecurity>0</DocSecurity>
  <Lines>184</Lines>
  <Paragraphs>113</Paragraphs>
  <ScaleCrop>false</ScaleCrop>
  <Company/>
  <LinksUpToDate>false</LinksUpToDate>
  <CharactersWithSpaces>7397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Duane Kuru</cp:lastModifiedBy>
  <cp:revision>2</cp:revision>
  <dcterms:created xsi:type="dcterms:W3CDTF">2026-02-26T04:48:00Z</dcterms:created>
  <dcterms:modified xsi:type="dcterms:W3CDTF">2026-02-26T04:48:00Z</dcterms:modified>
</cp:coreProperties>
</file>