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927559"/>
        <w:docPartObj>
          <w:docPartGallery w:val="Cover Pages"/>
          <w:docPartUnique/>
        </w:docPartObj>
      </w:sdtPr>
      <w:sdtContent>
        <w:p w:rsidR="009754D3" w:rsidRDefault="009754D3">
          <w:r>
            <w:rPr>
              <w:noProof/>
              <w:lang w:val="en-US"/>
            </w:rPr>
            <mc:AlternateContent>
              <mc:Choice Requires="wpg">
                <w:drawing>
                  <wp:anchor distT="0" distB="0" distL="114300" distR="114300" simplePos="0" relativeHeight="251659264" behindDoc="1" locked="0" layoutInCell="1" allowOverlap="1" wp14:anchorId="488AB69B" wp14:editId="0C8C35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6D00" w:rsidRDefault="00306D0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312992530"/>
                                    <w:dataBinding w:prefixMappings="xmlns:ns0='http://purl.org/dc/elements/1.1/' xmlns:ns1='http://schemas.openxmlformats.org/package/2006/metadata/core-properties' " w:xpath="/ns1:coreProperties[1]/ns0:title[1]" w:storeItemID="{6C3C8BC8-F283-45AE-878A-BAB7291924A1}"/>
                                    <w:text/>
                                  </w:sdtPr>
                                  <w:sdtContent>
                                    <w:p w:rsidR="00306D00" w:rsidRDefault="00306D0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runmanager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4D0389" w:rsidRDefault="004D038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312992530"/>
                              <w:dataBinding w:prefixMappings="xmlns:ns0='http://purl.org/dc/elements/1.1/' xmlns:ns1='http://schemas.openxmlformats.org/package/2006/metadata/core-properties' " w:xpath="/ns1:coreProperties[1]/ns0:title[1]" w:storeItemID="{6C3C8BC8-F283-45AE-878A-BAB7291924A1}"/>
                              <w:text/>
                            </w:sdtPr>
                            <w:sdtContent>
                              <w:p w:rsidR="004D0389" w:rsidRDefault="004D038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runmanager</w:t>
                                </w:r>
                              </w:p>
                            </w:sdtContent>
                          </w:sdt>
                        </w:txbxContent>
                      </v:textbox>
                    </v:shape>
                    <w10:wrap anchorx="page" anchory="page"/>
                  </v:group>
                </w:pict>
              </mc:Fallback>
            </mc:AlternateContent>
          </w:r>
        </w:p>
        <w:p w:rsidR="002D79A4" w:rsidRDefault="009754D3">
          <w:pPr>
            <w:rPr>
              <w:b/>
              <w:sz w:val="28"/>
              <w:u w:val="single"/>
            </w:rPr>
          </w:pPr>
          <w:r>
            <w:rPr>
              <w:b/>
              <w:sz w:val="28"/>
              <w:u w:val="single"/>
            </w:rPr>
            <w:br w:type="page"/>
          </w:r>
        </w:p>
        <w:sdt>
          <w:sdtPr>
            <w:rPr>
              <w:rFonts w:asciiTheme="minorHAnsi" w:eastAsiaTheme="minorHAnsi" w:hAnsiTheme="minorHAnsi" w:cstheme="minorBidi"/>
              <w:b w:val="0"/>
              <w:bCs w:val="0"/>
              <w:color w:val="auto"/>
              <w:sz w:val="22"/>
              <w:szCs w:val="22"/>
              <w:lang w:val="en-AU" w:eastAsia="en-US"/>
            </w:rPr>
            <w:id w:val="413900943"/>
            <w:docPartObj>
              <w:docPartGallery w:val="Table of Contents"/>
              <w:docPartUnique/>
            </w:docPartObj>
          </w:sdtPr>
          <w:sdtEndPr>
            <w:rPr>
              <w:noProof/>
            </w:rPr>
          </w:sdtEndPr>
          <w:sdtContent>
            <w:p w:rsidR="002D79A4" w:rsidRDefault="002D79A4">
              <w:pPr>
                <w:pStyle w:val="TOCHeading"/>
              </w:pPr>
              <w:r>
                <w:t>Contents</w:t>
              </w:r>
            </w:p>
            <w:p w:rsidR="00786646" w:rsidRDefault="002D79A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58213237" w:history="1">
                <w:r w:rsidR="00786646" w:rsidRPr="00661BE7">
                  <w:rPr>
                    <w:rStyle w:val="Hyperlink"/>
                    <w:noProof/>
                  </w:rPr>
                  <w:t>Introduction</w:t>
                </w:r>
                <w:r w:rsidR="00786646">
                  <w:rPr>
                    <w:noProof/>
                    <w:webHidden/>
                  </w:rPr>
                  <w:tab/>
                </w:r>
                <w:r w:rsidR="00786646">
                  <w:rPr>
                    <w:noProof/>
                    <w:webHidden/>
                  </w:rPr>
                  <w:fldChar w:fldCharType="begin"/>
                </w:r>
                <w:r w:rsidR="00786646">
                  <w:rPr>
                    <w:noProof/>
                    <w:webHidden/>
                  </w:rPr>
                  <w:instrText xml:space="preserve"> PAGEREF _Toc358213237 \h </w:instrText>
                </w:r>
                <w:r w:rsidR="00786646">
                  <w:rPr>
                    <w:noProof/>
                    <w:webHidden/>
                  </w:rPr>
                </w:r>
                <w:r w:rsidR="00786646">
                  <w:rPr>
                    <w:noProof/>
                    <w:webHidden/>
                  </w:rPr>
                  <w:fldChar w:fldCharType="separate"/>
                </w:r>
                <w:r w:rsidR="00306D00">
                  <w:rPr>
                    <w:noProof/>
                    <w:webHidden/>
                  </w:rPr>
                  <w:t>2</w:t>
                </w:r>
                <w:r w:rsidR="00786646">
                  <w:rPr>
                    <w:noProof/>
                    <w:webHidden/>
                  </w:rPr>
                  <w:fldChar w:fldCharType="end"/>
                </w:r>
              </w:hyperlink>
            </w:p>
            <w:p w:rsidR="00786646" w:rsidRDefault="00AD74AD">
              <w:pPr>
                <w:pStyle w:val="TOC1"/>
                <w:tabs>
                  <w:tab w:val="right" w:leader="dot" w:pos="9016"/>
                </w:tabs>
                <w:rPr>
                  <w:rFonts w:eastAsiaTheme="minorEastAsia"/>
                  <w:noProof/>
                  <w:lang w:val="en-US"/>
                </w:rPr>
              </w:pPr>
              <w:hyperlink w:anchor="_Toc358213238" w:history="1">
                <w:r w:rsidR="00786646" w:rsidRPr="00661BE7">
                  <w:rPr>
                    <w:rStyle w:val="Hyperlink"/>
                    <w:noProof/>
                  </w:rPr>
                  <w:t>Creating or loading globals files</w:t>
                </w:r>
                <w:r w:rsidR="00786646">
                  <w:rPr>
                    <w:noProof/>
                    <w:webHidden/>
                  </w:rPr>
                  <w:tab/>
                </w:r>
                <w:r w:rsidR="00786646">
                  <w:rPr>
                    <w:noProof/>
                    <w:webHidden/>
                  </w:rPr>
                  <w:fldChar w:fldCharType="begin"/>
                </w:r>
                <w:r w:rsidR="00786646">
                  <w:rPr>
                    <w:noProof/>
                    <w:webHidden/>
                  </w:rPr>
                  <w:instrText xml:space="preserve"> PAGEREF _Toc358213238 \h </w:instrText>
                </w:r>
                <w:r w:rsidR="00786646">
                  <w:rPr>
                    <w:noProof/>
                    <w:webHidden/>
                  </w:rPr>
                </w:r>
                <w:r w:rsidR="00786646">
                  <w:rPr>
                    <w:noProof/>
                    <w:webHidden/>
                  </w:rPr>
                  <w:fldChar w:fldCharType="separate"/>
                </w:r>
                <w:r w:rsidR="00306D00">
                  <w:rPr>
                    <w:noProof/>
                    <w:webHidden/>
                  </w:rPr>
                  <w:t>2</w:t>
                </w:r>
                <w:r w:rsidR="00786646">
                  <w:rPr>
                    <w:noProof/>
                    <w:webHidden/>
                  </w:rPr>
                  <w:fldChar w:fldCharType="end"/>
                </w:r>
              </w:hyperlink>
            </w:p>
            <w:p w:rsidR="00786646" w:rsidRDefault="00AD74AD">
              <w:pPr>
                <w:pStyle w:val="TOC1"/>
                <w:tabs>
                  <w:tab w:val="right" w:leader="dot" w:pos="9016"/>
                </w:tabs>
                <w:rPr>
                  <w:rFonts w:eastAsiaTheme="minorEastAsia"/>
                  <w:noProof/>
                  <w:lang w:val="en-US"/>
                </w:rPr>
              </w:pPr>
              <w:hyperlink w:anchor="_Toc358213239" w:history="1">
                <w:r w:rsidR="00786646" w:rsidRPr="00661BE7">
                  <w:rPr>
                    <w:rStyle w:val="Hyperlink"/>
                    <w:noProof/>
                  </w:rPr>
                  <w:t>Manipulating globals</w:t>
                </w:r>
                <w:r w:rsidR="00786646">
                  <w:rPr>
                    <w:noProof/>
                    <w:webHidden/>
                  </w:rPr>
                  <w:tab/>
                </w:r>
                <w:r w:rsidR="00786646">
                  <w:rPr>
                    <w:noProof/>
                    <w:webHidden/>
                  </w:rPr>
                  <w:fldChar w:fldCharType="begin"/>
                </w:r>
                <w:r w:rsidR="00786646">
                  <w:rPr>
                    <w:noProof/>
                    <w:webHidden/>
                  </w:rPr>
                  <w:instrText xml:space="preserve"> PAGEREF _Toc358213239 \h </w:instrText>
                </w:r>
                <w:r w:rsidR="00786646">
                  <w:rPr>
                    <w:noProof/>
                    <w:webHidden/>
                  </w:rPr>
                </w:r>
                <w:r w:rsidR="00786646">
                  <w:rPr>
                    <w:noProof/>
                    <w:webHidden/>
                  </w:rPr>
                  <w:fldChar w:fldCharType="separate"/>
                </w:r>
                <w:r w:rsidR="00306D00">
                  <w:rPr>
                    <w:noProof/>
                    <w:webHidden/>
                  </w:rPr>
                  <w:t>3</w:t>
                </w:r>
                <w:r w:rsidR="00786646">
                  <w:rPr>
                    <w:noProof/>
                    <w:webHidden/>
                  </w:rPr>
                  <w:fldChar w:fldCharType="end"/>
                </w:r>
              </w:hyperlink>
            </w:p>
            <w:p w:rsidR="00786646" w:rsidRDefault="00AD74AD">
              <w:pPr>
                <w:pStyle w:val="TOC1"/>
                <w:tabs>
                  <w:tab w:val="right" w:leader="dot" w:pos="9016"/>
                </w:tabs>
                <w:rPr>
                  <w:rFonts w:eastAsiaTheme="minorEastAsia"/>
                  <w:noProof/>
                  <w:lang w:val="en-US"/>
                </w:rPr>
              </w:pPr>
              <w:hyperlink w:anchor="_Toc358213240" w:history="1">
                <w:r w:rsidR="00786646" w:rsidRPr="00661BE7">
                  <w:rPr>
                    <w:rStyle w:val="Hyperlink"/>
                    <w:noProof/>
                  </w:rPr>
                  <w:t>Parameter spaces</w:t>
                </w:r>
                <w:r w:rsidR="00786646">
                  <w:rPr>
                    <w:noProof/>
                    <w:webHidden/>
                  </w:rPr>
                  <w:tab/>
                </w:r>
                <w:r w:rsidR="00786646">
                  <w:rPr>
                    <w:noProof/>
                    <w:webHidden/>
                  </w:rPr>
                  <w:fldChar w:fldCharType="begin"/>
                </w:r>
                <w:r w:rsidR="00786646">
                  <w:rPr>
                    <w:noProof/>
                    <w:webHidden/>
                  </w:rPr>
                  <w:instrText xml:space="preserve"> PAGEREF _Toc358213240 \h </w:instrText>
                </w:r>
                <w:r w:rsidR="00786646">
                  <w:rPr>
                    <w:noProof/>
                    <w:webHidden/>
                  </w:rPr>
                </w:r>
                <w:r w:rsidR="00786646">
                  <w:rPr>
                    <w:noProof/>
                    <w:webHidden/>
                  </w:rPr>
                  <w:fldChar w:fldCharType="separate"/>
                </w:r>
                <w:r w:rsidR="00306D00">
                  <w:rPr>
                    <w:noProof/>
                    <w:webHidden/>
                  </w:rPr>
                  <w:t>4</w:t>
                </w:r>
                <w:r w:rsidR="00786646">
                  <w:rPr>
                    <w:noProof/>
                    <w:webHidden/>
                  </w:rPr>
                  <w:fldChar w:fldCharType="end"/>
                </w:r>
              </w:hyperlink>
            </w:p>
            <w:p w:rsidR="00786646" w:rsidRDefault="00AD74AD">
              <w:pPr>
                <w:pStyle w:val="TOC1"/>
                <w:tabs>
                  <w:tab w:val="right" w:leader="dot" w:pos="9016"/>
                </w:tabs>
                <w:rPr>
                  <w:rFonts w:eastAsiaTheme="minorEastAsia"/>
                  <w:noProof/>
                  <w:lang w:val="en-US"/>
                </w:rPr>
              </w:pPr>
              <w:hyperlink w:anchor="_Toc358213241" w:history="1">
                <w:r w:rsidR="00786646" w:rsidRPr="00661BE7">
                  <w:rPr>
                    <w:rStyle w:val="Hyperlink"/>
                    <w:noProof/>
                  </w:rPr>
                  <w:t>Compiling experiments</w:t>
                </w:r>
                <w:r w:rsidR="00786646">
                  <w:rPr>
                    <w:noProof/>
                    <w:webHidden/>
                  </w:rPr>
                  <w:tab/>
                </w:r>
                <w:r w:rsidR="00786646">
                  <w:rPr>
                    <w:noProof/>
                    <w:webHidden/>
                  </w:rPr>
                  <w:fldChar w:fldCharType="begin"/>
                </w:r>
                <w:r w:rsidR="00786646">
                  <w:rPr>
                    <w:noProof/>
                    <w:webHidden/>
                  </w:rPr>
                  <w:instrText xml:space="preserve"> PAGEREF _Toc358213241 \h </w:instrText>
                </w:r>
                <w:r w:rsidR="00786646">
                  <w:rPr>
                    <w:noProof/>
                    <w:webHidden/>
                  </w:rPr>
                </w:r>
                <w:r w:rsidR="00786646">
                  <w:rPr>
                    <w:noProof/>
                    <w:webHidden/>
                  </w:rPr>
                  <w:fldChar w:fldCharType="separate"/>
                </w:r>
                <w:r w:rsidR="00306D00">
                  <w:rPr>
                    <w:noProof/>
                    <w:webHidden/>
                  </w:rPr>
                  <w:t>5</w:t>
                </w:r>
                <w:r w:rsidR="00786646">
                  <w:rPr>
                    <w:noProof/>
                    <w:webHidden/>
                  </w:rPr>
                  <w:fldChar w:fldCharType="end"/>
                </w:r>
              </w:hyperlink>
            </w:p>
            <w:p w:rsidR="002D79A4" w:rsidRDefault="002D79A4">
              <w:r>
                <w:rPr>
                  <w:b/>
                  <w:bCs/>
                  <w:noProof/>
                </w:rPr>
                <w:fldChar w:fldCharType="end"/>
              </w:r>
            </w:p>
          </w:sdtContent>
        </w:sdt>
        <w:p w:rsidR="009754D3" w:rsidRDefault="00A57183" w:rsidP="00A57183">
          <w:r>
            <w:t xml:space="preserve">Version 1.0, SPJ </w:t>
          </w:r>
          <w:r w:rsidR="00405B6A">
            <w:fldChar w:fldCharType="begin"/>
          </w:r>
          <w:r w:rsidR="00405B6A">
            <w:instrText xml:space="preserve"> DATE \@ "d MMMM yyyy" </w:instrText>
          </w:r>
          <w:r w:rsidR="00405B6A">
            <w:fldChar w:fldCharType="separate"/>
          </w:r>
          <w:r w:rsidR="00306D00">
            <w:rPr>
              <w:noProof/>
            </w:rPr>
            <w:t>5 June 2013</w:t>
          </w:r>
          <w:r w:rsidR="00405B6A">
            <w:fldChar w:fldCharType="end"/>
          </w:r>
        </w:p>
      </w:sdtContent>
    </w:sdt>
    <w:p w:rsidR="009754D3" w:rsidRDefault="009754D3" w:rsidP="002D79A4">
      <w:pPr>
        <w:pStyle w:val="IntenseQuote"/>
        <w:outlineLvl w:val="0"/>
      </w:pPr>
      <w:bookmarkStart w:id="0" w:name="_Toc358213237"/>
      <w:r>
        <w:t>Introduction</w:t>
      </w:r>
      <w:bookmarkEnd w:id="0"/>
    </w:p>
    <w:p w:rsidR="008156A1" w:rsidRPr="00726AB4" w:rsidRDefault="00C34017" w:rsidP="00726AB4">
      <w:pPr>
        <w:rPr>
          <w:rFonts w:ascii="Courier New" w:hAnsi="Courier New" w:cs="Courier New"/>
          <w:sz w:val="20"/>
        </w:rPr>
      </w:pPr>
      <w:proofErr w:type="gramStart"/>
      <w:r w:rsidRPr="00CC1BAE">
        <w:rPr>
          <w:rFonts w:ascii="Courier New" w:hAnsi="Courier New" w:cs="Courier New"/>
        </w:rPr>
        <w:t>runmanager</w:t>
      </w:r>
      <w:proofErr w:type="gramEnd"/>
      <w:r>
        <w:t xml:space="preserve"> is a tool used to compile experiment scripts into hardware instructions, and manage global variables (“globals”). Groups of globals can be created and manipulated, for use in experiment scripts written using the </w:t>
      </w:r>
      <w:proofErr w:type="spellStart"/>
      <w:r w:rsidRPr="00CC1BAE">
        <w:rPr>
          <w:rFonts w:ascii="Courier New" w:hAnsi="Courier New" w:cs="Courier New"/>
        </w:rPr>
        <w:t>labscript</w:t>
      </w:r>
      <w:proofErr w:type="spellEnd"/>
      <w:r>
        <w:t xml:space="preserve"> API. </w:t>
      </w:r>
    </w:p>
    <w:p w:rsidR="000A4C18" w:rsidRDefault="004C363F" w:rsidP="002D79A4">
      <w:pPr>
        <w:pStyle w:val="IntenseQuote"/>
        <w:outlineLvl w:val="0"/>
      </w:pPr>
      <w:bookmarkStart w:id="1" w:name="_Toc358213238"/>
      <w:r>
        <w:t>Creating or loading globals files</w:t>
      </w:r>
      <w:bookmarkEnd w:id="1"/>
    </w:p>
    <w:p w:rsidR="00362F93" w:rsidRDefault="00191BE5" w:rsidP="004C363F">
      <w:pPr>
        <w:jc w:val="both"/>
      </w:pPr>
      <w:r>
        <w:t>For ease of use, globals are stored in HDF5 files, and may be sorted into groups within each file. An experiment may use globals from one or more files, and groups within can be enabled or disabled for each file.</w:t>
      </w:r>
    </w:p>
    <w:p w:rsidR="00191BE5" w:rsidRDefault="00191BE5" w:rsidP="004C363F">
      <w:pPr>
        <w:jc w:val="both"/>
      </w:pPr>
      <w:r>
        <w:t xml:space="preserve">To create a new globals file, open </w:t>
      </w:r>
      <w:r w:rsidRPr="00CC1BAE">
        <w:rPr>
          <w:rFonts w:ascii="Courier New" w:hAnsi="Courier New" w:cs="Courier New"/>
        </w:rPr>
        <w:t>runmanager</w:t>
      </w:r>
      <w:r>
        <w:t xml:space="preserve"> and click on the “+ Groups” tab on the left and click the “New File” button. </w:t>
      </w:r>
      <w:r w:rsidR="00455ABE">
        <w:t xml:space="preserve">A file dialog box will </w:t>
      </w:r>
      <w:proofErr w:type="gramStart"/>
      <w:r w:rsidR="00455ABE">
        <w:t>appear,</w:t>
      </w:r>
      <w:proofErr w:type="gramEnd"/>
      <w:r w:rsidR="00455ABE">
        <w:t xml:space="preserve"> where you can select the name and location of your new file. Upon creation, a new row will be added to the list of loaded globals (see Fig. 1) and clicking on the arrow next to its name will reveal the option to add a new group. Clicking this will allow you to type the new group name, and automatically load a tab for that group. Note that the tab can be closed at any time without affecting the globals within it by clicking the red “X” next to the name. Clicking the red “-</w:t>
      </w:r>
      <w:proofErr w:type="gramStart"/>
      <w:r w:rsidR="00455ABE">
        <w:t>“ will</w:t>
      </w:r>
      <w:proofErr w:type="gramEnd"/>
      <w:r w:rsidR="00455ABE">
        <w:t xml:space="preserve"> delete that group. Only “active” groups will be used to </w:t>
      </w:r>
      <w:r w:rsidR="00786646">
        <w:t>compile</w:t>
      </w:r>
      <w:r w:rsidR="00455ABE">
        <w:t xml:space="preserve"> experiments. Groups are activated by ticking the checkbox next to the group name in the list.</w:t>
      </w:r>
    </w:p>
    <w:p w:rsidR="007F75A1" w:rsidRDefault="007F75A1" w:rsidP="007F75A1">
      <w:pPr>
        <w:keepNext/>
        <w:jc w:val="both"/>
      </w:pPr>
      <w:r>
        <w:rPr>
          <w:noProof/>
          <w:lang w:val="en-US"/>
        </w:rPr>
        <w:lastRenderedPageBreak/>
        <w:drawing>
          <wp:inline distT="0" distB="0" distL="0" distR="0" wp14:anchorId="242C3DC2" wp14:editId="5049F971">
            <wp:extent cx="5731510" cy="3746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s_li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6500"/>
                    </a:xfrm>
                    <a:prstGeom prst="rect">
                      <a:avLst/>
                    </a:prstGeom>
                  </pic:spPr>
                </pic:pic>
              </a:graphicData>
            </a:graphic>
          </wp:inline>
        </w:drawing>
      </w:r>
    </w:p>
    <w:p w:rsidR="00455ABE" w:rsidRPr="007F75A1" w:rsidRDefault="007F75A1" w:rsidP="007F75A1">
      <w:pPr>
        <w:pStyle w:val="Caption"/>
        <w:jc w:val="both"/>
        <w:rPr>
          <w:b w:val="0"/>
          <w:color w:val="auto"/>
        </w:rPr>
      </w:pPr>
      <w:r>
        <w:t xml:space="preserve">Figure </w:t>
      </w:r>
      <w:fldSimple w:instr=" SEQ Figure \* ARABIC ">
        <w:r w:rsidR="00306D00">
          <w:rPr>
            <w:noProof/>
          </w:rPr>
          <w:t>1</w:t>
        </w:r>
      </w:fldSimple>
      <w:r>
        <w:t xml:space="preserve"> </w:t>
      </w:r>
      <w:r w:rsidRPr="007F75A1">
        <w:rPr>
          <w:b w:val="0"/>
          <w:color w:val="auto"/>
        </w:rPr>
        <w:t>The “+ Groups” tab</w:t>
      </w:r>
      <w:r>
        <w:rPr>
          <w:b w:val="0"/>
          <w:color w:val="auto"/>
        </w:rPr>
        <w:t xml:space="preserve"> displays a list of globals files loaded in </w:t>
      </w:r>
      <w:r w:rsidRPr="007F75A1">
        <w:rPr>
          <w:rFonts w:ascii="Courier New" w:hAnsi="Courier New" w:cs="Courier New"/>
          <w:b w:val="0"/>
          <w:color w:val="auto"/>
        </w:rPr>
        <w:t>runmanager</w:t>
      </w:r>
      <w:r>
        <w:rPr>
          <w:b w:val="0"/>
          <w:color w:val="auto"/>
        </w:rPr>
        <w:t>, and the groups of globals contained in them. Groups marked as “active” will be used in the compilation process. Globals in each group can be manipulated by opening the group’s tab by clicking the green “+” next to its name.</w:t>
      </w:r>
    </w:p>
    <w:p w:rsidR="00455ABE" w:rsidRDefault="00455ABE" w:rsidP="004C363F">
      <w:pPr>
        <w:jc w:val="both"/>
      </w:pPr>
      <w:r>
        <w:t>Existing globals files can be loaded by clicking “Open file” and selecting your file. A row will be added to the list for the file, and clicking the arrow will reveal the groups in that file. Groups can be activated by checking their boxes and tabs opened for inspecting and manipulating globals for each group by</w:t>
      </w:r>
      <w:r w:rsidR="00A720C2">
        <w:t xml:space="preserve"> clicking the green “+”.</w:t>
      </w:r>
    </w:p>
    <w:p w:rsidR="00A720C2" w:rsidRDefault="00A720C2" w:rsidP="004C363F">
      <w:pPr>
        <w:jc w:val="both"/>
      </w:pPr>
    </w:p>
    <w:p w:rsidR="00A720C2" w:rsidRDefault="00A720C2" w:rsidP="00A720C2">
      <w:pPr>
        <w:pStyle w:val="IntenseQuote"/>
        <w:outlineLvl w:val="0"/>
      </w:pPr>
      <w:bookmarkStart w:id="2" w:name="_Toc358213239"/>
      <w:r>
        <w:t>Manipulating globals</w:t>
      </w:r>
      <w:bookmarkEnd w:id="2"/>
    </w:p>
    <w:p w:rsidR="00A720C2" w:rsidRDefault="00A720C2" w:rsidP="004C363F">
      <w:pPr>
        <w:jc w:val="both"/>
      </w:pPr>
      <w:r>
        <w:t>Globals</w:t>
      </w:r>
      <w:r w:rsidR="000C685B">
        <w:t xml:space="preserve"> can be created and manipulated for each group in </w:t>
      </w:r>
      <w:r w:rsidR="00520614">
        <w:t>its tab (see Fig. 2)</w:t>
      </w:r>
      <w:r w:rsidR="000C685B">
        <w:t>.</w:t>
      </w:r>
      <w:r w:rsidR="00520614">
        <w:t xml:space="preserve"> To add a global, click the tab for the group you want to add it to, and cli</w:t>
      </w:r>
      <w:r w:rsidR="004D0389">
        <w:t>ck “&lt;Click to add new global&gt;”. Enter a name for the new global (which corresponds to the name you use when referring to it in your experiment script) and a value. You may type the units corresponding to the global, but note that this is for information only, and will not be used for conversions by your script.</w:t>
      </w:r>
    </w:p>
    <w:p w:rsidR="004D0389" w:rsidRDefault="004D0389" w:rsidP="004C363F">
      <w:pPr>
        <w:jc w:val="both"/>
      </w:pPr>
      <w:r>
        <w:t>If the value of the global is “True” or “False”, the unit will be automatically set to “</w:t>
      </w:r>
      <w:proofErr w:type="spellStart"/>
      <w:r>
        <w:t>Bool</w:t>
      </w:r>
      <w:proofErr w:type="spellEnd"/>
      <w:r>
        <w:t xml:space="preserve">.” and a checkbox will appear for faster switching of the state. The value of a global may be any valid python expression, however note that this will be evaluated by </w:t>
      </w:r>
      <w:r w:rsidRPr="00CC1BAE">
        <w:rPr>
          <w:rFonts w:ascii="Courier New" w:hAnsi="Courier New" w:cs="Courier New"/>
        </w:rPr>
        <w:t>runmanager</w:t>
      </w:r>
      <w:r>
        <w:t xml:space="preserve">, not your experiment script. The result of the evaluation is shown as a tooltip when hovering over the value. If the output is an </w:t>
      </w:r>
      <w:proofErr w:type="spellStart"/>
      <w:r>
        <w:t>iterable</w:t>
      </w:r>
      <w:proofErr w:type="spellEnd"/>
      <w:r>
        <w:t xml:space="preserve"> type </w:t>
      </w:r>
      <w:r w:rsidR="00BD13ED">
        <w:t xml:space="preserve">they are used to create a parameter space, as described in the next section </w:t>
      </w:r>
      <w:r>
        <w:t>(with the only exception being tuples</w:t>
      </w:r>
      <w:r w:rsidR="00BD13ED">
        <w:t>, which are passed as-is).</w:t>
      </w:r>
    </w:p>
    <w:p w:rsidR="007F75A1" w:rsidRDefault="007F75A1" w:rsidP="007F75A1">
      <w:pPr>
        <w:keepNext/>
        <w:jc w:val="both"/>
      </w:pPr>
      <w:r>
        <w:rPr>
          <w:noProof/>
          <w:lang w:val="en-US"/>
        </w:rPr>
        <w:lastRenderedPageBreak/>
        <w:drawing>
          <wp:inline distT="0" distB="0" distL="0" distR="0" wp14:anchorId="5073853A" wp14:editId="7ACAE0ED">
            <wp:extent cx="5731322" cy="37465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s.PNG"/>
                    <pic:cNvPicPr/>
                  </pic:nvPicPr>
                  <pic:blipFill>
                    <a:blip r:embed="rId10">
                      <a:extLst>
                        <a:ext uri="{28A0092B-C50C-407E-A947-70E740481C1C}">
                          <a14:useLocalDpi xmlns:a14="http://schemas.microsoft.com/office/drawing/2010/main" val="0"/>
                        </a:ext>
                      </a:extLst>
                    </a:blip>
                    <a:stretch>
                      <a:fillRect/>
                    </a:stretch>
                  </pic:blipFill>
                  <pic:spPr>
                    <a:xfrm>
                      <a:off x="0" y="0"/>
                      <a:ext cx="5731322" cy="3746500"/>
                    </a:xfrm>
                    <a:prstGeom prst="rect">
                      <a:avLst/>
                    </a:prstGeom>
                  </pic:spPr>
                </pic:pic>
              </a:graphicData>
            </a:graphic>
          </wp:inline>
        </w:drawing>
      </w:r>
    </w:p>
    <w:p w:rsidR="007F75A1" w:rsidRDefault="007F75A1" w:rsidP="007F75A1">
      <w:pPr>
        <w:pStyle w:val="Caption"/>
        <w:jc w:val="both"/>
      </w:pPr>
      <w:r>
        <w:t xml:space="preserve">Figure </w:t>
      </w:r>
      <w:fldSimple w:instr=" SEQ Figure \* ARABIC ">
        <w:r w:rsidR="00306D00">
          <w:rPr>
            <w:noProof/>
          </w:rPr>
          <w:t>2</w:t>
        </w:r>
      </w:fldSimple>
      <w:r>
        <w:t xml:space="preserve"> </w:t>
      </w:r>
      <w:r w:rsidRPr="007F75A1">
        <w:rPr>
          <w:b w:val="0"/>
          <w:color w:val="auto"/>
        </w:rPr>
        <w:t>Manipulation of globals</w:t>
      </w:r>
      <w:r>
        <w:rPr>
          <w:b w:val="0"/>
          <w:color w:val="auto"/>
        </w:rPr>
        <w:t xml:space="preserve">. </w:t>
      </w:r>
      <w:r w:rsidR="00446F6C">
        <w:rPr>
          <w:b w:val="0"/>
          <w:color w:val="auto"/>
        </w:rPr>
        <w:t xml:space="preserve">The name entered here is the name used in your python </w:t>
      </w:r>
      <w:r w:rsidR="00CC1BAE">
        <w:rPr>
          <w:b w:val="0"/>
          <w:color w:val="auto"/>
        </w:rPr>
        <w:t>experiment</w:t>
      </w:r>
      <w:r w:rsidR="00446F6C">
        <w:rPr>
          <w:b w:val="0"/>
          <w:color w:val="auto"/>
        </w:rPr>
        <w:t xml:space="preserve"> script, and must be a valid python variable name. The value column will turn green upon validation, and a tooltip will show the evaluated expression or error message if something is wrong. The expansion column will indicate if the global belongs to a zip group or will be used in a Cartesian product if the variable contains a list of values.</w:t>
      </w:r>
      <w:r w:rsidR="00AD0AA6">
        <w:rPr>
          <w:b w:val="0"/>
          <w:color w:val="auto"/>
        </w:rPr>
        <w:t xml:space="preserve"> In this case, two of the bias fields, </w:t>
      </w:r>
      <w:proofErr w:type="spellStart"/>
      <w:r w:rsidR="00AD0AA6" w:rsidRPr="00AD0AA6">
        <w:rPr>
          <w:rFonts w:ascii="Courier New" w:hAnsi="Courier New" w:cs="Courier New"/>
          <w:b w:val="0"/>
          <w:color w:val="auto"/>
        </w:rPr>
        <w:t>mt_bias_x</w:t>
      </w:r>
      <w:proofErr w:type="spellEnd"/>
      <w:r w:rsidR="00AD0AA6" w:rsidRPr="00AD0AA6">
        <w:rPr>
          <w:rFonts w:ascii="Courier New" w:hAnsi="Courier New" w:cs="Courier New"/>
          <w:b w:val="0"/>
          <w:color w:val="auto"/>
        </w:rPr>
        <w:t xml:space="preserve"> </w:t>
      </w:r>
      <w:r w:rsidR="00AD0AA6">
        <w:rPr>
          <w:b w:val="0"/>
          <w:color w:val="auto"/>
        </w:rPr>
        <w:t xml:space="preserve">and </w:t>
      </w:r>
      <w:proofErr w:type="spellStart"/>
      <w:r w:rsidR="00AD0AA6" w:rsidRPr="00AD0AA6">
        <w:rPr>
          <w:rFonts w:ascii="Courier New" w:hAnsi="Courier New" w:cs="Courier New"/>
          <w:b w:val="0"/>
          <w:color w:val="auto"/>
        </w:rPr>
        <w:t>mt_bias_y</w:t>
      </w:r>
      <w:proofErr w:type="spellEnd"/>
      <w:r w:rsidR="00AD0AA6" w:rsidRPr="00AD0AA6">
        <w:rPr>
          <w:rFonts w:ascii="Courier New" w:hAnsi="Courier New" w:cs="Courier New"/>
          <w:b w:val="0"/>
          <w:color w:val="auto"/>
        </w:rPr>
        <w:t xml:space="preserve"> </w:t>
      </w:r>
      <w:r w:rsidR="00AD0AA6">
        <w:rPr>
          <w:b w:val="0"/>
          <w:color w:val="auto"/>
        </w:rPr>
        <w:t xml:space="preserve">are being scanned in lock-step. A “zip group” called “bias” has been entered in the expansion column to achieve this. The value of </w:t>
      </w:r>
      <w:proofErr w:type="spellStart"/>
      <w:r w:rsidR="00AD0AA6" w:rsidRPr="00AD0AA6">
        <w:rPr>
          <w:rFonts w:ascii="Courier New" w:hAnsi="Courier New" w:cs="Courier New"/>
          <w:b w:val="0"/>
          <w:color w:val="auto"/>
        </w:rPr>
        <w:t>mt_central_bq</w:t>
      </w:r>
      <w:proofErr w:type="spellEnd"/>
      <w:r w:rsidR="00AD0AA6">
        <w:rPr>
          <w:b w:val="0"/>
          <w:color w:val="auto"/>
        </w:rPr>
        <w:t xml:space="preserve"> is also being scanned over. A Cartesian product will be performed between these values and the pairs of bias values, in the same way as in the example below.</w:t>
      </w:r>
    </w:p>
    <w:p w:rsidR="00A720C2" w:rsidRDefault="00A720C2" w:rsidP="00A720C2">
      <w:pPr>
        <w:pStyle w:val="IntenseQuote"/>
        <w:outlineLvl w:val="0"/>
      </w:pPr>
      <w:bookmarkStart w:id="3" w:name="_Toc358213240"/>
      <w:r>
        <w:t>Parameter spaces</w:t>
      </w:r>
      <w:bookmarkEnd w:id="3"/>
    </w:p>
    <w:p w:rsidR="004D2943" w:rsidRDefault="004D2943" w:rsidP="004D2943">
      <w:pPr>
        <w:jc w:val="both"/>
      </w:pPr>
      <w:r>
        <w:t xml:space="preserve">When you enter a list of values for a global (any </w:t>
      </w:r>
      <w:proofErr w:type="spellStart"/>
      <w:r>
        <w:t>iterable</w:t>
      </w:r>
      <w:proofErr w:type="spellEnd"/>
      <w:r>
        <w:t xml:space="preserve"> other than a tuple, e.g. a list, [1</w:t>
      </w:r>
      <w:proofErr w:type="gramStart"/>
      <w:r>
        <w:t>,2,3</w:t>
      </w:r>
      <w:proofErr w:type="gramEnd"/>
      <w:r>
        <w:t xml:space="preserve">] or an array </w:t>
      </w:r>
      <w:proofErr w:type="spellStart"/>
      <w:r>
        <w:t>linspace</w:t>
      </w:r>
      <w:proofErr w:type="spellEnd"/>
      <w:r>
        <w:t>(0,10,100)), runmanager creates an experiment shot for each value. If multiple values contain lists, the default behaviour is to perform a Cartesian product and produce a shot for each point in the resulting parameter space.</w:t>
      </w:r>
    </w:p>
    <w:p w:rsidR="004D2943" w:rsidRDefault="004D2943" w:rsidP="004D2943">
      <w:pPr>
        <w:jc w:val="both"/>
      </w:pPr>
      <w:r>
        <w:t>This behaviour can be modified by specifying a "zip group" for a global in the "Expansion" column (by default you will see "outer" here). This will result in globals within a zip group (i.e. globals with the same zip group name) being paired up in lock-step.</w:t>
      </w:r>
    </w:p>
    <w:p w:rsidR="00AD0AA6" w:rsidRDefault="004D2943" w:rsidP="00AD0AA6">
      <w:pPr>
        <w:jc w:val="both"/>
      </w:pPr>
      <w:r>
        <w:t>If you have multiple zip groups or other non-zipped lists, a Cartesian product will be performed with them, with each zip group treated as though it is a list of tuples.</w:t>
      </w:r>
    </w:p>
    <w:p w:rsidR="00764E22" w:rsidRDefault="00AD0AA6" w:rsidP="00AD0AA6">
      <w:pPr>
        <w:jc w:val="both"/>
      </w:pPr>
      <w:r>
        <w:t>Note that in future versions of runmanager the “Overview” tab will provide an overview of the parameter space to be scanned, however this feature has not yet been implemented.</w:t>
      </w:r>
      <w:bookmarkStart w:id="4" w:name="_GoBack"/>
      <w:bookmarkEnd w:id="4"/>
    </w:p>
    <w:p w:rsidR="00AD0AA6" w:rsidRDefault="00AD0AA6" w:rsidP="00AD0AA6">
      <w:pPr>
        <w:jc w:val="both"/>
      </w:pPr>
    </w:p>
    <w:p w:rsidR="00AD0AA6" w:rsidRDefault="00AD0AA6" w:rsidP="00AD0AA6">
      <w:pPr>
        <w:jc w:val="both"/>
        <w:rPr>
          <w:b/>
          <w:bCs/>
          <w:color w:val="5B9BD5" w:themeColor="accent1"/>
          <w:sz w:val="18"/>
          <w:szCs w:val="18"/>
        </w:rPr>
      </w:pPr>
    </w:p>
    <w:p w:rsidR="004D2943" w:rsidRDefault="004D2943" w:rsidP="004D2943">
      <w:pPr>
        <w:pStyle w:val="Caption"/>
      </w:pPr>
      <w:r>
        <w:lastRenderedPageBreak/>
        <w:t>Example of using a zip group in conjunction with a non-zipped multi-valued global:</w:t>
      </w:r>
    </w:p>
    <w:p w:rsidR="004D2943" w:rsidRPr="004D2943" w:rsidRDefault="004D2943" w:rsidP="004D2943">
      <w:pPr>
        <w:pStyle w:val="Caption"/>
        <w:rPr>
          <w:b w:val="0"/>
          <w:color w:val="auto"/>
        </w:rPr>
      </w:pPr>
      <w:r w:rsidRPr="004D2943">
        <w:rPr>
          <w:b w:val="0"/>
          <w:color w:val="auto"/>
        </w:rPr>
        <w:t>Say we have three globals that contain lists of values, A</w:t>
      </w:r>
      <w:proofErr w:type="gramStart"/>
      <w:r w:rsidRPr="004D2943">
        <w:rPr>
          <w:b w:val="0"/>
          <w:color w:val="auto"/>
        </w:rPr>
        <w:t>=[</w:t>
      </w:r>
      <w:proofErr w:type="gramEnd"/>
      <w:r w:rsidRPr="004D2943">
        <w:rPr>
          <w:b w:val="0"/>
          <w:color w:val="auto"/>
        </w:rPr>
        <w:t xml:space="preserve">a0,a1,a2], B=[b0,b1,b2] and C=[c0,c1,c2]. If </w:t>
      </w:r>
      <w:proofErr w:type="gramStart"/>
      <w:r w:rsidRPr="004D2943">
        <w:rPr>
          <w:b w:val="0"/>
          <w:color w:val="auto"/>
        </w:rPr>
        <w:t>A and</w:t>
      </w:r>
      <w:proofErr w:type="gramEnd"/>
      <w:r w:rsidRPr="004D2943">
        <w:rPr>
          <w:b w:val="0"/>
          <w:color w:val="auto"/>
        </w:rPr>
        <w:t xml:space="preserve"> B are members of the zip group AB, then when the value of A is a0, B will always be b0 and so on. The resulting parameter space when the </w:t>
      </w:r>
      <w:r w:rsidR="00786646" w:rsidRPr="004D2943">
        <w:rPr>
          <w:b w:val="0"/>
          <w:color w:val="auto"/>
        </w:rPr>
        <w:t>Cartesian</w:t>
      </w:r>
      <w:r w:rsidRPr="004D2943">
        <w:rPr>
          <w:b w:val="0"/>
          <w:color w:val="auto"/>
        </w:rPr>
        <w:t xml:space="preserve"> product is performed with C will contain 9 points</w:t>
      </w:r>
      <w:r w:rsidR="007F75A1">
        <w:rPr>
          <w:b w:val="0"/>
          <w:color w:val="auto"/>
        </w:rPr>
        <w:t xml:space="preserve"> (shown as rows in the table)</w:t>
      </w:r>
      <w:r w:rsidRPr="004D2943">
        <w:rPr>
          <w:b w:val="0"/>
          <w:color w:val="auto"/>
        </w:rPr>
        <w:t>:</w:t>
      </w:r>
    </w:p>
    <w:tbl>
      <w:tblPr>
        <w:tblStyle w:val="TableGrid"/>
        <w:tblW w:w="0" w:type="auto"/>
        <w:tblLayout w:type="fixed"/>
        <w:tblLook w:val="04A0" w:firstRow="1" w:lastRow="0" w:firstColumn="1" w:lastColumn="0" w:noHBand="0" w:noVBand="1"/>
      </w:tblPr>
      <w:tblGrid>
        <w:gridCol w:w="498"/>
        <w:gridCol w:w="510"/>
        <w:gridCol w:w="450"/>
        <w:gridCol w:w="450"/>
      </w:tblGrid>
      <w:tr w:rsidR="00460AA0" w:rsidTr="00460AA0">
        <w:tc>
          <w:tcPr>
            <w:tcW w:w="498" w:type="dxa"/>
            <w:vMerge w:val="restart"/>
            <w:tcBorders>
              <w:top w:val="nil"/>
              <w:left w:val="nil"/>
            </w:tcBorders>
            <w:textDirection w:val="btLr"/>
          </w:tcPr>
          <w:p w:rsidR="00460AA0" w:rsidRPr="00460AA0" w:rsidRDefault="00460AA0" w:rsidP="00460AA0">
            <w:pPr>
              <w:ind w:left="113" w:right="113"/>
              <w:jc w:val="both"/>
            </w:pPr>
          </w:p>
        </w:tc>
        <w:tc>
          <w:tcPr>
            <w:tcW w:w="1410" w:type="dxa"/>
            <w:gridSpan w:val="3"/>
            <w:tcBorders>
              <w:bottom w:val="nil"/>
            </w:tcBorders>
            <w:shd w:val="clear" w:color="auto" w:fill="DEEAF6" w:themeFill="accent1" w:themeFillTint="33"/>
          </w:tcPr>
          <w:p w:rsidR="00460AA0" w:rsidRPr="00460AA0" w:rsidRDefault="00460AA0" w:rsidP="00460AA0">
            <w:pPr>
              <w:jc w:val="center"/>
            </w:pPr>
            <w:r w:rsidRPr="00460AA0">
              <w:t>Global</w:t>
            </w:r>
          </w:p>
        </w:tc>
      </w:tr>
      <w:tr w:rsidR="00460AA0" w:rsidTr="00460AA0">
        <w:tc>
          <w:tcPr>
            <w:tcW w:w="498" w:type="dxa"/>
            <w:vMerge/>
            <w:tcBorders>
              <w:left w:val="nil"/>
            </w:tcBorders>
          </w:tcPr>
          <w:p w:rsidR="00460AA0" w:rsidRPr="00460AA0" w:rsidRDefault="00460AA0" w:rsidP="004D2943">
            <w:pPr>
              <w:jc w:val="both"/>
            </w:pPr>
          </w:p>
        </w:tc>
        <w:tc>
          <w:tcPr>
            <w:tcW w:w="510" w:type="dxa"/>
            <w:tcBorders>
              <w:top w:val="nil"/>
            </w:tcBorders>
            <w:shd w:val="clear" w:color="auto" w:fill="DEEAF6" w:themeFill="accent1" w:themeFillTint="33"/>
          </w:tcPr>
          <w:p w:rsidR="00460AA0" w:rsidRPr="00460AA0" w:rsidRDefault="00460AA0" w:rsidP="004D2943">
            <w:pPr>
              <w:jc w:val="both"/>
            </w:pPr>
            <w:r w:rsidRPr="00460AA0">
              <w:t>A</w:t>
            </w:r>
          </w:p>
        </w:tc>
        <w:tc>
          <w:tcPr>
            <w:tcW w:w="450" w:type="dxa"/>
            <w:tcBorders>
              <w:top w:val="nil"/>
            </w:tcBorders>
            <w:shd w:val="clear" w:color="auto" w:fill="DEEAF6" w:themeFill="accent1" w:themeFillTint="33"/>
          </w:tcPr>
          <w:p w:rsidR="00460AA0" w:rsidRPr="00460AA0" w:rsidRDefault="00460AA0" w:rsidP="004D2943">
            <w:pPr>
              <w:jc w:val="both"/>
            </w:pPr>
            <w:r w:rsidRPr="00460AA0">
              <w:t>B</w:t>
            </w:r>
          </w:p>
        </w:tc>
        <w:tc>
          <w:tcPr>
            <w:tcW w:w="450" w:type="dxa"/>
            <w:tcBorders>
              <w:top w:val="nil"/>
            </w:tcBorders>
            <w:shd w:val="clear" w:color="auto" w:fill="DEEAF6" w:themeFill="accent1" w:themeFillTint="33"/>
          </w:tcPr>
          <w:p w:rsidR="00460AA0" w:rsidRPr="00460AA0" w:rsidRDefault="00460AA0" w:rsidP="004D2943">
            <w:pPr>
              <w:jc w:val="both"/>
            </w:pPr>
            <w:r w:rsidRPr="00460AA0">
              <w:t>C</w:t>
            </w:r>
          </w:p>
        </w:tc>
      </w:tr>
      <w:tr w:rsidR="00460AA0" w:rsidTr="00460AA0">
        <w:tc>
          <w:tcPr>
            <w:tcW w:w="498" w:type="dxa"/>
            <w:vMerge w:val="restart"/>
            <w:shd w:val="clear" w:color="auto" w:fill="DEEAF6" w:themeFill="accent1" w:themeFillTint="33"/>
            <w:textDirection w:val="btLr"/>
          </w:tcPr>
          <w:p w:rsidR="00460AA0" w:rsidRPr="00460AA0" w:rsidRDefault="00460AA0" w:rsidP="00460AA0">
            <w:pPr>
              <w:tabs>
                <w:tab w:val="left" w:pos="620"/>
              </w:tabs>
              <w:ind w:left="113" w:right="113"/>
              <w:jc w:val="center"/>
            </w:pPr>
            <w:r>
              <w:t>Value</w:t>
            </w:r>
          </w:p>
        </w:tc>
        <w:tc>
          <w:tcPr>
            <w:tcW w:w="510" w:type="dxa"/>
          </w:tcPr>
          <w:p w:rsidR="00460AA0" w:rsidRPr="00460AA0" w:rsidRDefault="00460AA0" w:rsidP="004D2943">
            <w:pPr>
              <w:tabs>
                <w:tab w:val="left" w:pos="620"/>
              </w:tabs>
              <w:jc w:val="both"/>
            </w:pPr>
            <w:r w:rsidRPr="00460AA0">
              <w:t>a0</w:t>
            </w:r>
          </w:p>
        </w:tc>
        <w:tc>
          <w:tcPr>
            <w:tcW w:w="450" w:type="dxa"/>
          </w:tcPr>
          <w:p w:rsidR="00460AA0" w:rsidRPr="00460AA0" w:rsidRDefault="00460AA0" w:rsidP="004D2943">
            <w:pPr>
              <w:jc w:val="both"/>
            </w:pPr>
            <w:r w:rsidRPr="00460AA0">
              <w:t>b0</w:t>
            </w:r>
          </w:p>
        </w:tc>
        <w:tc>
          <w:tcPr>
            <w:tcW w:w="450" w:type="dxa"/>
          </w:tcPr>
          <w:p w:rsidR="00460AA0" w:rsidRPr="00460AA0" w:rsidRDefault="00460AA0" w:rsidP="004D2943">
            <w:pPr>
              <w:jc w:val="both"/>
            </w:pPr>
            <w:r w:rsidRPr="00460AA0">
              <w:t>c0</w:t>
            </w:r>
          </w:p>
        </w:tc>
      </w:tr>
      <w:tr w:rsidR="00460AA0" w:rsidTr="00460AA0">
        <w:tc>
          <w:tcPr>
            <w:tcW w:w="498" w:type="dxa"/>
            <w:vMerge/>
            <w:shd w:val="clear" w:color="auto" w:fill="DEEAF6" w:themeFill="accent1" w:themeFillTint="33"/>
          </w:tcPr>
          <w:p w:rsidR="00460AA0" w:rsidRPr="00460AA0" w:rsidRDefault="00460AA0" w:rsidP="004D2943">
            <w:pPr>
              <w:jc w:val="both"/>
            </w:pPr>
          </w:p>
        </w:tc>
        <w:tc>
          <w:tcPr>
            <w:tcW w:w="510" w:type="dxa"/>
          </w:tcPr>
          <w:p w:rsidR="00460AA0" w:rsidRPr="00460AA0" w:rsidRDefault="00460AA0" w:rsidP="004D2943">
            <w:pPr>
              <w:jc w:val="both"/>
            </w:pPr>
            <w:r w:rsidRPr="00460AA0">
              <w:t>a0</w:t>
            </w:r>
          </w:p>
        </w:tc>
        <w:tc>
          <w:tcPr>
            <w:tcW w:w="450" w:type="dxa"/>
          </w:tcPr>
          <w:p w:rsidR="00460AA0" w:rsidRPr="00460AA0" w:rsidRDefault="00460AA0" w:rsidP="004D2943">
            <w:pPr>
              <w:jc w:val="both"/>
            </w:pPr>
            <w:r w:rsidRPr="00460AA0">
              <w:t>b0</w:t>
            </w:r>
          </w:p>
        </w:tc>
        <w:tc>
          <w:tcPr>
            <w:tcW w:w="450" w:type="dxa"/>
          </w:tcPr>
          <w:p w:rsidR="00460AA0" w:rsidRPr="00460AA0" w:rsidRDefault="00460AA0" w:rsidP="004D2943">
            <w:pPr>
              <w:jc w:val="both"/>
            </w:pPr>
            <w:r w:rsidRPr="00460AA0">
              <w:t>c1</w:t>
            </w:r>
          </w:p>
        </w:tc>
      </w:tr>
      <w:tr w:rsidR="00460AA0" w:rsidTr="00460AA0">
        <w:tc>
          <w:tcPr>
            <w:tcW w:w="498" w:type="dxa"/>
            <w:vMerge/>
            <w:shd w:val="clear" w:color="auto" w:fill="DEEAF6" w:themeFill="accent1" w:themeFillTint="33"/>
          </w:tcPr>
          <w:p w:rsidR="00460AA0" w:rsidRPr="00460AA0" w:rsidRDefault="00460AA0" w:rsidP="004D2943">
            <w:pPr>
              <w:jc w:val="both"/>
            </w:pPr>
          </w:p>
        </w:tc>
        <w:tc>
          <w:tcPr>
            <w:tcW w:w="510" w:type="dxa"/>
          </w:tcPr>
          <w:p w:rsidR="00460AA0" w:rsidRPr="00460AA0" w:rsidRDefault="00460AA0" w:rsidP="004D2943">
            <w:pPr>
              <w:jc w:val="both"/>
            </w:pPr>
            <w:r w:rsidRPr="00460AA0">
              <w:t>a0</w:t>
            </w:r>
          </w:p>
        </w:tc>
        <w:tc>
          <w:tcPr>
            <w:tcW w:w="450" w:type="dxa"/>
          </w:tcPr>
          <w:p w:rsidR="00460AA0" w:rsidRPr="00460AA0" w:rsidRDefault="00460AA0" w:rsidP="004D2943">
            <w:pPr>
              <w:jc w:val="both"/>
            </w:pPr>
            <w:r w:rsidRPr="00460AA0">
              <w:t>b0</w:t>
            </w:r>
          </w:p>
        </w:tc>
        <w:tc>
          <w:tcPr>
            <w:tcW w:w="450" w:type="dxa"/>
          </w:tcPr>
          <w:p w:rsidR="00460AA0" w:rsidRPr="00460AA0" w:rsidRDefault="00460AA0" w:rsidP="004D2943">
            <w:pPr>
              <w:jc w:val="both"/>
            </w:pPr>
            <w:r w:rsidRPr="00460AA0">
              <w:t>c2</w:t>
            </w:r>
          </w:p>
        </w:tc>
      </w:tr>
      <w:tr w:rsidR="00460AA0" w:rsidTr="00460AA0">
        <w:tc>
          <w:tcPr>
            <w:tcW w:w="498" w:type="dxa"/>
            <w:vMerge/>
            <w:shd w:val="clear" w:color="auto" w:fill="DEEAF6" w:themeFill="accent1" w:themeFillTint="33"/>
          </w:tcPr>
          <w:p w:rsidR="00460AA0" w:rsidRPr="00460AA0" w:rsidRDefault="00460AA0" w:rsidP="007F75A1">
            <w:pPr>
              <w:tabs>
                <w:tab w:val="left" w:pos="620"/>
              </w:tabs>
              <w:jc w:val="both"/>
            </w:pPr>
          </w:p>
        </w:tc>
        <w:tc>
          <w:tcPr>
            <w:tcW w:w="510" w:type="dxa"/>
          </w:tcPr>
          <w:p w:rsidR="00460AA0" w:rsidRPr="00460AA0" w:rsidRDefault="00460AA0" w:rsidP="007F75A1">
            <w:pPr>
              <w:tabs>
                <w:tab w:val="left" w:pos="620"/>
              </w:tabs>
              <w:jc w:val="both"/>
            </w:pPr>
            <w:r w:rsidRPr="00460AA0">
              <w:t>a1</w:t>
            </w:r>
          </w:p>
        </w:tc>
        <w:tc>
          <w:tcPr>
            <w:tcW w:w="450" w:type="dxa"/>
          </w:tcPr>
          <w:p w:rsidR="00460AA0" w:rsidRPr="00460AA0" w:rsidRDefault="00460AA0" w:rsidP="007F75A1">
            <w:pPr>
              <w:jc w:val="both"/>
            </w:pPr>
            <w:r w:rsidRPr="00460AA0">
              <w:t>b1</w:t>
            </w:r>
          </w:p>
        </w:tc>
        <w:tc>
          <w:tcPr>
            <w:tcW w:w="450" w:type="dxa"/>
          </w:tcPr>
          <w:p w:rsidR="00460AA0" w:rsidRPr="00460AA0" w:rsidRDefault="00460AA0" w:rsidP="007F75A1">
            <w:pPr>
              <w:jc w:val="both"/>
            </w:pPr>
            <w:r w:rsidRPr="00460AA0">
              <w:t>c0</w:t>
            </w:r>
          </w:p>
        </w:tc>
      </w:tr>
      <w:tr w:rsidR="00460AA0" w:rsidTr="00460AA0">
        <w:tc>
          <w:tcPr>
            <w:tcW w:w="498" w:type="dxa"/>
            <w:vMerge/>
            <w:shd w:val="clear" w:color="auto" w:fill="DEEAF6" w:themeFill="accent1" w:themeFillTint="33"/>
          </w:tcPr>
          <w:p w:rsidR="00460AA0" w:rsidRPr="00460AA0" w:rsidRDefault="00460AA0" w:rsidP="007F75A1">
            <w:pPr>
              <w:jc w:val="both"/>
            </w:pPr>
          </w:p>
        </w:tc>
        <w:tc>
          <w:tcPr>
            <w:tcW w:w="510" w:type="dxa"/>
          </w:tcPr>
          <w:p w:rsidR="00460AA0" w:rsidRPr="00460AA0" w:rsidRDefault="00460AA0" w:rsidP="007F75A1">
            <w:pPr>
              <w:jc w:val="both"/>
            </w:pPr>
            <w:r w:rsidRPr="00460AA0">
              <w:t>a1</w:t>
            </w:r>
          </w:p>
        </w:tc>
        <w:tc>
          <w:tcPr>
            <w:tcW w:w="450" w:type="dxa"/>
          </w:tcPr>
          <w:p w:rsidR="00460AA0" w:rsidRPr="00460AA0" w:rsidRDefault="00460AA0" w:rsidP="007F75A1">
            <w:pPr>
              <w:jc w:val="both"/>
            </w:pPr>
            <w:r w:rsidRPr="00460AA0">
              <w:t>b1</w:t>
            </w:r>
          </w:p>
        </w:tc>
        <w:tc>
          <w:tcPr>
            <w:tcW w:w="450" w:type="dxa"/>
          </w:tcPr>
          <w:p w:rsidR="00460AA0" w:rsidRPr="00460AA0" w:rsidRDefault="00460AA0" w:rsidP="007F75A1">
            <w:pPr>
              <w:jc w:val="both"/>
            </w:pPr>
            <w:r w:rsidRPr="00460AA0">
              <w:t>c1</w:t>
            </w:r>
          </w:p>
        </w:tc>
      </w:tr>
      <w:tr w:rsidR="00460AA0" w:rsidTr="00460AA0">
        <w:tc>
          <w:tcPr>
            <w:tcW w:w="498" w:type="dxa"/>
            <w:vMerge/>
            <w:shd w:val="clear" w:color="auto" w:fill="DEEAF6" w:themeFill="accent1" w:themeFillTint="33"/>
          </w:tcPr>
          <w:p w:rsidR="00460AA0" w:rsidRPr="00460AA0" w:rsidRDefault="00460AA0" w:rsidP="007F75A1">
            <w:pPr>
              <w:jc w:val="both"/>
            </w:pPr>
          </w:p>
        </w:tc>
        <w:tc>
          <w:tcPr>
            <w:tcW w:w="510" w:type="dxa"/>
          </w:tcPr>
          <w:p w:rsidR="00460AA0" w:rsidRPr="00460AA0" w:rsidRDefault="00460AA0" w:rsidP="007F75A1">
            <w:pPr>
              <w:jc w:val="both"/>
            </w:pPr>
            <w:r w:rsidRPr="00460AA0">
              <w:t>a1</w:t>
            </w:r>
          </w:p>
        </w:tc>
        <w:tc>
          <w:tcPr>
            <w:tcW w:w="450" w:type="dxa"/>
          </w:tcPr>
          <w:p w:rsidR="00460AA0" w:rsidRPr="00460AA0" w:rsidRDefault="00460AA0" w:rsidP="007F75A1">
            <w:pPr>
              <w:jc w:val="both"/>
            </w:pPr>
            <w:r w:rsidRPr="00460AA0">
              <w:t>b1</w:t>
            </w:r>
          </w:p>
        </w:tc>
        <w:tc>
          <w:tcPr>
            <w:tcW w:w="450" w:type="dxa"/>
          </w:tcPr>
          <w:p w:rsidR="00460AA0" w:rsidRPr="00460AA0" w:rsidRDefault="00460AA0" w:rsidP="007F75A1">
            <w:pPr>
              <w:jc w:val="both"/>
            </w:pPr>
            <w:r w:rsidRPr="00460AA0">
              <w:t>c2</w:t>
            </w:r>
          </w:p>
        </w:tc>
      </w:tr>
      <w:tr w:rsidR="00460AA0" w:rsidTr="00460AA0">
        <w:tc>
          <w:tcPr>
            <w:tcW w:w="498" w:type="dxa"/>
            <w:vMerge/>
            <w:shd w:val="clear" w:color="auto" w:fill="DEEAF6" w:themeFill="accent1" w:themeFillTint="33"/>
          </w:tcPr>
          <w:p w:rsidR="00460AA0" w:rsidRPr="00460AA0" w:rsidRDefault="00460AA0" w:rsidP="007F75A1">
            <w:pPr>
              <w:tabs>
                <w:tab w:val="left" w:pos="620"/>
              </w:tabs>
              <w:jc w:val="both"/>
            </w:pPr>
          </w:p>
        </w:tc>
        <w:tc>
          <w:tcPr>
            <w:tcW w:w="510" w:type="dxa"/>
          </w:tcPr>
          <w:p w:rsidR="00460AA0" w:rsidRPr="00460AA0" w:rsidRDefault="00460AA0" w:rsidP="007F75A1">
            <w:pPr>
              <w:tabs>
                <w:tab w:val="left" w:pos="620"/>
              </w:tabs>
              <w:jc w:val="both"/>
            </w:pPr>
            <w:r w:rsidRPr="00460AA0">
              <w:t>a2</w:t>
            </w:r>
          </w:p>
        </w:tc>
        <w:tc>
          <w:tcPr>
            <w:tcW w:w="450" w:type="dxa"/>
          </w:tcPr>
          <w:p w:rsidR="00460AA0" w:rsidRPr="00460AA0" w:rsidRDefault="00460AA0" w:rsidP="007F75A1">
            <w:pPr>
              <w:jc w:val="both"/>
            </w:pPr>
            <w:r w:rsidRPr="00460AA0">
              <w:t>b2</w:t>
            </w:r>
          </w:p>
        </w:tc>
        <w:tc>
          <w:tcPr>
            <w:tcW w:w="450" w:type="dxa"/>
          </w:tcPr>
          <w:p w:rsidR="00460AA0" w:rsidRPr="00460AA0" w:rsidRDefault="00460AA0" w:rsidP="007F75A1">
            <w:pPr>
              <w:jc w:val="both"/>
            </w:pPr>
            <w:r w:rsidRPr="00460AA0">
              <w:t>c0</w:t>
            </w:r>
          </w:p>
        </w:tc>
      </w:tr>
      <w:tr w:rsidR="00460AA0" w:rsidTr="00460AA0">
        <w:tc>
          <w:tcPr>
            <w:tcW w:w="498" w:type="dxa"/>
            <w:vMerge/>
            <w:shd w:val="clear" w:color="auto" w:fill="DEEAF6" w:themeFill="accent1" w:themeFillTint="33"/>
          </w:tcPr>
          <w:p w:rsidR="00460AA0" w:rsidRPr="00460AA0" w:rsidRDefault="00460AA0" w:rsidP="007F75A1">
            <w:pPr>
              <w:jc w:val="both"/>
            </w:pPr>
          </w:p>
        </w:tc>
        <w:tc>
          <w:tcPr>
            <w:tcW w:w="510" w:type="dxa"/>
          </w:tcPr>
          <w:p w:rsidR="00460AA0" w:rsidRPr="00460AA0" w:rsidRDefault="00460AA0" w:rsidP="007F75A1">
            <w:pPr>
              <w:jc w:val="both"/>
            </w:pPr>
            <w:r w:rsidRPr="00460AA0">
              <w:t>a2</w:t>
            </w:r>
          </w:p>
        </w:tc>
        <w:tc>
          <w:tcPr>
            <w:tcW w:w="450" w:type="dxa"/>
          </w:tcPr>
          <w:p w:rsidR="00460AA0" w:rsidRPr="00460AA0" w:rsidRDefault="00460AA0" w:rsidP="007F75A1">
            <w:pPr>
              <w:jc w:val="both"/>
            </w:pPr>
            <w:r w:rsidRPr="00460AA0">
              <w:t>b2</w:t>
            </w:r>
          </w:p>
        </w:tc>
        <w:tc>
          <w:tcPr>
            <w:tcW w:w="450" w:type="dxa"/>
          </w:tcPr>
          <w:p w:rsidR="00460AA0" w:rsidRPr="00460AA0" w:rsidRDefault="00460AA0" w:rsidP="007F75A1">
            <w:pPr>
              <w:jc w:val="both"/>
            </w:pPr>
            <w:r w:rsidRPr="00460AA0">
              <w:t>c1</w:t>
            </w:r>
          </w:p>
        </w:tc>
      </w:tr>
      <w:tr w:rsidR="00460AA0" w:rsidTr="00460AA0">
        <w:tc>
          <w:tcPr>
            <w:tcW w:w="498" w:type="dxa"/>
            <w:vMerge/>
            <w:shd w:val="clear" w:color="auto" w:fill="DEEAF6" w:themeFill="accent1" w:themeFillTint="33"/>
          </w:tcPr>
          <w:p w:rsidR="00460AA0" w:rsidRPr="00460AA0" w:rsidRDefault="00460AA0" w:rsidP="007F75A1">
            <w:pPr>
              <w:jc w:val="both"/>
            </w:pPr>
          </w:p>
        </w:tc>
        <w:tc>
          <w:tcPr>
            <w:tcW w:w="510" w:type="dxa"/>
          </w:tcPr>
          <w:p w:rsidR="00460AA0" w:rsidRPr="00460AA0" w:rsidRDefault="00460AA0" w:rsidP="007F75A1">
            <w:pPr>
              <w:jc w:val="both"/>
            </w:pPr>
            <w:r w:rsidRPr="00460AA0">
              <w:t>a2</w:t>
            </w:r>
          </w:p>
        </w:tc>
        <w:tc>
          <w:tcPr>
            <w:tcW w:w="450" w:type="dxa"/>
          </w:tcPr>
          <w:p w:rsidR="00460AA0" w:rsidRPr="00460AA0" w:rsidRDefault="00460AA0" w:rsidP="007F75A1">
            <w:pPr>
              <w:jc w:val="both"/>
            </w:pPr>
            <w:r w:rsidRPr="00460AA0">
              <w:t>b2</w:t>
            </w:r>
          </w:p>
        </w:tc>
        <w:tc>
          <w:tcPr>
            <w:tcW w:w="450" w:type="dxa"/>
          </w:tcPr>
          <w:p w:rsidR="00460AA0" w:rsidRPr="00460AA0" w:rsidRDefault="00460AA0" w:rsidP="007F75A1">
            <w:pPr>
              <w:jc w:val="both"/>
            </w:pPr>
            <w:r w:rsidRPr="00460AA0">
              <w:t>c2</w:t>
            </w:r>
          </w:p>
        </w:tc>
      </w:tr>
    </w:tbl>
    <w:p w:rsidR="004D2943" w:rsidRDefault="004D2943" w:rsidP="007F75A1"/>
    <w:p w:rsidR="00A720C2" w:rsidRDefault="00A720C2" w:rsidP="00A720C2">
      <w:pPr>
        <w:pStyle w:val="IntenseQuote"/>
        <w:outlineLvl w:val="0"/>
      </w:pPr>
      <w:bookmarkStart w:id="5" w:name="_Toc358213241"/>
      <w:r>
        <w:t>Compiling experiments</w:t>
      </w:r>
      <w:bookmarkEnd w:id="5"/>
    </w:p>
    <w:p w:rsidR="00A720C2" w:rsidRPr="004C363F" w:rsidRDefault="00A720C2" w:rsidP="00A720C2">
      <w:pPr>
        <w:jc w:val="both"/>
      </w:pPr>
    </w:p>
    <w:p w:rsidR="001B40AB" w:rsidRDefault="00EE7E79" w:rsidP="004C363F">
      <w:pPr>
        <w:jc w:val="both"/>
      </w:pPr>
      <w:r>
        <w:t xml:space="preserve">Select the experiment file written using the </w:t>
      </w:r>
      <w:proofErr w:type="spellStart"/>
      <w:r w:rsidRPr="00786646">
        <w:rPr>
          <w:rFonts w:ascii="Courier New" w:hAnsi="Courier New" w:cs="Courier New"/>
        </w:rPr>
        <w:t>labscript</w:t>
      </w:r>
      <w:proofErr w:type="spellEnd"/>
      <w:r>
        <w:t xml:space="preserve"> API (“</w:t>
      </w:r>
      <w:proofErr w:type="spellStart"/>
      <w:r w:rsidRPr="00786646">
        <w:rPr>
          <w:rFonts w:ascii="Courier New" w:hAnsi="Courier New" w:cs="Courier New"/>
        </w:rPr>
        <w:t>labscript</w:t>
      </w:r>
      <w:proofErr w:type="spellEnd"/>
      <w:r>
        <w:t xml:space="preserve"> file”) via a file selection dialog box by clicking the icon in the top right hand corner of the screen. </w:t>
      </w:r>
      <w:r w:rsidR="001B40AB">
        <w:t>For easy access, you can click the edit button next to the file chooser to open the script in your preferred text editor (defined in the experiment configuration file).</w:t>
      </w:r>
    </w:p>
    <w:p w:rsidR="001B40AB" w:rsidRDefault="00EE7E79" w:rsidP="004C363F">
      <w:pPr>
        <w:jc w:val="both"/>
      </w:pPr>
      <w:r>
        <w:t xml:space="preserve">The output directory indicates where the compiled HDF5 file for your experiments will be saved. If BLACS, BIAS or </w:t>
      </w:r>
      <w:r w:rsidRPr="00EE7E79">
        <w:rPr>
          <w:rFonts w:ascii="Courier New" w:hAnsi="Courier New" w:cs="Courier New"/>
        </w:rPr>
        <w:t>lyse</w:t>
      </w:r>
      <w:r>
        <w:t xml:space="preserve"> are running on a different computer then ensure that the files are saved to a shared drive. </w:t>
      </w:r>
      <w:r w:rsidR="001B40AB">
        <w:t>By default, the output directory will be located in your experiments folder, defined in your experiment configuration file. A folder will be created named after your experiment script, and subfolders for each day, sorted by month.</w:t>
      </w:r>
      <w:r w:rsidR="00764E22">
        <w:t xml:space="preserve"> If you manually change the output directory, you can return to the automatic location by clicking the restore button to the right of the selector.</w:t>
      </w:r>
    </w:p>
    <w:p w:rsidR="001B40AB" w:rsidRDefault="001B40AB" w:rsidP="004C363F">
      <w:pPr>
        <w:jc w:val="both"/>
      </w:pPr>
      <w:r>
        <w:t xml:space="preserve">Leaving the radio button in the centre of the top pane on “Compile” (the use of the “Send to </w:t>
      </w:r>
      <w:proofErr w:type="spellStart"/>
      <w:r w:rsidRPr="001B40AB">
        <w:rPr>
          <w:rFonts w:ascii="Courier New" w:hAnsi="Courier New" w:cs="Courier New"/>
        </w:rPr>
        <w:t>mise</w:t>
      </w:r>
      <w:proofErr w:type="spellEnd"/>
      <w:r>
        <w:t xml:space="preserve">” option will be discussed in the </w:t>
      </w:r>
      <w:proofErr w:type="spellStart"/>
      <w:r w:rsidRPr="001B40AB">
        <w:rPr>
          <w:rFonts w:ascii="Courier New" w:hAnsi="Courier New" w:cs="Courier New"/>
        </w:rPr>
        <w:t>mise</w:t>
      </w:r>
      <w:proofErr w:type="spellEnd"/>
      <w:r>
        <w:t xml:space="preserve"> documentation)</w:t>
      </w:r>
      <w:r w:rsidR="00DE23AA">
        <w:t>, clicking the “Engage” button will compile your experiment. The “output” tab will provide information about the compile process, including the output of any print statements in your code and display any errors that may occur. Warnings are also displayed when devices are set to default values due to missing values in your script.</w:t>
      </w:r>
    </w:p>
    <w:p w:rsidR="00DE23AA" w:rsidRDefault="00DE23AA" w:rsidP="004C363F">
      <w:pPr>
        <w:jc w:val="both"/>
      </w:pPr>
      <w:r>
        <w:t xml:space="preserve">If the “View run(s)” checkbox is enabled your </w:t>
      </w:r>
      <w:r w:rsidR="001D111C">
        <w:t xml:space="preserve">HDF file will open in </w:t>
      </w:r>
      <w:proofErr w:type="spellStart"/>
      <w:r w:rsidR="001D111C" w:rsidRPr="001D111C">
        <w:rPr>
          <w:rFonts w:ascii="Courier New" w:hAnsi="Courier New" w:cs="Courier New"/>
        </w:rPr>
        <w:t>runviewer</w:t>
      </w:r>
      <w:proofErr w:type="spellEnd"/>
      <w:r>
        <w:t xml:space="preserve"> when it has compiled. If the “Run experiment(s)” checkbox is enabled then the file will be placed in the queue of BLACS, running on the computer identified in the “Control server” field.</w:t>
      </w:r>
    </w:p>
    <w:p w:rsidR="00DE23AA" w:rsidRDefault="00DE23AA" w:rsidP="004C363F">
      <w:pPr>
        <w:jc w:val="both"/>
      </w:pPr>
      <w:r>
        <w:t>When the “Shuffle” button is enabled, shots within a parameter space scan will be shuffled. This can be used to help prevent experimental drift being confused for a variation in a parameter you are scanning.</w:t>
      </w:r>
    </w:p>
    <w:p w:rsidR="00764E22" w:rsidRDefault="00DE23AA" w:rsidP="004C363F">
      <w:pPr>
        <w:jc w:val="both"/>
      </w:pPr>
      <w:r>
        <w:lastRenderedPageBreak/>
        <w:t>The “Abort” button will halt compilation</w:t>
      </w:r>
      <w:r w:rsidR="00764E22">
        <w:t>. Any file that is currently compiling will finish compiling, but will not be submitted to BLACS. This button is especially useful if you accidentally create a parameter space scan that is much larger than you anticipated!</w:t>
      </w:r>
    </w:p>
    <w:p w:rsidR="00EE7E79" w:rsidRPr="004C363F" w:rsidRDefault="00EE7E79" w:rsidP="004C363F">
      <w:pPr>
        <w:jc w:val="both"/>
      </w:pPr>
      <w:r>
        <w:t xml:space="preserve"> </w:t>
      </w:r>
    </w:p>
    <w:sectPr w:rsidR="00EE7E79" w:rsidRPr="004C363F" w:rsidSect="00F45D3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D00" w:rsidRDefault="00306D00" w:rsidP="00F7731A">
      <w:pPr>
        <w:spacing w:after="0" w:line="240" w:lineRule="auto"/>
      </w:pPr>
      <w:r>
        <w:separator/>
      </w:r>
    </w:p>
  </w:endnote>
  <w:endnote w:type="continuationSeparator" w:id="0">
    <w:p w:rsidR="00306D00" w:rsidRDefault="00306D00" w:rsidP="00F7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01388"/>
      <w:docPartObj>
        <w:docPartGallery w:val="Page Numbers (Bottom of Page)"/>
        <w:docPartUnique/>
      </w:docPartObj>
    </w:sdtPr>
    <w:sdtEndPr>
      <w:rPr>
        <w:noProof/>
      </w:rPr>
    </w:sdtEndPr>
    <w:sdtContent>
      <w:p w:rsidR="00306D00" w:rsidRDefault="00306D00">
        <w:pPr>
          <w:pStyle w:val="Footer"/>
          <w:jc w:val="right"/>
        </w:pPr>
        <w:r>
          <w:fldChar w:fldCharType="begin"/>
        </w:r>
        <w:r>
          <w:instrText xml:space="preserve"> PAGE   \* MERGEFORMAT </w:instrText>
        </w:r>
        <w:r>
          <w:fldChar w:fldCharType="separate"/>
        </w:r>
        <w:r w:rsidR="003F40C2">
          <w:rPr>
            <w:noProof/>
          </w:rPr>
          <w:t>5</w:t>
        </w:r>
        <w:r>
          <w:rPr>
            <w:noProof/>
          </w:rPr>
          <w:fldChar w:fldCharType="end"/>
        </w:r>
      </w:p>
    </w:sdtContent>
  </w:sdt>
  <w:p w:rsidR="00306D00" w:rsidRDefault="00306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D00" w:rsidRDefault="00306D00" w:rsidP="00F7731A">
      <w:pPr>
        <w:spacing w:after="0" w:line="240" w:lineRule="auto"/>
      </w:pPr>
      <w:r>
        <w:separator/>
      </w:r>
    </w:p>
  </w:footnote>
  <w:footnote w:type="continuationSeparator" w:id="0">
    <w:p w:rsidR="00306D00" w:rsidRDefault="00306D00" w:rsidP="00F77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C54"/>
    <w:multiLevelType w:val="hybridMultilevel"/>
    <w:tmpl w:val="6188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5AD"/>
    <w:multiLevelType w:val="hybridMultilevel"/>
    <w:tmpl w:val="9EB646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FB08DF"/>
    <w:multiLevelType w:val="hybridMultilevel"/>
    <w:tmpl w:val="F3E2E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4EF2318"/>
    <w:multiLevelType w:val="hybridMultilevel"/>
    <w:tmpl w:val="14AEC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0A44215"/>
    <w:multiLevelType w:val="hybridMultilevel"/>
    <w:tmpl w:val="D388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18"/>
    <w:rsid w:val="00036DAF"/>
    <w:rsid w:val="00052C5D"/>
    <w:rsid w:val="00065AAE"/>
    <w:rsid w:val="000A06E7"/>
    <w:rsid w:val="000A4C18"/>
    <w:rsid w:val="000C685B"/>
    <w:rsid w:val="000C7763"/>
    <w:rsid w:val="000E08F7"/>
    <w:rsid w:val="001751F0"/>
    <w:rsid w:val="001837F1"/>
    <w:rsid w:val="00191BE5"/>
    <w:rsid w:val="00193318"/>
    <w:rsid w:val="001B40AB"/>
    <w:rsid w:val="001D111C"/>
    <w:rsid w:val="001E4731"/>
    <w:rsid w:val="001F24B9"/>
    <w:rsid w:val="00202963"/>
    <w:rsid w:val="00211F90"/>
    <w:rsid w:val="00214579"/>
    <w:rsid w:val="002312A3"/>
    <w:rsid w:val="00263797"/>
    <w:rsid w:val="002758E0"/>
    <w:rsid w:val="002949D5"/>
    <w:rsid w:val="002D5BB0"/>
    <w:rsid w:val="002D79A4"/>
    <w:rsid w:val="002E4F87"/>
    <w:rsid w:val="00306D00"/>
    <w:rsid w:val="0031366B"/>
    <w:rsid w:val="00324791"/>
    <w:rsid w:val="0032496E"/>
    <w:rsid w:val="0034168C"/>
    <w:rsid w:val="00351AD5"/>
    <w:rsid w:val="00357100"/>
    <w:rsid w:val="00362F93"/>
    <w:rsid w:val="00367A2C"/>
    <w:rsid w:val="003D047D"/>
    <w:rsid w:val="003E59BF"/>
    <w:rsid w:val="003E7FEE"/>
    <w:rsid w:val="003F1DD3"/>
    <w:rsid w:val="003F40C2"/>
    <w:rsid w:val="003F746B"/>
    <w:rsid w:val="00405B6A"/>
    <w:rsid w:val="00446F6C"/>
    <w:rsid w:val="00455ABE"/>
    <w:rsid w:val="00460AA0"/>
    <w:rsid w:val="00461BC5"/>
    <w:rsid w:val="0049270A"/>
    <w:rsid w:val="004C363F"/>
    <w:rsid w:val="004D0389"/>
    <w:rsid w:val="004D2943"/>
    <w:rsid w:val="004E4FDC"/>
    <w:rsid w:val="00520614"/>
    <w:rsid w:val="005224A4"/>
    <w:rsid w:val="0052388A"/>
    <w:rsid w:val="00562D09"/>
    <w:rsid w:val="00567726"/>
    <w:rsid w:val="0058105F"/>
    <w:rsid w:val="00583059"/>
    <w:rsid w:val="005917E4"/>
    <w:rsid w:val="005A600D"/>
    <w:rsid w:val="005C2E90"/>
    <w:rsid w:val="005D70F2"/>
    <w:rsid w:val="005D7CFD"/>
    <w:rsid w:val="005F4E58"/>
    <w:rsid w:val="0061515B"/>
    <w:rsid w:val="0063065D"/>
    <w:rsid w:val="00696701"/>
    <w:rsid w:val="006B1DB7"/>
    <w:rsid w:val="006C0E2C"/>
    <w:rsid w:val="006C6585"/>
    <w:rsid w:val="006E4375"/>
    <w:rsid w:val="006F3C37"/>
    <w:rsid w:val="00707DEF"/>
    <w:rsid w:val="00721E5E"/>
    <w:rsid w:val="00726AB4"/>
    <w:rsid w:val="00764E22"/>
    <w:rsid w:val="0077777E"/>
    <w:rsid w:val="00786646"/>
    <w:rsid w:val="007A3F17"/>
    <w:rsid w:val="007D0D29"/>
    <w:rsid w:val="007F75A1"/>
    <w:rsid w:val="0080372A"/>
    <w:rsid w:val="008156A1"/>
    <w:rsid w:val="0082184E"/>
    <w:rsid w:val="00845953"/>
    <w:rsid w:val="008564D3"/>
    <w:rsid w:val="008C1FF4"/>
    <w:rsid w:val="008C2877"/>
    <w:rsid w:val="008C3816"/>
    <w:rsid w:val="008E273A"/>
    <w:rsid w:val="008E47C9"/>
    <w:rsid w:val="009249B9"/>
    <w:rsid w:val="009353B2"/>
    <w:rsid w:val="0093684D"/>
    <w:rsid w:val="009754D3"/>
    <w:rsid w:val="00992229"/>
    <w:rsid w:val="00995019"/>
    <w:rsid w:val="009C2DA0"/>
    <w:rsid w:val="009D4465"/>
    <w:rsid w:val="00A116AD"/>
    <w:rsid w:val="00A37492"/>
    <w:rsid w:val="00A37E84"/>
    <w:rsid w:val="00A44341"/>
    <w:rsid w:val="00A57183"/>
    <w:rsid w:val="00A720C2"/>
    <w:rsid w:val="00A83EAD"/>
    <w:rsid w:val="00A9278F"/>
    <w:rsid w:val="00AA30E0"/>
    <w:rsid w:val="00AD0AA6"/>
    <w:rsid w:val="00AD214F"/>
    <w:rsid w:val="00AD74AD"/>
    <w:rsid w:val="00AE6432"/>
    <w:rsid w:val="00AF5DCC"/>
    <w:rsid w:val="00B31A6E"/>
    <w:rsid w:val="00B66ED3"/>
    <w:rsid w:val="00BD13ED"/>
    <w:rsid w:val="00C34017"/>
    <w:rsid w:val="00C519D7"/>
    <w:rsid w:val="00C6092A"/>
    <w:rsid w:val="00C61FE2"/>
    <w:rsid w:val="00C82124"/>
    <w:rsid w:val="00CC1BAE"/>
    <w:rsid w:val="00CE5594"/>
    <w:rsid w:val="00D077CA"/>
    <w:rsid w:val="00D35A9D"/>
    <w:rsid w:val="00D5301D"/>
    <w:rsid w:val="00D62CB5"/>
    <w:rsid w:val="00D92469"/>
    <w:rsid w:val="00DC2971"/>
    <w:rsid w:val="00DC31C7"/>
    <w:rsid w:val="00DD753B"/>
    <w:rsid w:val="00DE0DCF"/>
    <w:rsid w:val="00DE15B7"/>
    <w:rsid w:val="00DE23AA"/>
    <w:rsid w:val="00DE3CD4"/>
    <w:rsid w:val="00DE77F3"/>
    <w:rsid w:val="00E0460C"/>
    <w:rsid w:val="00E077F4"/>
    <w:rsid w:val="00E579AF"/>
    <w:rsid w:val="00E960EA"/>
    <w:rsid w:val="00EB2D47"/>
    <w:rsid w:val="00ED137A"/>
    <w:rsid w:val="00ED4BFE"/>
    <w:rsid w:val="00EE7E79"/>
    <w:rsid w:val="00F41F6D"/>
    <w:rsid w:val="00F45D34"/>
    <w:rsid w:val="00F7731A"/>
    <w:rsid w:val="00FA1D2D"/>
    <w:rsid w:val="00FA548A"/>
    <w:rsid w:val="00FC3D62"/>
    <w:rsid w:val="00FE3D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paragraph" w:styleId="BalloonText">
    <w:name w:val="Balloon Text"/>
    <w:basedOn w:val="Normal"/>
    <w:link w:val="BalloonTextChar"/>
    <w:uiPriority w:val="99"/>
    <w:semiHidden/>
    <w:unhideWhenUsed/>
    <w:rsid w:val="0063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5D"/>
    <w:rPr>
      <w:rFonts w:ascii="Tahoma" w:hAnsi="Tahoma" w:cs="Tahoma"/>
      <w:sz w:val="16"/>
      <w:szCs w:val="16"/>
    </w:rPr>
  </w:style>
  <w:style w:type="paragraph" w:styleId="Subtitle">
    <w:name w:val="Subtitle"/>
    <w:basedOn w:val="Normal"/>
    <w:next w:val="Normal"/>
    <w:link w:val="SubtitleChar"/>
    <w:uiPriority w:val="11"/>
    <w:qFormat/>
    <w:rsid w:val="00C6092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6092A"/>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D79A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2D79A4"/>
    <w:pPr>
      <w:spacing w:line="276" w:lineRule="auto"/>
      <w:outlineLvl w:val="9"/>
    </w:pPr>
    <w:rPr>
      <w:lang w:val="en-US" w:eastAsia="ja-JP"/>
    </w:rPr>
  </w:style>
  <w:style w:type="paragraph" w:styleId="TOC1">
    <w:name w:val="toc 1"/>
    <w:basedOn w:val="Normal"/>
    <w:next w:val="Normal"/>
    <w:autoRedefine/>
    <w:uiPriority w:val="39"/>
    <w:unhideWhenUsed/>
    <w:qFormat/>
    <w:rsid w:val="002D79A4"/>
    <w:pPr>
      <w:spacing w:after="100"/>
    </w:pPr>
  </w:style>
  <w:style w:type="paragraph" w:styleId="TOC2">
    <w:name w:val="toc 2"/>
    <w:basedOn w:val="Normal"/>
    <w:next w:val="Normal"/>
    <w:autoRedefine/>
    <w:uiPriority w:val="39"/>
    <w:unhideWhenUsed/>
    <w:qFormat/>
    <w:rsid w:val="002D79A4"/>
    <w:pPr>
      <w:spacing w:after="100"/>
      <w:ind w:left="220"/>
    </w:pPr>
  </w:style>
  <w:style w:type="character" w:styleId="Hyperlink">
    <w:name w:val="Hyperlink"/>
    <w:basedOn w:val="DefaultParagraphFont"/>
    <w:uiPriority w:val="99"/>
    <w:unhideWhenUsed/>
    <w:rsid w:val="002D79A4"/>
    <w:rPr>
      <w:color w:val="0563C1" w:themeColor="hyperlink"/>
      <w:u w:val="single"/>
    </w:rPr>
  </w:style>
  <w:style w:type="paragraph" w:styleId="TOC3">
    <w:name w:val="toc 3"/>
    <w:basedOn w:val="Normal"/>
    <w:next w:val="Normal"/>
    <w:autoRedefine/>
    <w:uiPriority w:val="39"/>
    <w:semiHidden/>
    <w:unhideWhenUsed/>
    <w:qFormat/>
    <w:rsid w:val="002D79A4"/>
    <w:pPr>
      <w:spacing w:after="100" w:line="276" w:lineRule="auto"/>
      <w:ind w:left="440"/>
    </w:pPr>
    <w:rPr>
      <w:rFonts w:eastAsiaTheme="minorEastAsia"/>
      <w:lang w:val="en-US" w:eastAsia="ja-JP"/>
    </w:rPr>
  </w:style>
  <w:style w:type="paragraph" w:styleId="Caption">
    <w:name w:val="caption"/>
    <w:basedOn w:val="Normal"/>
    <w:next w:val="Normal"/>
    <w:uiPriority w:val="35"/>
    <w:unhideWhenUsed/>
    <w:qFormat/>
    <w:rsid w:val="00DC2971"/>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F7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1A"/>
  </w:style>
  <w:style w:type="paragraph" w:styleId="Footer">
    <w:name w:val="footer"/>
    <w:basedOn w:val="Normal"/>
    <w:link w:val="FooterChar"/>
    <w:uiPriority w:val="99"/>
    <w:unhideWhenUsed/>
    <w:rsid w:val="00F7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1A"/>
  </w:style>
  <w:style w:type="table" w:styleId="TableGrid">
    <w:name w:val="Table Grid"/>
    <w:basedOn w:val="TableNormal"/>
    <w:uiPriority w:val="39"/>
    <w:rsid w:val="004D2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paragraph" w:styleId="BalloonText">
    <w:name w:val="Balloon Text"/>
    <w:basedOn w:val="Normal"/>
    <w:link w:val="BalloonTextChar"/>
    <w:uiPriority w:val="99"/>
    <w:semiHidden/>
    <w:unhideWhenUsed/>
    <w:rsid w:val="0063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5D"/>
    <w:rPr>
      <w:rFonts w:ascii="Tahoma" w:hAnsi="Tahoma" w:cs="Tahoma"/>
      <w:sz w:val="16"/>
      <w:szCs w:val="16"/>
    </w:rPr>
  </w:style>
  <w:style w:type="paragraph" w:styleId="Subtitle">
    <w:name w:val="Subtitle"/>
    <w:basedOn w:val="Normal"/>
    <w:next w:val="Normal"/>
    <w:link w:val="SubtitleChar"/>
    <w:uiPriority w:val="11"/>
    <w:qFormat/>
    <w:rsid w:val="00C6092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6092A"/>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D79A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2D79A4"/>
    <w:pPr>
      <w:spacing w:line="276" w:lineRule="auto"/>
      <w:outlineLvl w:val="9"/>
    </w:pPr>
    <w:rPr>
      <w:lang w:val="en-US" w:eastAsia="ja-JP"/>
    </w:rPr>
  </w:style>
  <w:style w:type="paragraph" w:styleId="TOC1">
    <w:name w:val="toc 1"/>
    <w:basedOn w:val="Normal"/>
    <w:next w:val="Normal"/>
    <w:autoRedefine/>
    <w:uiPriority w:val="39"/>
    <w:unhideWhenUsed/>
    <w:qFormat/>
    <w:rsid w:val="002D79A4"/>
    <w:pPr>
      <w:spacing w:after="100"/>
    </w:pPr>
  </w:style>
  <w:style w:type="paragraph" w:styleId="TOC2">
    <w:name w:val="toc 2"/>
    <w:basedOn w:val="Normal"/>
    <w:next w:val="Normal"/>
    <w:autoRedefine/>
    <w:uiPriority w:val="39"/>
    <w:unhideWhenUsed/>
    <w:qFormat/>
    <w:rsid w:val="002D79A4"/>
    <w:pPr>
      <w:spacing w:after="100"/>
      <w:ind w:left="220"/>
    </w:pPr>
  </w:style>
  <w:style w:type="character" w:styleId="Hyperlink">
    <w:name w:val="Hyperlink"/>
    <w:basedOn w:val="DefaultParagraphFont"/>
    <w:uiPriority w:val="99"/>
    <w:unhideWhenUsed/>
    <w:rsid w:val="002D79A4"/>
    <w:rPr>
      <w:color w:val="0563C1" w:themeColor="hyperlink"/>
      <w:u w:val="single"/>
    </w:rPr>
  </w:style>
  <w:style w:type="paragraph" w:styleId="TOC3">
    <w:name w:val="toc 3"/>
    <w:basedOn w:val="Normal"/>
    <w:next w:val="Normal"/>
    <w:autoRedefine/>
    <w:uiPriority w:val="39"/>
    <w:semiHidden/>
    <w:unhideWhenUsed/>
    <w:qFormat/>
    <w:rsid w:val="002D79A4"/>
    <w:pPr>
      <w:spacing w:after="100" w:line="276" w:lineRule="auto"/>
      <w:ind w:left="440"/>
    </w:pPr>
    <w:rPr>
      <w:rFonts w:eastAsiaTheme="minorEastAsia"/>
      <w:lang w:val="en-US" w:eastAsia="ja-JP"/>
    </w:rPr>
  </w:style>
  <w:style w:type="paragraph" w:styleId="Caption">
    <w:name w:val="caption"/>
    <w:basedOn w:val="Normal"/>
    <w:next w:val="Normal"/>
    <w:uiPriority w:val="35"/>
    <w:unhideWhenUsed/>
    <w:qFormat/>
    <w:rsid w:val="00DC2971"/>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F7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1A"/>
  </w:style>
  <w:style w:type="paragraph" w:styleId="Footer">
    <w:name w:val="footer"/>
    <w:basedOn w:val="Normal"/>
    <w:link w:val="FooterChar"/>
    <w:uiPriority w:val="99"/>
    <w:unhideWhenUsed/>
    <w:rsid w:val="00F7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1A"/>
  </w:style>
  <w:style w:type="table" w:styleId="TableGrid">
    <w:name w:val="Table Grid"/>
    <w:basedOn w:val="TableNormal"/>
    <w:uiPriority w:val="39"/>
    <w:rsid w:val="004D2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5D6F7-A39B-4F99-8A83-2C243072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Using runmanager</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runmanager</dc:title>
  <dc:creator>Phil Starkey</dc:creator>
  <cp:lastModifiedBy>shaun-win</cp:lastModifiedBy>
  <cp:revision>13</cp:revision>
  <cp:lastPrinted>2013-06-05T07:15:00Z</cp:lastPrinted>
  <dcterms:created xsi:type="dcterms:W3CDTF">2013-05-27T06:37:00Z</dcterms:created>
  <dcterms:modified xsi:type="dcterms:W3CDTF">2013-06-05T07:47:00Z</dcterms:modified>
</cp:coreProperties>
</file>