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F6C4E" w14:textId="77777777" w:rsidR="00031AEA" w:rsidRPr="00031AEA" w:rsidRDefault="00031AEA" w:rsidP="00031AEA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031AEA"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  <w:t>功能简介</w:t>
      </w:r>
    </w:p>
    <w:tbl>
      <w:tblPr>
        <w:tblW w:w="11700" w:type="dxa"/>
        <w:tblInd w:w="-169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558"/>
        <w:gridCol w:w="3343"/>
      </w:tblGrid>
      <w:tr w:rsidR="00031AEA" w:rsidRPr="00031AEA" w14:paraId="7F90993E" w14:textId="77777777" w:rsidTr="00031AE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02AB0F9" w14:textId="77777777" w:rsidR="00031AEA" w:rsidRPr="00031AEA" w:rsidRDefault="00031AEA" w:rsidP="00031AE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031AEA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功能</w:t>
            </w:r>
          </w:p>
        </w:tc>
        <w:tc>
          <w:tcPr>
            <w:tcW w:w="7558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0D4029E" w14:textId="77777777" w:rsidR="00031AEA" w:rsidRPr="00031AEA" w:rsidRDefault="00031AEA" w:rsidP="00031AE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031AEA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介绍</w:t>
            </w:r>
          </w:p>
        </w:tc>
        <w:tc>
          <w:tcPr>
            <w:tcW w:w="3343" w:type="dxa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0755027" w14:textId="77777777" w:rsidR="00031AEA" w:rsidRPr="00031AEA" w:rsidRDefault="00031AEA" w:rsidP="00031AE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031AEA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相关文档</w:t>
            </w:r>
          </w:p>
        </w:tc>
      </w:tr>
      <w:tr w:rsidR="00031AEA" w:rsidRPr="00031AEA" w14:paraId="22CAF528" w14:textId="77777777" w:rsidTr="00031AE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953DEC0" w14:textId="77777777" w:rsidR="00031AEA" w:rsidRPr="00031AEA" w:rsidRDefault="00031AEA" w:rsidP="00031AE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数据迁移</w:t>
            </w:r>
          </w:p>
        </w:tc>
        <w:tc>
          <w:tcPr>
            <w:tcW w:w="75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1955613" w14:textId="77777777" w:rsidR="00031AEA" w:rsidRPr="00031AEA" w:rsidRDefault="00031AEA" w:rsidP="00031AE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帮助您实现同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异构数据源之间的数据迁移，适用于数据上云迁移、阿里云内部跨实例数据迁移、数据库拆分扩容等业务场景。</w:t>
            </w:r>
          </w:p>
          <w:p w14:paraId="6913E713" w14:textId="77777777" w:rsidR="00031AEA" w:rsidRPr="00031AEA" w:rsidRDefault="00031AEA" w:rsidP="00031AEA">
            <w:pPr>
              <w:widowControl/>
              <w:jc w:val="left"/>
              <w:rPr>
                <w:rFonts w:ascii="Arial" w:eastAsia="宋体" w:hAnsi="Arial" w:cs="Arial"/>
                <w:color w:val="73777A"/>
                <w:kern w:val="0"/>
                <w:szCs w:val="21"/>
              </w:rPr>
            </w:pPr>
            <w:r w:rsidRPr="00031AEA">
              <w:rPr>
                <w:rFonts w:ascii="Arial" w:eastAsia="宋体" w:hAnsi="Arial" w:cs="Arial"/>
                <w:b/>
                <w:bCs/>
                <w:color w:val="73777A"/>
                <w:kern w:val="0"/>
                <w:szCs w:val="21"/>
              </w:rPr>
              <w:t>说明</w:t>
            </w:r>
            <w:r w:rsidRPr="00031AEA">
              <w:rPr>
                <w:rFonts w:ascii="Arial" w:eastAsia="宋体" w:hAnsi="Arial" w:cs="Arial"/>
                <w:color w:val="73777A"/>
                <w:kern w:val="0"/>
                <w:szCs w:val="21"/>
              </w:rPr>
              <w:t> </w:t>
            </w:r>
            <w:r w:rsidRPr="00031AEA">
              <w:rPr>
                <w:rFonts w:ascii="Arial" w:eastAsia="宋体" w:hAnsi="Arial" w:cs="Arial"/>
                <w:color w:val="73777A"/>
                <w:kern w:val="0"/>
                <w:szCs w:val="21"/>
              </w:rPr>
              <w:t>数据迁移在某些场景下可实现部分数据同步的功能，但是两者的适用场景、功能和收费上存在一定区别，详情请参见</w:t>
            </w:r>
            <w:r w:rsidRPr="00031AEA">
              <w:rPr>
                <w:rFonts w:ascii="Arial" w:eastAsia="宋体" w:hAnsi="Arial" w:cs="Arial"/>
                <w:color w:val="73777A"/>
                <w:kern w:val="0"/>
                <w:szCs w:val="21"/>
              </w:rPr>
              <w:t> </w:t>
            </w:r>
            <w:hyperlink r:id="rId5" w:anchor="section-8yo-tqz-gwl" w:history="1">
              <w:r w:rsidRPr="00031AEA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数据迁移和数据同步的区别</w:t>
              </w:r>
            </w:hyperlink>
            <w:r w:rsidRPr="00031AEA">
              <w:rPr>
                <w:rFonts w:ascii="Arial" w:eastAsia="宋体" w:hAnsi="Arial" w:cs="Arial"/>
                <w:color w:val="73777A"/>
                <w:kern w:val="0"/>
                <w:szCs w:val="21"/>
              </w:rPr>
              <w:t>。</w:t>
            </w:r>
          </w:p>
        </w:tc>
        <w:tc>
          <w:tcPr>
            <w:tcW w:w="334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B94AB61" w14:textId="77777777" w:rsidR="00031AEA" w:rsidRPr="00031AEA" w:rsidRDefault="00031AEA" w:rsidP="00031AEA">
            <w:pPr>
              <w:widowControl/>
              <w:numPr>
                <w:ilvl w:val="0"/>
                <w:numId w:val="1"/>
              </w:numPr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" w:anchor="concept-1130256" w:tooltip="DTS的数据迁移功能支持同构或异构数据源之间的数据迁移，同时提供了库表列三级映射、数据过滤等多种ETL特性，适用于数据迁移上云、阿里云实例间迁移、数据迁移下云等多种场景。" w:history="1">
              <w:r w:rsidRPr="00031AEA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DTS</w:t>
              </w:r>
              <w:r w:rsidRPr="00031AEA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数据迁移方案概览</w:t>
              </w:r>
            </w:hyperlink>
          </w:p>
          <w:p w14:paraId="517F7C28" w14:textId="77777777" w:rsidR="00031AEA" w:rsidRPr="00031AEA" w:rsidRDefault="00031AEA" w:rsidP="00031AEA">
            <w:pPr>
              <w:widowControl/>
              <w:numPr>
                <w:ilvl w:val="0"/>
                <w:numId w:val="1"/>
              </w:numPr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" w:anchor="concept-26594-zh" w:tooltip="数据迁移功能旨在帮助用户方便、快速地实现各种数据源之间的数据迁移，适用于数据上云迁移、阿里云内部跨实例数据迁移、数据库拆分扩容等业务场景。数据传输服务提供的数据迁移功能能够支持同/异构数据源之间的数据迁移，同时提供了库表列三级映射、数据过滤多种ETL特性。" w:history="1">
              <w:r w:rsidRPr="00031AEA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数据迁移功能特性</w:t>
              </w:r>
            </w:hyperlink>
          </w:p>
        </w:tc>
      </w:tr>
      <w:tr w:rsidR="00031AEA" w:rsidRPr="00031AEA" w14:paraId="43F3AFFF" w14:textId="77777777" w:rsidTr="00031AE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2BC537" w14:textId="77777777" w:rsidR="00031AEA" w:rsidRPr="00031AEA" w:rsidRDefault="00031AEA" w:rsidP="00031AE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数据集成</w:t>
            </w:r>
          </w:p>
        </w:tc>
        <w:tc>
          <w:tcPr>
            <w:tcW w:w="75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D39A5F9" w14:textId="77777777" w:rsidR="00031AEA" w:rsidRPr="00031AEA" w:rsidRDefault="00031AEA" w:rsidP="00031AE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数据集成功能作为数据迁移功能的延伸，可根据调度策略的配置，定期地将源库中的结构和存量数据迁移至目标库中，帮助您构建更加灵活的数据仓库（例如构建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T+1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的周期性数仓）。</w:t>
            </w:r>
          </w:p>
        </w:tc>
        <w:tc>
          <w:tcPr>
            <w:tcW w:w="334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7A116E1" w14:textId="77777777" w:rsidR="00031AEA" w:rsidRPr="00031AEA" w:rsidRDefault="00031AEA" w:rsidP="00031AEA">
            <w:pPr>
              <w:widowControl/>
              <w:numPr>
                <w:ilvl w:val="0"/>
                <w:numId w:val="2"/>
              </w:numPr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" w:anchor="task-2400091" w:tooltip="本文以配置RDS MySQL间的数据集成任务为例，介绍数据集成任务的配置流程和注意事项。" w:history="1">
              <w:r w:rsidRPr="00031AEA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配置</w:t>
              </w:r>
              <w:r w:rsidRPr="00031AEA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RDS MySQL</w:t>
              </w:r>
              <w:r w:rsidRPr="00031AEA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间的数据集成任务</w:t>
              </w:r>
            </w:hyperlink>
          </w:p>
          <w:p w14:paraId="19F76BEA" w14:textId="77777777" w:rsidR="00031AEA" w:rsidRPr="00031AEA" w:rsidRDefault="00031AEA" w:rsidP="00031AEA">
            <w:pPr>
              <w:widowControl/>
              <w:numPr>
                <w:ilvl w:val="0"/>
                <w:numId w:val="2"/>
              </w:numPr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" w:anchor="concept-2374723" w:tooltip="DTS的数据集成功能可根据调度策略的配置，定期地将源库中的结构和存量数据迁移至目标库中。通过该功能可以帮助您构建更加灵活的数据仓库（例如构建T+1的周期性数仓），本文介绍数据集成的策略、限制及适用场景。" w:history="1">
              <w:r w:rsidRPr="00031AEA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数据集成调度策略说明</w:t>
              </w:r>
            </w:hyperlink>
          </w:p>
        </w:tc>
      </w:tr>
      <w:tr w:rsidR="00031AEA" w:rsidRPr="00031AEA" w14:paraId="06F7042E" w14:textId="77777777" w:rsidTr="00031AE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6B3A81E" w14:textId="77777777" w:rsidR="00031AEA" w:rsidRPr="00031AEA" w:rsidRDefault="00031AEA" w:rsidP="00031AE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数据同步</w:t>
            </w:r>
          </w:p>
        </w:tc>
        <w:tc>
          <w:tcPr>
            <w:tcW w:w="75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54588F9" w14:textId="77777777" w:rsidR="00031AEA" w:rsidRPr="00031AEA" w:rsidRDefault="00031AEA" w:rsidP="00031AE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帮助您实现数据源之间的数据实时同步，适用于数据异地多活、数据异地灾备、本地数据灾备、跨境数据同步、查询与报表分流、云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BI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及实时数据仓库等多种业务场景。</w:t>
            </w:r>
          </w:p>
        </w:tc>
        <w:tc>
          <w:tcPr>
            <w:tcW w:w="334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A49EE3" w14:textId="77777777" w:rsidR="00031AEA" w:rsidRPr="00031AEA" w:rsidRDefault="00031AEA" w:rsidP="00031AEA">
            <w:pPr>
              <w:widowControl/>
              <w:numPr>
                <w:ilvl w:val="0"/>
                <w:numId w:val="3"/>
              </w:numPr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" w:anchor="concept-2313406" w:tooltip="DTS的数据同步功能支持同构或异构数据源之间的数据同步，同时提供了库表列三级映射、数据过滤等多种ETL特性，适用于数据异地多活、数据本地/异地灾备、跨境数据同步、查询与报表分流、云BI及实时数据仓库等多种业务场景。本文汇总了各类场景下的数据同步方案。" w:history="1">
              <w:r w:rsidRPr="00031AEA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DTS</w:t>
              </w:r>
              <w:r w:rsidRPr="00031AEA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数据同步方案概览</w:t>
              </w:r>
            </w:hyperlink>
          </w:p>
          <w:p w14:paraId="4170298E" w14:textId="77777777" w:rsidR="00031AEA" w:rsidRPr="00031AEA" w:rsidRDefault="00031AEA" w:rsidP="00031AEA">
            <w:pPr>
              <w:widowControl/>
              <w:numPr>
                <w:ilvl w:val="0"/>
                <w:numId w:val="3"/>
              </w:numPr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1" w:anchor="concept-26595-zh" w:tooltip="数据同步功能旨在帮助用户实现两个数据源之间的数据实时同步。数据同步功能可应用于异地多活、数据异地灾备、本地数据灾备、数据异地多活、跨境数据同步、查询与报表分流、云BI及实时数据仓库等多种业务场景。" w:history="1">
              <w:r w:rsidRPr="00031AEA">
                <w:rPr>
                  <w:rFonts w:ascii="Arial" w:eastAsia="宋体" w:hAnsi="Arial" w:cs="Arial"/>
                  <w:color w:val="FF6A00"/>
                  <w:kern w:val="0"/>
                  <w:szCs w:val="21"/>
                  <w:u w:val="single"/>
                </w:rPr>
                <w:t>数据同步功能特性</w:t>
              </w:r>
            </w:hyperlink>
          </w:p>
        </w:tc>
      </w:tr>
      <w:tr w:rsidR="00031AEA" w:rsidRPr="00031AEA" w14:paraId="28DD2B9E" w14:textId="77777777" w:rsidTr="00031AE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D681926" w14:textId="77777777" w:rsidR="00031AEA" w:rsidRPr="00031AEA" w:rsidRDefault="00031AEA" w:rsidP="00031AE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数据订阅</w:t>
            </w:r>
          </w:p>
        </w:tc>
        <w:tc>
          <w:tcPr>
            <w:tcW w:w="75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D99A8BD" w14:textId="77777777" w:rsidR="00031AEA" w:rsidRPr="00031AEA" w:rsidRDefault="00031AEA" w:rsidP="00031AEA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帮助您获取自建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MySQL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RDS MySQL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proofErr w:type="spellStart"/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PolarDB</w:t>
            </w:r>
            <w:proofErr w:type="spellEnd"/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MySQL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DRDS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Oracle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的实时增量数据，您可以根据业务需求自由消费增量数据，适用于缓存更新策略、业务异步解耦、异构数据源的数据实时同步和复杂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ETL</w:t>
            </w:r>
            <w:r w:rsidRPr="00031AEA">
              <w:rPr>
                <w:rFonts w:ascii="Arial" w:eastAsia="宋体" w:hAnsi="Arial" w:cs="Arial"/>
                <w:color w:val="333333"/>
                <w:kern w:val="0"/>
                <w:szCs w:val="21"/>
              </w:rPr>
              <w:t>的数据实时同步等多种业务场景。</w:t>
            </w:r>
          </w:p>
        </w:tc>
        <w:tc>
          <w:tcPr>
            <w:tcW w:w="3343" w:type="dxa"/>
            <w:shd w:val="clear" w:color="auto" w:fill="FFFFFF"/>
            <w:vAlign w:val="center"/>
            <w:hideMark/>
          </w:tcPr>
          <w:p w14:paraId="7AEB1DA5" w14:textId="77777777" w:rsidR="00031AEA" w:rsidRPr="00031AEA" w:rsidRDefault="00031AEA" w:rsidP="00031A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0F5AF49" w14:textId="2BE9976E" w:rsidR="007F0FDE" w:rsidRDefault="00031AEA">
      <w:r>
        <w:rPr>
          <w:rFonts w:hint="eastAsia"/>
        </w:rPr>
        <w:t>使用限制：请勿在链路创建之初，使用DDL操作。</w:t>
      </w:r>
    </w:p>
    <w:p w14:paraId="35D5A59A" w14:textId="77777777" w:rsidR="00031AEA" w:rsidRDefault="00031AEA" w:rsidP="00031AEA">
      <w:pPr>
        <w:pStyle w:val="p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架构说明</w:t>
      </w:r>
    </w:p>
    <w:p w14:paraId="603EE5C0" w14:textId="77777777" w:rsidR="00031AEA" w:rsidRDefault="00031AEA" w:rsidP="00031AEA">
      <w:pPr>
        <w:pStyle w:val="li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系统高可用</w:t>
      </w:r>
    </w:p>
    <w:p w14:paraId="6800EAA9" w14:textId="77777777" w:rsidR="00031AEA" w:rsidRDefault="00031AEA" w:rsidP="00031AEA">
      <w:pPr>
        <w:pStyle w:val="p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数据传输服务内部每个模块都有主备架构，保证系统高可用。容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灾系统</w:t>
      </w:r>
      <w:proofErr w:type="gramEnd"/>
      <w:r>
        <w:rPr>
          <w:rFonts w:ascii="Arial" w:hAnsi="Arial" w:cs="Arial"/>
          <w:color w:val="333333"/>
          <w:sz w:val="21"/>
          <w:szCs w:val="21"/>
        </w:rPr>
        <w:t>实时检测每个节点的健康状况，一旦发现某个节点异常，会将链路秒级切换到其他节点。</w:t>
      </w:r>
    </w:p>
    <w:p w14:paraId="06375587" w14:textId="77777777" w:rsidR="00031AEA" w:rsidRDefault="00031AEA" w:rsidP="00031AEA">
      <w:pPr>
        <w:pStyle w:val="li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数据源地址动态适配</w:t>
      </w:r>
    </w:p>
    <w:p w14:paraId="13D8C063" w14:textId="77777777" w:rsidR="00031AEA" w:rsidRDefault="00031AEA" w:rsidP="00031AEA">
      <w:pPr>
        <w:pStyle w:val="p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对于数据订阅及同步链路，容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灾系统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还会监测数据源的连接地址切换等变更操作，一旦发现数据源发生连接地址变更，它会动态适配数据源新的连接方式，在数据源变更的情况下，保证链路的稳定性。</w:t>
      </w:r>
    </w:p>
    <w:p w14:paraId="3B63197F" w14:textId="77777777" w:rsidR="00031AEA" w:rsidRPr="00031AEA" w:rsidRDefault="00031AEA">
      <w:pPr>
        <w:rPr>
          <w:rFonts w:hint="eastAsia"/>
        </w:rPr>
      </w:pPr>
    </w:p>
    <w:sectPr w:rsidR="00031AEA" w:rsidRPr="00031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428D7"/>
    <w:multiLevelType w:val="multilevel"/>
    <w:tmpl w:val="F780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02C96"/>
    <w:multiLevelType w:val="multilevel"/>
    <w:tmpl w:val="4094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E2FAB"/>
    <w:multiLevelType w:val="multilevel"/>
    <w:tmpl w:val="E840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64730"/>
    <w:multiLevelType w:val="multilevel"/>
    <w:tmpl w:val="70EC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07"/>
    <w:rsid w:val="00031AEA"/>
    <w:rsid w:val="0019741F"/>
    <w:rsid w:val="00517F07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5E38"/>
  <w15:chartTrackingRefBased/>
  <w15:docId w15:val="{104023CA-2F5E-4DED-B093-5311643D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31A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1AE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31AEA"/>
    <w:rPr>
      <w:b/>
      <w:bCs/>
    </w:rPr>
  </w:style>
  <w:style w:type="character" w:styleId="a4">
    <w:name w:val="Hyperlink"/>
    <w:basedOn w:val="a0"/>
    <w:uiPriority w:val="99"/>
    <w:semiHidden/>
    <w:unhideWhenUsed/>
    <w:rsid w:val="00031AEA"/>
    <w:rPr>
      <w:color w:val="0000FF"/>
      <w:u w:val="single"/>
    </w:rPr>
  </w:style>
  <w:style w:type="paragraph" w:customStyle="1" w:styleId="li">
    <w:name w:val="li"/>
    <w:basedOn w:val="a"/>
    <w:rsid w:val="00031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031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4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51274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2659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25233.html" TargetMode="External"/><Relationship Id="rId11" Type="http://schemas.openxmlformats.org/officeDocument/2006/relationships/hyperlink" Target="https://help.aliyun.com/document_detail/26595.html" TargetMode="External"/><Relationship Id="rId5" Type="http://schemas.openxmlformats.org/officeDocument/2006/relationships/hyperlink" Target="https://help.aliyun.com/document_detail/134627.html" TargetMode="External"/><Relationship Id="rId10" Type="http://schemas.openxmlformats.org/officeDocument/2006/relationships/hyperlink" Target="https://help.aliyun.com/document_detail/14095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4809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2021-01-05T06:37:00Z</dcterms:created>
  <dcterms:modified xsi:type="dcterms:W3CDTF">2021-01-05T06:42:00Z</dcterms:modified>
</cp:coreProperties>
</file>