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2F0E4" w14:textId="77777777" w:rsidR="00300816" w:rsidRPr="00300816" w:rsidRDefault="00300816" w:rsidP="00300816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在阿里巴巴的数据体系中，我们建议将数据仓库分为三层，自下而上为：数据引入层（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Operation Data Store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）、数据公共层（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CDM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Common Data Model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）和数据应用层（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ADS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Application Data Service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）。</w:t>
      </w:r>
    </w:p>
    <w:p w14:paraId="2CF04C32" w14:textId="0C1AEF0C" w:rsidR="00300816" w:rsidRPr="00300816" w:rsidRDefault="00300816" w:rsidP="0030081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数据仓库的分层和各层级用途如下图所示。</w:t>
      </w:r>
    </w:p>
    <w:p w14:paraId="19A7ED43" w14:textId="77777777" w:rsidR="00300816" w:rsidRPr="00300816" w:rsidRDefault="00300816" w:rsidP="00300816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数据引入层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Operation Data Store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）：存放未经过处理的原始数据至数据仓库系统，结构上与源系统保持一致，是数据仓库的数据准备区。主要完成基础数据引入到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的职责，同时记录基础数据的历史变化。</w:t>
      </w:r>
    </w:p>
    <w:p w14:paraId="5A45E7AC" w14:textId="77777777" w:rsidR="00300816" w:rsidRPr="00300816" w:rsidRDefault="00300816" w:rsidP="00300816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数据公共层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CDM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Common Data Model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，又称通用数据模型层），包括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DIM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维度表、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DWD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DWS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，由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层数据加工而成。主要完成数据加工与整合，建立一致性的维度，构建可复用的面向分析和统计的明细事实表，以及汇总公共粒度的指标。</w:t>
      </w:r>
    </w:p>
    <w:p w14:paraId="46D5A480" w14:textId="77777777" w:rsidR="00300816" w:rsidRPr="00300816" w:rsidRDefault="00300816" w:rsidP="00300816">
      <w:pPr>
        <w:widowControl/>
        <w:numPr>
          <w:ilvl w:val="1"/>
          <w:numId w:val="1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公共维度层（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DIM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）：基于维度建模理念思想，建立整个企业的一致性维度。降低数据计算口径和算法不统一风险。</w:t>
      </w:r>
    </w:p>
    <w:p w14:paraId="0D149560" w14:textId="77777777" w:rsidR="00300816" w:rsidRPr="00300816" w:rsidRDefault="00300816" w:rsidP="00300816">
      <w:pPr>
        <w:widowControl/>
        <w:shd w:val="clear" w:color="auto" w:fill="FFFFFF"/>
        <w:spacing w:line="360" w:lineRule="atLeast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公共维度层的表通常也被称为逻辑维度表，维度和维度逻辑表通常一一对应。</w:t>
      </w:r>
    </w:p>
    <w:p w14:paraId="69B3334D" w14:textId="77777777" w:rsidR="00300816" w:rsidRPr="00300816" w:rsidRDefault="00300816" w:rsidP="00300816">
      <w:pPr>
        <w:widowControl/>
        <w:numPr>
          <w:ilvl w:val="1"/>
          <w:numId w:val="1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公共汇总粒度事实层（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DWS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）：以分析的主题对象作为建模驱动，基于上层的应用和产品的指标需求，构建公共粒度的汇总指标事实表，以宽表化手段物理化模型。构建命名规范、口径一致的统计指标，为上层提供公共指标，建立汇总宽表、明细事实表。</w:t>
      </w:r>
    </w:p>
    <w:p w14:paraId="1AC4105A" w14:textId="77777777" w:rsidR="00300816" w:rsidRPr="00300816" w:rsidRDefault="00300816" w:rsidP="00300816">
      <w:pPr>
        <w:widowControl/>
        <w:shd w:val="clear" w:color="auto" w:fill="FFFFFF"/>
        <w:spacing w:line="360" w:lineRule="atLeast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公共汇总粒度事实层的表通常也被称为汇总逻辑表，用于存放派生指标数据。</w:t>
      </w:r>
    </w:p>
    <w:p w14:paraId="6EB41E71" w14:textId="77777777" w:rsidR="00300816" w:rsidRPr="00300816" w:rsidRDefault="00300816" w:rsidP="00300816">
      <w:pPr>
        <w:widowControl/>
        <w:numPr>
          <w:ilvl w:val="1"/>
          <w:numId w:val="1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明细粒度事实层（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DWD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）：以业务过程作为建模驱动，基于每个具体的业务过程特点，构建最细粒度的明细层事实表。可以结合企业的数据使用特点，将明细事实表的某些重要维度属性字段做适当冗余，即宽表化处理。</w:t>
      </w:r>
    </w:p>
    <w:p w14:paraId="0F00B569" w14:textId="77777777" w:rsidR="00300816" w:rsidRPr="00300816" w:rsidRDefault="00300816" w:rsidP="00300816">
      <w:pPr>
        <w:widowControl/>
        <w:shd w:val="clear" w:color="auto" w:fill="FFFFFF"/>
        <w:spacing w:line="360" w:lineRule="atLeast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明细粒度事实层的表通常也被称为逻辑事实表。</w:t>
      </w:r>
    </w:p>
    <w:p w14:paraId="293C4766" w14:textId="77777777" w:rsidR="00300816" w:rsidRPr="00300816" w:rsidRDefault="00300816" w:rsidP="00300816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数据应用层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ADS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Application Data Service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）：存放数据产品个性化的统计指标数据。根据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CDM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与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层加工生成。</w:t>
      </w:r>
    </w:p>
    <w:p w14:paraId="088BEE1F" w14:textId="37F36B9B" w:rsidR="00300816" w:rsidRPr="00300816" w:rsidRDefault="00300816" w:rsidP="0030081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该数据分类架构在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层分为三部分：数据准备区、离线数据和准实时数据区。整体数据分类架构如下图所示。</w:t>
      </w:r>
      <w:r w:rsidRPr="00300816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60BB1F80" wp14:editId="1D509867">
            <wp:extent cx="6645910" cy="4304665"/>
            <wp:effectExtent l="0" t="0" r="2540" b="635"/>
            <wp:docPr id="2" name="图片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pn2-oba-jh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在本教程中，从交易数据系统的数据经过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DataWorks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数据集成，同步到数据仓库的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层。经过数据开发形成事实宽表后，再以商品、地域等为维度进行公共汇总。</w:t>
      </w:r>
    </w:p>
    <w:p w14:paraId="7B3ADB79" w14:textId="3C8362F6" w:rsidR="00300816" w:rsidRPr="00300816" w:rsidRDefault="00300816" w:rsidP="0030081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整体的数据流向如下图所示。其中，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层到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DIM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层的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ETL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（萃取（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Extract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）、转置（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Transform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）及加载（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Load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））处理是在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中进行的，处理完成后会同步到所有存储系统。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层和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DWD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层会放在数据中间件中，供下游订阅使用。而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DWS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层和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ADS</w:t>
      </w:r>
      <w:r w:rsidRPr="00300816">
        <w:rPr>
          <w:rFonts w:ascii="Arial" w:eastAsia="宋体" w:hAnsi="Arial" w:cs="Arial" w:hint="eastAsia"/>
          <w:color w:val="333333"/>
          <w:kern w:val="0"/>
          <w:szCs w:val="21"/>
        </w:rPr>
        <w:t>层的数据通常会落地到在线存储系统中，下游通过接口调用的形式使用。</w:t>
      </w:r>
      <w:r w:rsidRPr="00300816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05B46352" wp14:editId="37FE9413">
            <wp:extent cx="6645910" cy="2207895"/>
            <wp:effectExtent l="0" t="0" r="2540" b="1905"/>
            <wp:docPr id="1" name="图片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jnq-7fh-e1w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390C" w14:textId="77777777" w:rsidR="007F0FDE" w:rsidRDefault="00300816"/>
    <w:sectPr w:rsidR="007F0FDE" w:rsidSect="003008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E5641"/>
    <w:multiLevelType w:val="multilevel"/>
    <w:tmpl w:val="8382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81"/>
    <w:rsid w:val="0019741F"/>
    <w:rsid w:val="00300816"/>
    <w:rsid w:val="003A3F81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5B0D"/>
  <w15:chartTrackingRefBased/>
  <w15:docId w15:val="{A9A16677-ACCA-47B3-9E1F-0A2E770F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desc">
    <w:name w:val="shortdesc"/>
    <w:basedOn w:val="a"/>
    <w:rsid w:val="003008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00816"/>
    <w:rPr>
      <w:color w:val="0000FF"/>
      <w:u w:val="single"/>
    </w:rPr>
  </w:style>
  <w:style w:type="paragraph" w:customStyle="1" w:styleId="li">
    <w:name w:val="li"/>
    <w:basedOn w:val="a"/>
    <w:rsid w:val="003008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3008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page-btn">
    <w:name w:val="last-page-btn"/>
    <w:basedOn w:val="a0"/>
    <w:rsid w:val="00300816"/>
  </w:style>
  <w:style w:type="character" w:customStyle="1" w:styleId="last-page-title">
    <w:name w:val="last-page-title"/>
    <w:basedOn w:val="a0"/>
    <w:rsid w:val="00300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5184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7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128159">
          <w:marLeft w:val="0"/>
          <w:marRight w:val="0"/>
          <w:marTop w:val="0"/>
          <w:marBottom w:val="0"/>
          <w:divBdr>
            <w:top w:val="single" w:sz="6" w:space="15" w:color="D7D8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tatic-aliyun-doc.oss-cn-hangzhou.aliyuncs.com/assets/img/zh-CN/8325932951/p46107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tic-aliyun-doc.oss-cn-hangzhou.aliyuncs.com/assets/img/zh-CN/8325932951/p44636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2020-12-31T13:23:00Z</dcterms:created>
  <dcterms:modified xsi:type="dcterms:W3CDTF">2020-12-31T13:30:00Z</dcterms:modified>
</cp:coreProperties>
</file>