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0443" w14:textId="77777777" w:rsidR="001C0D49" w:rsidRPr="001C0D49" w:rsidRDefault="001C0D49" w:rsidP="001C0D49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1C0D49">
        <w:rPr>
          <w:rFonts w:ascii="Arial" w:eastAsia="宋体" w:hAnsi="Arial" w:cs="Arial"/>
          <w:color w:val="373D41"/>
          <w:kern w:val="36"/>
          <w:sz w:val="48"/>
          <w:szCs w:val="48"/>
        </w:rPr>
        <w:t>ODS</w:t>
      </w:r>
      <w:r w:rsidRPr="001C0D49">
        <w:rPr>
          <w:rFonts w:ascii="Arial" w:eastAsia="宋体" w:hAnsi="Arial" w:cs="Arial"/>
          <w:color w:val="373D41"/>
          <w:kern w:val="36"/>
          <w:sz w:val="48"/>
          <w:szCs w:val="48"/>
        </w:rPr>
        <w:t>层设计规范</w:t>
      </w:r>
    </w:p>
    <w:p w14:paraId="6A7D7A1E" w14:textId="77777777" w:rsidR="001C0D49" w:rsidRPr="001C0D49" w:rsidRDefault="001C0D49" w:rsidP="001C0D4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C0D49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1C0D49">
        <w:rPr>
          <w:rFonts w:ascii="Arial" w:eastAsia="宋体" w:hAnsi="Arial" w:cs="Arial"/>
          <w:color w:val="999999"/>
          <w:kern w:val="0"/>
          <w:sz w:val="18"/>
          <w:szCs w:val="18"/>
        </w:rPr>
        <w:t>2020-07-10 16:06:25</w:t>
      </w:r>
    </w:p>
    <w:p w14:paraId="6AC2D3CC" w14:textId="77777777" w:rsidR="001C0D49" w:rsidRPr="001C0D49" w:rsidRDefault="001C0D49" w:rsidP="001C0D49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1C0D49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4F441F76" w14:textId="77777777" w:rsidR="001C0D49" w:rsidRPr="001C0D49" w:rsidRDefault="001C0D49" w:rsidP="001C0D49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1C0D49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0377D05B" w14:textId="77777777" w:rsidR="001C0D49" w:rsidRPr="001C0D49" w:rsidRDefault="001C0D49" w:rsidP="001C0D49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nj1-gai-nn1" w:history="1">
        <w:r w:rsidRPr="001C0D49">
          <w:rPr>
            <w:rFonts w:ascii="Arial" w:eastAsia="宋体" w:hAnsi="Arial" w:cs="Arial"/>
            <w:color w:val="FF6A00"/>
            <w:kern w:val="0"/>
            <w:szCs w:val="21"/>
          </w:rPr>
          <w:t>数据同步及处理规范</w:t>
        </w:r>
      </w:hyperlink>
    </w:p>
    <w:p w14:paraId="2680E869" w14:textId="77777777" w:rsidR="001C0D49" w:rsidRPr="001C0D49" w:rsidRDefault="001C0D49" w:rsidP="001C0D4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zw5-ppa-oau" w:history="1">
        <w:r w:rsidRPr="001C0D49">
          <w:rPr>
            <w:rFonts w:ascii="Arial" w:eastAsia="宋体" w:hAnsi="Arial" w:cs="Arial"/>
            <w:color w:val="9B9EA0"/>
            <w:kern w:val="0"/>
            <w:szCs w:val="21"/>
          </w:rPr>
          <w:t>命名规范</w:t>
        </w:r>
      </w:hyperlink>
    </w:p>
    <w:p w14:paraId="3A60C435" w14:textId="77777777" w:rsidR="001C0D49" w:rsidRPr="001C0D49" w:rsidRDefault="001C0D49" w:rsidP="001C0D4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dk7-68w-rw1" w:history="1">
        <w:r w:rsidRPr="001C0D49">
          <w:rPr>
            <w:rFonts w:ascii="Arial" w:eastAsia="宋体" w:hAnsi="Arial" w:cs="Arial"/>
            <w:color w:val="9B9EA0"/>
            <w:kern w:val="0"/>
            <w:szCs w:val="21"/>
          </w:rPr>
          <w:t>数据存储及生命周期管理规范</w:t>
        </w:r>
      </w:hyperlink>
    </w:p>
    <w:p w14:paraId="2D540AB5" w14:textId="77777777" w:rsidR="001C0D49" w:rsidRPr="001C0D49" w:rsidRDefault="001C0D49" w:rsidP="001C0D4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uly-r5y-n41" w:history="1">
        <w:r w:rsidRPr="001C0D49">
          <w:rPr>
            <w:rFonts w:ascii="Arial" w:eastAsia="宋体" w:hAnsi="Arial" w:cs="Arial"/>
            <w:color w:val="9B9EA0"/>
            <w:kern w:val="0"/>
            <w:szCs w:val="21"/>
          </w:rPr>
          <w:t>数据质量规范</w:t>
        </w:r>
      </w:hyperlink>
    </w:p>
    <w:p w14:paraId="0C2B9959" w14:textId="77777777" w:rsidR="001C0D49" w:rsidRPr="001C0D49" w:rsidRDefault="001C0D49" w:rsidP="001C0D4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本文为您介绍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层设计规范。</w:t>
      </w:r>
    </w:p>
    <w:p w14:paraId="7FA6ABC4" w14:textId="77777777" w:rsidR="001C0D49" w:rsidRPr="001C0D49" w:rsidRDefault="001C0D49" w:rsidP="001C0D4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1C0D4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数据同步及处理规范</w:t>
      </w:r>
    </w:p>
    <w:p w14:paraId="38188680" w14:textId="77777777" w:rsidR="001C0D49" w:rsidRPr="001C0D49" w:rsidRDefault="001C0D49" w:rsidP="001C0D49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数据同步方式的选择</w:t>
      </w:r>
    </w:p>
    <w:p w14:paraId="1FEC9F90" w14:textId="77777777" w:rsidR="001C0D49" w:rsidRPr="001C0D49" w:rsidRDefault="001C0D49" w:rsidP="001C0D49">
      <w:pPr>
        <w:widowControl/>
        <w:shd w:val="clear" w:color="auto" w:fill="FFFFFF"/>
        <w:spacing w:before="90" w:after="9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数据同步规范如下。基本规范通过需求形式落地到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的数据集成，规范落地情况依赖工具的推进节奏：</w:t>
      </w:r>
    </w:p>
    <w:p w14:paraId="53B22097" w14:textId="77777777" w:rsidR="001C0D49" w:rsidRPr="001C0D49" w:rsidRDefault="001C0D49" w:rsidP="001C0D49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一个系统的源表只允许同步一次到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399336B" w14:textId="77777777" w:rsidR="001C0D49" w:rsidRPr="001C0D49" w:rsidRDefault="001C0D49" w:rsidP="001C0D49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数据</w:t>
      </w:r>
      <w:proofErr w:type="gram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集成只同步离线全</w:t>
      </w:r>
      <w:proofErr w:type="gram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量数据。增量数据同步可以通过数据传输服务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实现。</w:t>
      </w:r>
    </w:p>
    <w:p w14:paraId="575685A8" w14:textId="77777777" w:rsidR="001C0D49" w:rsidRPr="001C0D49" w:rsidRDefault="001C0D49" w:rsidP="001C0D49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数据加载与处理</w:t>
      </w:r>
    </w:p>
    <w:p w14:paraId="2D526C8D" w14:textId="77777777" w:rsidR="001C0D49" w:rsidRPr="001C0D49" w:rsidRDefault="001C0D49" w:rsidP="001C0D49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数据集成同步全量数据时会直接进入全量表的当日分区。</w:t>
      </w:r>
    </w:p>
    <w:p w14:paraId="4E1B33FD" w14:textId="77777777" w:rsidR="001C0D49" w:rsidRPr="001C0D49" w:rsidRDefault="001C0D49" w:rsidP="001C0D49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同步数据处理方式如下：</w:t>
      </w:r>
    </w:p>
    <w:p w14:paraId="04A657CA" w14:textId="77777777" w:rsidR="001C0D49" w:rsidRPr="001C0D49" w:rsidRDefault="001C0D49" w:rsidP="001C0D49">
      <w:pPr>
        <w:widowControl/>
        <w:numPr>
          <w:ilvl w:val="2"/>
          <w:numId w:val="2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全量初始化：对于每个同步表，全量初始化的数据都会独立存储在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的全量基线表中，表名的默认格式为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源表名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_base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C82A2EA" w14:textId="77777777" w:rsidR="001C0D49" w:rsidRPr="001C0D49" w:rsidRDefault="001C0D49" w:rsidP="001C0D49">
      <w:pPr>
        <w:widowControl/>
        <w:numPr>
          <w:ilvl w:val="2"/>
          <w:numId w:val="2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增量数据同步：增量数据会实时同步到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，并存储在增量日志表中，表名的默认格式为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源表名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_log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。每个同步表对应一个增量日志表。在同步增量数据时，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会将多条记录合并到一个文件并写入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AB0F69A" w14:textId="77777777" w:rsidR="001C0D49" w:rsidRPr="001C0D49" w:rsidRDefault="001C0D49" w:rsidP="001C0D49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全量数据合并。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DTS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根据全量基线表和增量日志表得到某个时刻表的全量数据，并通过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 xml:space="preserve"> SQL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合并全量数据。您可以通过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配置一个全量数据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Merge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节点，当全量数据完成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Merge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后，可自动调度后续的计算分析节点。您也可以配置调度周期，进行周期性数据的离线分析。</w:t>
      </w:r>
    </w:p>
    <w:p w14:paraId="31F134B5" w14:textId="77777777" w:rsidR="001C0D49" w:rsidRPr="001C0D49" w:rsidRDefault="001C0D49" w:rsidP="001C0D49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所有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层的表都以统计日期及时间分区</w:t>
      </w:r>
      <w:proofErr w:type="gram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表方式</w:t>
      </w:r>
      <w:proofErr w:type="gram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存储，数据成本由存储管理和策略控制。</w:t>
      </w:r>
    </w:p>
    <w:p w14:paraId="0D7FD787" w14:textId="77777777" w:rsidR="001C0D49" w:rsidRPr="001C0D49" w:rsidRDefault="001C0D49" w:rsidP="001C0D49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如果源</w:t>
      </w:r>
      <w:proofErr w:type="gram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系统新增了字段，您需要重新配置数据集成同步作业。如果目标表的字段在源系统中不存在，数据集成自动填充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NULL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C7C0C5D" w14:textId="77777777" w:rsidR="001C0D49" w:rsidRPr="001C0D49" w:rsidRDefault="001C0D49" w:rsidP="001C0D4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1C0D4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命名规范</w:t>
      </w:r>
    </w:p>
    <w:p w14:paraId="3DF34013" w14:textId="77777777" w:rsidR="001C0D49" w:rsidRPr="001C0D49" w:rsidRDefault="001C0D49" w:rsidP="001C0D4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表命名规范</w:t>
      </w:r>
    </w:p>
    <w:p w14:paraId="37EDEF25" w14:textId="77777777" w:rsidR="001C0D49" w:rsidRPr="001C0D49" w:rsidRDefault="001C0D49" w:rsidP="001C0D49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表命名规则：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层次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源系统表名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}{</w:t>
      </w:r>
      <w:proofErr w:type="gram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保留位</w:t>
      </w:r>
      <w:proofErr w:type="gram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/delta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与否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DFC3AE7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增量数据：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project_name</w:t>
      </w:r>
      <w:proofErr w:type="spell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}.s{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源系统表名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}delta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06C8F4E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全量数据：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project_name</w:t>
      </w:r>
      <w:proofErr w:type="spell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}.s{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源系统表名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FC25F94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ODS ETL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过程的临时表：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project_name</w:t>
      </w:r>
      <w:proofErr w:type="spell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}.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tmp</w:t>
      </w:r>
      <w:proofErr w:type="spell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临时</w:t>
      </w:r>
      <w:proofErr w:type="gram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表所在</w:t>
      </w:r>
      <w:proofErr w:type="gram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过程的输出表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从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0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开始的序号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ED98C1A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按小时同步的增量表：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project_name</w:t>
      </w:r>
      <w:proofErr w:type="spell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}.s{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源系统表名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}{delta}_{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hh</w:t>
      </w:r>
      <w:proofErr w:type="spell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AE0AB66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按小时同步的全量表：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project_name</w:t>
      </w:r>
      <w:proofErr w:type="spell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}.s{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源系统表名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}{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hh</w:t>
      </w:r>
      <w:proofErr w:type="spellEnd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81C1562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proofErr w:type="gram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不</w:t>
      </w:r>
      <w:proofErr w:type="gram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同源系统同步到同一个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Project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下的表命名冲突时，您需要给同步较晚的表名加上源系统的</w:t>
      </w:r>
      <w:proofErr w:type="spellStart"/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dbname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以解决冲突。</w:t>
      </w:r>
    </w:p>
    <w:p w14:paraId="186D4CB0" w14:textId="77777777" w:rsidR="001C0D49" w:rsidRPr="001C0D49" w:rsidRDefault="001C0D49" w:rsidP="001C0D4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字段命名规范</w:t>
      </w:r>
    </w:p>
    <w:p w14:paraId="3423A79F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字段默认使用源系统的字段名。</w:t>
      </w:r>
    </w:p>
    <w:p w14:paraId="56E254A1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字段名与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关键字冲突时，在源字段名后加上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col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，即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源字段名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col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关键字详情请参见</w:t>
      </w:r>
      <w:r w:rsidRPr="001C0D4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C0D4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"https://help.aliyun.com/document_detail/27872.html" \l "concept-zxk-v5f-vdb" \o "</w:instrTex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instrText>本文为您介绍</w:instrTex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instrText>MaxCompute SQL</w:instrTex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instrText>中的所有保留字与关键字。</w:instrTex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1C0D4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1C0D4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C0D49">
        <w:rPr>
          <w:rFonts w:ascii="Arial" w:eastAsia="宋体" w:hAnsi="Arial" w:cs="Arial" w:hint="eastAsia"/>
          <w:color w:val="FF6A00"/>
          <w:kern w:val="0"/>
          <w:szCs w:val="21"/>
        </w:rPr>
        <w:t>保留字与关键字</w:t>
      </w:r>
      <w:r w:rsidRPr="001C0D4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3D58479" w14:textId="77777777" w:rsidR="001C0D49" w:rsidRPr="001C0D49" w:rsidRDefault="001C0D49" w:rsidP="001C0D4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同步任务命名规范</w:t>
      </w:r>
    </w:p>
    <w:p w14:paraId="7147E394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任务名：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{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源系统表名</w:t>
      </w:r>
      <w:r w:rsidRPr="001C0D49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}[delta]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DF2ABDC" w14:textId="77777777" w:rsidR="001C0D49" w:rsidRPr="001C0D49" w:rsidRDefault="001C0D49" w:rsidP="001C0D49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1C0D49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1C0D49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1C0D49">
        <w:rPr>
          <w:rFonts w:ascii="Arial" w:eastAsia="宋体" w:hAnsi="Arial" w:cs="Arial" w:hint="eastAsia"/>
          <w:color w:val="73777A"/>
          <w:kern w:val="0"/>
          <w:szCs w:val="21"/>
        </w:rPr>
        <w:t>同一</w:t>
      </w:r>
      <w:r w:rsidRPr="001C0D49">
        <w:rPr>
          <w:rFonts w:ascii="Arial" w:eastAsia="宋体" w:hAnsi="Arial" w:cs="Arial" w:hint="eastAsia"/>
          <w:color w:val="73777A"/>
          <w:kern w:val="0"/>
          <w:szCs w:val="21"/>
        </w:rPr>
        <w:t>Project</w:t>
      </w:r>
      <w:proofErr w:type="gramStart"/>
      <w:r w:rsidRPr="001C0D49">
        <w:rPr>
          <w:rFonts w:ascii="Arial" w:eastAsia="宋体" w:hAnsi="Arial" w:cs="Arial" w:hint="eastAsia"/>
          <w:color w:val="73777A"/>
          <w:kern w:val="0"/>
          <w:szCs w:val="21"/>
        </w:rPr>
        <w:t>下异库</w:t>
      </w:r>
      <w:proofErr w:type="gramEnd"/>
      <w:r w:rsidRPr="001C0D49">
        <w:rPr>
          <w:rFonts w:ascii="Arial" w:eastAsia="宋体" w:hAnsi="Arial" w:cs="Arial" w:hint="eastAsia"/>
          <w:color w:val="73777A"/>
          <w:kern w:val="0"/>
          <w:szCs w:val="21"/>
        </w:rPr>
        <w:t>同名表的任务名为</w:t>
      </w:r>
      <w:r w:rsidRPr="001C0D49">
        <w:rPr>
          <w:rFonts w:ascii="Courier New" w:eastAsia="宋体" w:hAnsi="Courier New" w:cs="Arial"/>
          <w:b/>
          <w:bCs/>
          <w:color w:val="73777A"/>
          <w:kern w:val="0"/>
          <w:szCs w:val="21"/>
        </w:rPr>
        <w:t>{</w:t>
      </w:r>
      <w:r w:rsidRPr="001C0D49">
        <w:rPr>
          <w:rFonts w:ascii="Courier New" w:eastAsia="宋体" w:hAnsi="Courier New" w:cs="Arial"/>
          <w:b/>
          <w:bCs/>
          <w:color w:val="73777A"/>
          <w:kern w:val="0"/>
          <w:szCs w:val="21"/>
        </w:rPr>
        <w:t>源系统表名</w:t>
      </w:r>
      <w:r w:rsidRPr="001C0D49">
        <w:rPr>
          <w:rFonts w:ascii="Courier New" w:eastAsia="宋体" w:hAnsi="Courier New" w:cs="Arial"/>
          <w:b/>
          <w:bCs/>
          <w:color w:val="73777A"/>
          <w:kern w:val="0"/>
          <w:szCs w:val="21"/>
        </w:rPr>
        <w:t>}{</w:t>
      </w:r>
      <w:proofErr w:type="spellStart"/>
      <w:r w:rsidRPr="001C0D49">
        <w:rPr>
          <w:rFonts w:ascii="Courier New" w:eastAsia="宋体" w:hAnsi="Courier New" w:cs="Arial"/>
          <w:b/>
          <w:bCs/>
          <w:color w:val="73777A"/>
          <w:kern w:val="0"/>
          <w:szCs w:val="21"/>
        </w:rPr>
        <w:t>tddl</w:t>
      </w:r>
      <w:proofErr w:type="spellEnd"/>
      <w:r w:rsidRPr="001C0D49">
        <w:rPr>
          <w:rFonts w:ascii="Courier New" w:eastAsia="宋体" w:hAnsi="Courier New" w:cs="Arial"/>
          <w:b/>
          <w:bCs/>
          <w:color w:val="73777A"/>
          <w:kern w:val="0"/>
          <w:szCs w:val="21"/>
        </w:rPr>
        <w:t>的</w:t>
      </w:r>
      <w:proofErr w:type="spellStart"/>
      <w:r w:rsidRPr="001C0D49">
        <w:rPr>
          <w:rFonts w:ascii="Courier New" w:eastAsia="宋体" w:hAnsi="Courier New" w:cs="Arial"/>
          <w:b/>
          <w:bCs/>
          <w:color w:val="73777A"/>
          <w:kern w:val="0"/>
          <w:szCs w:val="21"/>
        </w:rPr>
        <w:t>appname</w:t>
      </w:r>
      <w:proofErr w:type="spellEnd"/>
      <w:r w:rsidRPr="001C0D49">
        <w:rPr>
          <w:rFonts w:ascii="Courier New" w:eastAsia="宋体" w:hAnsi="Courier New" w:cs="Arial"/>
          <w:b/>
          <w:bCs/>
          <w:color w:val="73777A"/>
          <w:kern w:val="0"/>
          <w:szCs w:val="21"/>
        </w:rPr>
        <w:t>}[_delta]</w:t>
      </w:r>
      <w:r w:rsidRPr="001C0D49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11B803F2" w14:textId="77777777" w:rsidR="001C0D49" w:rsidRPr="001C0D49" w:rsidRDefault="001C0D49" w:rsidP="001C0D49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任务的输出名称，即输出表的名称，需要与数据存储及生命周期管理规范保持一致。详情请参见</w:t>
      </w:r>
      <w:hyperlink r:id="rId10" w:anchor="section-jvp-q65-xrn" w:history="1">
        <w:r w:rsidRPr="001C0D49">
          <w:rPr>
            <w:rFonts w:ascii="Arial" w:eastAsia="宋体" w:hAnsi="Arial" w:cs="Arial" w:hint="eastAsia"/>
            <w:color w:val="FF6A00"/>
            <w:kern w:val="0"/>
            <w:szCs w:val="21"/>
          </w:rPr>
          <w:t>数据存储及生命周期管理规范</w:t>
        </w:r>
      </w:hyperlink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B7C197A" w14:textId="77777777" w:rsidR="001C0D49" w:rsidRPr="001C0D49" w:rsidRDefault="001C0D49" w:rsidP="001C0D49">
      <w:pPr>
        <w:widowControl/>
        <w:shd w:val="clear" w:color="auto" w:fill="FFFFFF"/>
        <w:spacing w:before="5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1C0D4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数据存储及生命周期管理规范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164"/>
        <w:gridCol w:w="8409"/>
      </w:tblGrid>
      <w:tr w:rsidR="001C0D49" w:rsidRPr="001C0D49" w14:paraId="6DE2CCF3" w14:textId="77777777" w:rsidTr="001C0D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2EA50DC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数据表类型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2CE535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存储方式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62018F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最长存储保留策略</w:t>
            </w:r>
          </w:p>
        </w:tc>
      </w:tr>
      <w:tr w:rsidR="001C0D49" w:rsidRPr="001C0D49" w14:paraId="79AF19E4" w14:textId="77777777" w:rsidTr="001C0D4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DD65D0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ODS流水型全量表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97A6D1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按天分区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E779FE" w14:textId="77777777" w:rsidR="001C0D49" w:rsidRPr="001C0D49" w:rsidRDefault="001C0D49" w:rsidP="001C0D49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不可再生情况下，永久保存。</w:t>
            </w:r>
          </w:p>
          <w:p w14:paraId="473FC57D" w14:textId="77777777" w:rsidR="001C0D49" w:rsidRPr="001C0D49" w:rsidRDefault="001C0D49" w:rsidP="001C0D49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日志（数据量非常大，例如一天数据量大于100 GB）数据保留24个月。</w:t>
            </w:r>
          </w:p>
          <w:p w14:paraId="7488196F" w14:textId="77777777" w:rsidR="001C0D49" w:rsidRPr="001C0D49" w:rsidRDefault="001C0D49" w:rsidP="001C0D49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自主设置是否保留历史月初数据。</w:t>
            </w:r>
          </w:p>
          <w:p w14:paraId="2444AD0A" w14:textId="77777777" w:rsidR="001C0D49" w:rsidRPr="001C0D49" w:rsidRDefault="001C0D49" w:rsidP="001C0D49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自主设置是否保留特殊日期数据。</w:t>
            </w:r>
          </w:p>
        </w:tc>
      </w:tr>
      <w:tr w:rsidR="001C0D49" w:rsidRPr="001C0D49" w14:paraId="787531DB" w14:textId="77777777" w:rsidTr="001C0D4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81480C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ODS镜像型全量表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B5D6E3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按天分区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201BD33" w14:textId="77777777" w:rsidR="001C0D49" w:rsidRPr="001C0D49" w:rsidRDefault="001C0D49" w:rsidP="001C0D49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重要的业务表及需要保留历史</w:t>
            </w:r>
            <w:proofErr w:type="gramStart"/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的表视情况</w:t>
            </w:r>
            <w:proofErr w:type="gramEnd"/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保存。</w:t>
            </w:r>
          </w:p>
          <w:p w14:paraId="37C41562" w14:textId="77777777" w:rsidR="001C0D49" w:rsidRPr="001C0D49" w:rsidRDefault="001C0D49" w:rsidP="001C0D49">
            <w:pPr>
              <w:widowControl/>
              <w:numPr>
                <w:ilvl w:val="0"/>
                <w:numId w:val="5"/>
              </w:num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ODS全量表的默认生命周期为2天，支持通过</w:t>
            </w:r>
            <w:r w:rsidRPr="001C0D49">
              <w:rPr>
                <w:rFonts w:ascii="Courier New" w:eastAsia="宋体" w:hAnsi="Courier New" w:cs="宋体"/>
                <w:kern w:val="0"/>
                <w:szCs w:val="21"/>
              </w:rPr>
              <w:t>ds=</w:t>
            </w:r>
            <w:proofErr w:type="spellStart"/>
            <w:r w:rsidRPr="001C0D49">
              <w:rPr>
                <w:rFonts w:ascii="Courier New" w:eastAsia="宋体" w:hAnsi="Courier New" w:cs="宋体"/>
                <w:kern w:val="0"/>
                <w:szCs w:val="21"/>
              </w:rPr>
              <w:t>max_pt</w:t>
            </w:r>
            <w:proofErr w:type="spellEnd"/>
            <w:r w:rsidRPr="001C0D49">
              <w:rPr>
                <w:rFonts w:ascii="Courier New" w:eastAsia="宋体" w:hAnsi="Courier New" w:cs="宋体"/>
                <w:kern w:val="0"/>
                <w:szCs w:val="21"/>
              </w:rPr>
              <w:t>(</w:t>
            </w:r>
            <w:proofErr w:type="spellStart"/>
            <w:r w:rsidRPr="001C0D49">
              <w:rPr>
                <w:rFonts w:ascii="Courier New" w:eastAsia="宋体" w:hAnsi="Courier New" w:cs="宋体"/>
                <w:kern w:val="0"/>
                <w:szCs w:val="21"/>
              </w:rPr>
              <w:t>tablename</w:t>
            </w:r>
            <w:proofErr w:type="spellEnd"/>
            <w:r w:rsidRPr="001C0D49">
              <w:rPr>
                <w:rFonts w:ascii="Courier New" w:eastAsia="宋体" w:hAnsi="Courier New" w:cs="宋体"/>
                <w:kern w:val="0"/>
                <w:szCs w:val="21"/>
              </w:rPr>
              <w:t>)</w:t>
            </w: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方式访问数据。</w:t>
            </w:r>
          </w:p>
        </w:tc>
      </w:tr>
      <w:tr w:rsidR="001C0D49" w:rsidRPr="001C0D49" w14:paraId="79A56B8E" w14:textId="77777777" w:rsidTr="001C0D4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0695EB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ODS增量表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EB23FD8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按天分区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483BC0" w14:textId="77777777" w:rsidR="001C0D49" w:rsidRPr="001C0D49" w:rsidRDefault="001C0D49" w:rsidP="001C0D49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有对应全量表，最多保留最近14天分区数据。</w:t>
            </w:r>
          </w:p>
          <w:p w14:paraId="39291F60" w14:textId="77777777" w:rsidR="001C0D49" w:rsidRPr="001C0D49" w:rsidRDefault="001C0D49" w:rsidP="001C0D49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无对应全量表，需要永久保留数据。</w:t>
            </w:r>
          </w:p>
        </w:tc>
      </w:tr>
      <w:tr w:rsidR="001C0D49" w:rsidRPr="001C0D49" w14:paraId="78784FBA" w14:textId="77777777" w:rsidTr="001C0D4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1C23F1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ODS ETL过程临时表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49BAA0C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按天分区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2D74B80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最多保留最近7天分区。</w:t>
            </w:r>
          </w:p>
        </w:tc>
      </w:tr>
      <w:tr w:rsidR="001C0D49" w:rsidRPr="001C0D49" w14:paraId="60859AD5" w14:textId="77777777" w:rsidTr="001C0D4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A9797CB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DBSync</w:t>
            </w:r>
            <w:proofErr w:type="spellEnd"/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非去</w:t>
            </w:r>
            <w:proofErr w:type="gramStart"/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重数据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A71F16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按天分区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606EBF" w14:textId="77777777" w:rsidR="001C0D49" w:rsidRPr="001C0D49" w:rsidRDefault="001C0D49" w:rsidP="001C0D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由应用</w:t>
            </w:r>
            <w:proofErr w:type="gramEnd"/>
            <w:r w:rsidRPr="001C0D49">
              <w:rPr>
                <w:rFonts w:ascii="宋体" w:eastAsia="宋体" w:hAnsi="宋体" w:cs="宋体"/>
                <w:kern w:val="0"/>
                <w:sz w:val="24"/>
                <w:szCs w:val="24"/>
              </w:rPr>
              <w:t>通过中间层保留历史数据，默认ODS层不保留历史数据。</w:t>
            </w:r>
          </w:p>
        </w:tc>
      </w:tr>
    </w:tbl>
    <w:p w14:paraId="0091CA8E" w14:textId="77777777" w:rsidR="001C0D49" w:rsidRPr="001C0D49" w:rsidRDefault="001C0D49" w:rsidP="001C0D4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1C0D4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数据质量规范</w:t>
      </w:r>
    </w:p>
    <w:p w14:paraId="74144FA6" w14:textId="77777777" w:rsidR="001C0D49" w:rsidRPr="001C0D49" w:rsidRDefault="001C0D49" w:rsidP="001C0D49">
      <w:pPr>
        <w:widowControl/>
        <w:numPr>
          <w:ilvl w:val="0"/>
          <w:numId w:val="7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每个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全量表必须配置唯一性字段标识。</w:t>
      </w:r>
    </w:p>
    <w:p w14:paraId="4A4077A2" w14:textId="77777777" w:rsidR="001C0D49" w:rsidRPr="001C0D49" w:rsidRDefault="001C0D49" w:rsidP="001C0D49">
      <w:pPr>
        <w:widowControl/>
        <w:numPr>
          <w:ilvl w:val="0"/>
          <w:numId w:val="7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每个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全量表必须有注释。</w:t>
      </w:r>
    </w:p>
    <w:p w14:paraId="263A6FA0" w14:textId="77777777" w:rsidR="001C0D49" w:rsidRPr="001C0D49" w:rsidRDefault="001C0D49" w:rsidP="001C0D49">
      <w:pPr>
        <w:widowControl/>
        <w:numPr>
          <w:ilvl w:val="0"/>
          <w:numId w:val="7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每个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全量表必须监控分区空数据。</w:t>
      </w:r>
    </w:p>
    <w:p w14:paraId="2AD90493" w14:textId="77777777" w:rsidR="001C0D49" w:rsidRPr="001C0D49" w:rsidRDefault="001C0D49" w:rsidP="001C0D49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仅有监控要求的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表才需要创建数据质量监控规则。您可以通过</w:t>
      </w:r>
      <w:proofErr w:type="spell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proofErr w:type="spell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配置数据质量监控规则，详情请参见</w:t>
      </w:r>
      <w:hyperlink r:id="rId11" w:anchor="task-2357812" w:tooltip="本文为您介绍如何配置表ods_log_info_d的数据质量监控规则。" w:history="1">
        <w:r w:rsidRPr="001C0D49">
          <w:rPr>
            <w:rFonts w:ascii="Arial" w:eastAsia="宋体" w:hAnsi="Arial" w:cs="Arial" w:hint="eastAsia"/>
            <w:color w:val="FF6A00"/>
            <w:kern w:val="0"/>
            <w:szCs w:val="21"/>
          </w:rPr>
          <w:t>配置数据质量监控</w:t>
        </w:r>
      </w:hyperlink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2913EC3" w14:textId="77777777" w:rsidR="001C0D49" w:rsidRPr="001C0D49" w:rsidRDefault="001C0D49" w:rsidP="001C0D49">
      <w:pPr>
        <w:widowControl/>
        <w:numPr>
          <w:ilvl w:val="0"/>
          <w:numId w:val="7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建议对重要表的重要枚举类型字段进行</w:t>
      </w:r>
      <w:proofErr w:type="gram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枚举值</w:t>
      </w:r>
      <w:proofErr w:type="gram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变化及枚举值分布监控。</w:t>
      </w:r>
    </w:p>
    <w:p w14:paraId="7921A3FD" w14:textId="77777777" w:rsidR="001C0D49" w:rsidRPr="001C0D49" w:rsidRDefault="001C0D49" w:rsidP="001C0D49">
      <w:pPr>
        <w:widowControl/>
        <w:numPr>
          <w:ilvl w:val="0"/>
          <w:numId w:val="7"/>
        </w:numPr>
        <w:shd w:val="clear" w:color="auto" w:fill="FFFFFF"/>
        <w:spacing w:before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建议对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表的数据量及数据记录</w:t>
      </w:r>
      <w:proofErr w:type="gramStart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数设置周</w:t>
      </w:r>
      <w:proofErr w:type="gramEnd"/>
      <w:r w:rsidRPr="001C0D49">
        <w:rPr>
          <w:rFonts w:ascii="Arial" w:eastAsia="宋体" w:hAnsi="Arial" w:cs="Arial" w:hint="eastAsia"/>
          <w:color w:val="333333"/>
          <w:kern w:val="0"/>
          <w:szCs w:val="21"/>
        </w:rPr>
        <w:t>同环比监控，如果周同环比无变化，表示源系统已迁移或下线</w:t>
      </w:r>
    </w:p>
    <w:p w14:paraId="648E372F" w14:textId="77777777" w:rsidR="007F0FDE" w:rsidRPr="001C0D49" w:rsidRDefault="001C0D49"/>
    <w:sectPr w:rsidR="007F0FDE" w:rsidRPr="001C0D49" w:rsidSect="001C0D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3F75"/>
    <w:multiLevelType w:val="multilevel"/>
    <w:tmpl w:val="522A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088C"/>
    <w:multiLevelType w:val="multilevel"/>
    <w:tmpl w:val="45B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A7FF0"/>
    <w:multiLevelType w:val="multilevel"/>
    <w:tmpl w:val="ED6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100AC"/>
    <w:multiLevelType w:val="multilevel"/>
    <w:tmpl w:val="C98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33D5E"/>
    <w:multiLevelType w:val="multilevel"/>
    <w:tmpl w:val="0B5A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07323"/>
    <w:multiLevelType w:val="multilevel"/>
    <w:tmpl w:val="9CE0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A2A5D"/>
    <w:multiLevelType w:val="multilevel"/>
    <w:tmpl w:val="FAE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3A"/>
    <w:rsid w:val="0019741F"/>
    <w:rsid w:val="001C0D49"/>
    <w:rsid w:val="00E7613A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65163-AB9B-4CCC-BD90-01B27FAC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0D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0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D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0D4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C0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0D49"/>
    <w:rPr>
      <w:color w:val="0000FF"/>
      <w:u w:val="single"/>
    </w:rPr>
  </w:style>
  <w:style w:type="paragraph" w:customStyle="1" w:styleId="active">
    <w:name w:val="active"/>
    <w:basedOn w:val="a"/>
    <w:rsid w:val="001C0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1C0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1C0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C0D49"/>
  </w:style>
  <w:style w:type="character" w:styleId="a5">
    <w:name w:val="Strong"/>
    <w:basedOn w:val="a0"/>
    <w:uiPriority w:val="22"/>
    <w:qFormat/>
    <w:rsid w:val="001C0D49"/>
    <w:rPr>
      <w:b/>
      <w:bCs/>
    </w:rPr>
  </w:style>
  <w:style w:type="character" w:styleId="HTML">
    <w:name w:val="HTML Code"/>
    <w:basedOn w:val="a0"/>
    <w:uiPriority w:val="99"/>
    <w:semiHidden/>
    <w:unhideWhenUsed/>
    <w:rsid w:val="001C0D4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0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03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8763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6760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47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17434.html?spm=a2c4g.11174283.6.916.2e1d590eUM5f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17434.html?spm=a2c4g.11174283.6.916.2e1d590eUM5fe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17434.html?spm=a2c4g.11174283.6.916.2e1d590eUM5fev" TargetMode="External"/><Relationship Id="rId11" Type="http://schemas.openxmlformats.org/officeDocument/2006/relationships/hyperlink" Target="https://help.aliyun.com/document_detail/146697.html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https://help.aliyun.com/document_detail/117434.html?spm=a2c4g.11174283.6.916.2e1d590eUM5f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17434.html?spm=a2c4g.11174283.6.916.2e1d590eUM5fe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2021-01-01T10:14:00Z</dcterms:created>
  <dcterms:modified xsi:type="dcterms:W3CDTF">2021-01-01T10:14:00Z</dcterms:modified>
</cp:coreProperties>
</file>