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B1C2C" w:val="clear"/>
            <w:tcMar>
              <w:top w:type="dxa" w:w="0"/>
              <w:left w:type="dxa" w:w="1200"/>
              <w:bottom w:type="dxa" w:w="0"/>
              <w:right w:type="dxa" w:w="1200"/>
            </w:tcMar>
          </w:tcPr>
          <w:p>
            <w:pPr>
              <w:spacing w:before="2800"/>
            </w:pPr>
          </w:p>
          <w:p>
            <w:pPr>
              <w:spacing w:after="80" w:before="200" w:line="828" w:lineRule="atLeast"/>
            </w:pPr>
            <w:r>
              <w:rPr>
                <w:rFonts w:ascii="Times New Roman"/>
                <w:b/>
                <w:bCs/>
                <w:color w:val="FFFFFF"/>
                <w:sz w:val="56"/>
                <w:szCs w:val="56"/>
              </w:rPr>
              <w:t xml:space="preserve">NexusOS</w:t>
            </w:r>
          </w:p>
          <w:p>
            <w:pPr>
              <w:spacing w:after="60" w:before="60" w:line="600" w:lineRule="atLeast"/>
            </w:pPr>
            <w:r>
              <w:rPr>
                <w:rFonts w:ascii="Times New Roman"/>
                <w:b/>
                <w:bCs/>
                <w:color w:val="529286"/>
                <w:sz w:val="40"/>
                <w:szCs w:val="40"/>
              </w:rPr>
              <w:t xml:space="preserve">Deep Search Analysis Report</w:t>
            </w:r>
          </w:p>
          <w:p>
            <w:pPr>
              <w:pBdr>
                <w:top w:val="single" w:color="529286" w:sz="4" w:space="12"/>
              </w:pBdr>
              <w:spacing w:after="40" w:before="60"/>
              <w:ind w:left="1200" w:right="1200"/>
            </w:pPr>
          </w:p>
          <w:p>
            <w:pPr>
              <w:spacing w:after="40" w:before="200" w:line="312"/>
            </w:pPr>
            <w:r>
              <w:rPr>
                <w:rFonts w:ascii="Calibri"/>
                <w:color w:val="B0B8C0"/>
                <w:sz w:val="22"/>
                <w:szCs w:val="22"/>
              </w:rPr>
              <w:t xml:space="preserve">286 Sources  |  7 Parallel Research Agents  |  Proof-First Synthesis</w:t>
            </w:r>
          </w:p>
          <w:p>
            <w:pPr>
              <w:spacing w:after="40" w:before="40" w:line="312"/>
            </w:pPr>
            <w:r>
              <w:rPr>
                <w:rFonts w:ascii="Calibri"/>
                <w:color w:val="90989F"/>
                <w:sz w:val="20"/>
                <w:szCs w:val="20"/>
              </w:rPr>
              <w:t xml:space="preserve">Governance, Trust, Memory, Skills, A2A, Benchmarks, Inference, Training</w:t>
            </w:r>
          </w:p>
          <w:p>
            <w:pPr>
              <w:spacing w:before="2400"/>
            </w:pPr>
          </w:p>
          <w:p>
            <w:pPr>
              <w:spacing w:after="40" w:line="312"/>
            </w:pPr>
            <w:r>
              <w:rPr>
                <w:rFonts w:ascii="Calibri"/>
                <w:color w:val="90989F"/>
                <w:sz w:val="18"/>
                <w:szCs w:val="18"/>
              </w:rPr>
              <w:t xml:space="preserve">Date: 2026-04-14  |  Classification: Internal Research</w:t>
            </w:r>
          </w:p>
          <w:p>
            <w:pPr>
              <w:spacing w:after="40" w:line="312"/>
            </w:pPr>
            <w:r>
              <w:rPr>
                <w:rFonts w:ascii="Calibri"/>
                <w:color w:val="90989F"/>
                <w:sz w:val="18"/>
                <w:szCs w:val="18"/>
              </w:rPr>
              <w:t xml:space="preserve">Prepared by: NexusOS Engineering (Z-side)</w:t>
            </w:r>
          </w:p>
        </w:tc>
      </w:tr>
    </w:tbl>
    <w:p>
      <w:pPr>
        <w:sectPr>
          <w:pgSz w:w="11906" w:h="16838" w:orient="portrait"/>
          <w:pgMar w:top="0" w:right="0" w:bottom="0" w:left="0" w:header="708" w:footer="708" w:gutter="0"/>
          <w:pgNumType/>
          <w:docGrid w:linePitch="360"/>
        </w:sectPr>
      </w:pPr>
    </w:p>
    <w:p>
      <w:pPr>
        <w:pStyle w:val="Heading1"/>
        <w:spacing w:after="200" w:before="400" w:line="312"/>
      </w:pPr>
      <w:r>
        <w:rPr>
          <w:rFonts w:ascii="Times New Roman"/>
          <w:b/>
          <w:bCs/>
          <w:color w:val="0B1C2C"/>
          <w:sz w:val="32"/>
          <w:szCs w:val="32"/>
        </w:rPr>
        <w:t xml:space="preserve">Executive Summary</w:t>
      </w:r>
    </w:p>
    <w:p>
      <w:pPr>
        <w:spacing w:after="120" w:line="312"/>
        <w:jc w:val="both"/>
      </w:pPr>
      <w:r>
        <w:rPr>
          <w:rFonts w:ascii="Calibri"/>
          <w:color w:val="1A2B40"/>
          <w:sz w:val="22"/>
          <w:szCs w:val="22"/>
        </w:rPr>
        <w:t xml:space="preserve">This report synthesizes deep research across 286 curated sources spanning arxiv papers, GitHub repositories, HuggingFace models, protocol specifications, regulatory frameworks, and industry benchmarks. Seven parallel research agents were dispatched to cover the full landscape in a single research pass. The goal: identify concrete integration opportunities, architectural inspirations, and competitive intelligence for NexusOS Phase 2 and beyond.</w:t>
      </w:r>
    </w:p>
    <w:p>
      <w:pPr>
        <w:spacing w:after="120" w:line="312"/>
        <w:jc w:val="both"/>
      </w:pPr>
      <w:r>
        <w:rPr>
          <w:rFonts w:ascii="Calibri"/>
          <w:color w:val="1A2B40"/>
          <w:sz w:val="22"/>
          <w:szCs w:val="22"/>
        </w:rPr>
        <w:t xml:space="preserve">The research reveals a rapidly maturing agent governance landscape. Singapore has published the world's first government framework for agentic AI (IMDA MGF). OWASP has released its Top 10 for Agentic Applications. The A2A Protocol has reached v1.0 under the Linux Foundation. Multiple formal verification approaches for agent behavior have emerged (AgentAssert-ABC, SEVerA). Verifiable AI audit trail standards (VAP/VCP) are gaining institutional traction. Simultaneously, the inference layer has undergone a revolution: 1-bit quantization now enables sub-1GB models on consumer hardware, and KV cache compression techniques (RotorQuant, TriAttention) achieve 10x+ memory reduction with zero accuracy loss.</w:t>
      </w:r>
    </w:p>
    <w:p>
      <w:pPr>
        <w:spacing w:after="120" w:line="312"/>
        <w:jc w:val="both"/>
      </w:pPr>
      <w:r>
        <w:rPr>
          <w:rFonts w:ascii="Calibri"/>
          <w:color w:val="1A2B40"/>
          <w:sz w:val="22"/>
          <w:szCs w:val="22"/>
        </w:rPr>
        <w:t xml:space="preserve">The report is organized into seven sections: Research Methodology, Tier-1 Critical Findings (governance and safety), Tier-1 Memory and Skill Systems, Tier-1 A2A and Benchmarking, Tier-1 Training and Reasoning, Infrastructure and Inference, and Automated Research Framework Design. Each section provides ranked integration recommendations with proof-level tags consistent with the NexusOS proof discipline.</w:t>
      </w:r>
    </w:p>
    <w:p>
      <w:pPr>
        <w:pStyle w:val="Heading1"/>
        <w:spacing w:after="200" w:before="400" w:line="312"/>
      </w:pPr>
      <w:r>
        <w:rPr>
          <w:rFonts w:ascii="Times New Roman"/>
          <w:b/>
          <w:bCs/>
          <w:color w:val="0B1C2C"/>
          <w:sz w:val="32"/>
          <w:szCs w:val="32"/>
        </w:rPr>
        <w:t xml:space="preserve">1. Research Methodology</w:t>
      </w:r>
    </w:p>
    <w:p>
      <w:pPr>
        <w:spacing w:after="120" w:line="312"/>
        <w:jc w:val="both"/>
      </w:pPr>
      <w:r>
        <w:rPr>
          <w:rFonts w:ascii="Calibri"/>
          <w:color w:val="1A2B40"/>
          <w:sz w:val="22"/>
          <w:szCs w:val="22"/>
        </w:rPr>
        <w:t xml:space="preserve">The research was conducted in a single parallelized pass using seven specialized agents, each covering a distinct category of the 286 curated links. Links were pre-classified into three tiers based on URL pattern analysis and NexusOS relevance scoring. Tier 1 sources received full web-page reading and structured extraction. Tier 2 sources received abstract-level analysis. Tier 3 sources received quick-scan verdict classification.</w:t>
      </w:r>
    </w:p>
    <w:tbl>
      <w:tblPr>
        <w:tblW w:type="pct" w:w="100%"/>
        <w:tblBorders>
          <w:top w:val="single" w:color="D0D8E0" w:sz="2"/>
          <w:left w:val="none"/>
          <w:bottom w:val="single" w:color="D0D8E0" w:sz="2"/>
          <w:right w:val="none"/>
          <w:insideH w:val="single" w:color="D8E4EC" w:sz="1"/>
          <w:insideV w:val="none"/>
        </w:tblBorders>
      </w:tblPr>
      <w:tblGrid>
        <w:gridCol w:w="100"/>
        <w:gridCol w:w="100"/>
        <w:gridCol w:w="100"/>
        <w:gridCol w:w="100"/>
      </w:tblGrid>
      <w:tr>
        <w:trPr>
          <w:cantSplit/>
          <w:tblHeader/>
        </w:trPr>
        <w:tc>
          <w:tcPr>
            <w:tcW w:type="pct" w:w="25%"/>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Agent</w:t>
            </w:r>
          </w:p>
        </w:tc>
        <w:tc>
          <w:tcPr>
            <w:tcW w:type="pct" w:w="25%"/>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Category</w:t>
            </w:r>
          </w:p>
        </w:tc>
        <w:tc>
          <w:tcPr>
            <w:tcW w:type="pct" w:w="25%"/>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Links Assigned</w:t>
            </w:r>
          </w:p>
        </w:tc>
        <w:tc>
          <w:tcPr>
            <w:tcW w:type="pct" w:w="25%"/>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Key Finding Count</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Agent 1</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Governance/Trust/Safety</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24</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8 HIGH integration</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Agent 2</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Memory/Skill/AgentOS</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28</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7 HIGH integration</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Agent 3</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A2A Protocol/Benchmarks</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25</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6 HIGH integration</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Agent 4</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Training/Reasoning Papers</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32</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5 HIGH integration</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Agent 5</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Inference/Quantization</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30</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12 HIGH integration</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Agent 6</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Mixed Papers/Repos</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91</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10 NOTABLE findings</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Agent 7</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Models/Social/Quick-scan</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46</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4 RELEVANT items</w:t>
            </w:r>
          </w:p>
        </w:tc>
      </w:tr>
    </w:tbl>
    <w:p>
      <w:pPr>
        <w:spacing w:after="80" w:before="80"/>
      </w:pPr>
    </w:p>
    <w:p>
      <w:pPr>
        <w:pStyle w:val="Heading1"/>
        <w:spacing w:after="200" w:before="400" w:line="312"/>
      </w:pPr>
      <w:r>
        <w:rPr>
          <w:rFonts w:ascii="Times New Roman"/>
          <w:b/>
          <w:bCs/>
          <w:color w:val="0B1C2C"/>
          <w:sz w:val="32"/>
          <w:szCs w:val="32"/>
        </w:rPr>
        <w:t xml:space="preserve">2. Tier-1: Governance, Trust, and Safety</w:t>
      </w:r>
    </w:p>
    <w:p>
      <w:pPr>
        <w:pStyle w:val="Heading2"/>
        <w:spacing w:after="160" w:before="300" w:line="312"/>
      </w:pPr>
      <w:r>
        <w:rPr>
          <w:rFonts w:ascii="Times New Roman"/>
          <w:b/>
          <w:bCs/>
          <w:color w:val="0B1C2C"/>
          <w:sz w:val="26"/>
          <w:szCs w:val="26"/>
        </w:rPr>
        <w:t xml:space="preserve">2.1 Critical Findings</w:t>
      </w:r>
    </w:p>
    <w:p>
      <w:pPr>
        <w:pStyle w:val="Heading3"/>
        <w:spacing w:after="120" w:before="240" w:line="312"/>
      </w:pPr>
      <w:r>
        <w:rPr>
          <w:rFonts w:ascii="Times New Roman"/>
          <w:b/>
          <w:bCs/>
          <w:color w:val="0B1C2C"/>
          <w:sz w:val="22"/>
          <w:szCs w:val="22"/>
        </w:rPr>
        <w:t xml:space="preserve">AgentAssert-ABC: Behavioral Contracts with Compositional Safety Proofs</w:t>
      </w:r>
    </w:p>
    <w:p>
      <w:pPr>
        <w:spacing w:after="120" w:line="312"/>
        <w:jc w:val="both"/>
      </w:pPr>
      <w:r>
        <w:rPr>
          <w:rFonts w:ascii="Calibri"/>
          <w:b/>
          <w:bCs/>
          <w:color w:val="1A2B40"/>
          <w:sz w:val="22"/>
          <w:szCs w:val="22"/>
        </w:rPr>
        <w:t xml:space="preserve">Source: </w:t>
      </w:r>
      <w:r>
        <w:rPr>
          <w:rFonts w:ascii="Calibri"/>
          <w:color w:val="1A2B40"/>
          <w:sz w:val="22"/>
          <w:szCs w:val="22"/>
        </w:rPr>
        <w:t xml:space="preserve">github.com/qualixar/agentassert-abc  INFERRED from agent report</w:t>
      </w:r>
    </w:p>
    <w:p>
      <w:pPr>
        <w:spacing w:after="120" w:line="312"/>
        <w:jc w:val="both"/>
      </w:pPr>
      <w:r>
        <w:rPr>
          <w:rFonts w:ascii="Calibri"/>
          <w:color w:val="1A2B40"/>
          <w:sz w:val="22"/>
          <w:szCs w:val="22"/>
        </w:rPr>
        <w:t xml:space="preserve">AgentAssert-ABC provides the closest architectural match to NexusOS's governance vision. It introduces a ContractSpec YAML DSL with 14 operators for specifying agent behavioral constraints, separating hard constraints (execution-halting) from soft constraints (recovery-within-window). The framework provides (p, delta, k)-satisfaction guarantees using SPRT hypothesis testing, reducing required test sessions by 50-80%. Most critically, it offers compositional safety proofs for multi-agent pipelines: if Agent A achieves p=0.95 and Agent B achieves p=0.98 with handoff reliability 0.99, the composite pipeline is mathematically guaranteed at p &gt;= 0.921.</w:t>
      </w:r>
    </w:p>
    <w:p>
      <w:pPr>
        <w:spacing w:after="120" w:line="312"/>
        <w:jc w:val="both"/>
      </w:pPr>
      <w:r>
        <w:rPr>
          <w:rFonts w:ascii="Calibri"/>
          <w:color w:val="1A2B40"/>
          <w:sz w:val="22"/>
          <w:szCs w:val="22"/>
        </w:rPr>
        <w:t xml:space="preserve">For NexusOS, this maps directly to the compliance engine's policy definition format and multi-bridge trust bound calculation. The YAML contract format could become the native policy language for NexusOS governor rules. The compositional safety proof is the mathematical foundation NexusOS needs for its lane-scoped trust scoring: when multiple bridges chain agents together, the pipeline trust bound should be computable from individual agent trust scores.</w:t>
      </w:r>
    </w:p>
    <w:p>
      <w:pPr>
        <w:pStyle w:val="Heading3"/>
        <w:spacing w:after="120" w:before="240" w:line="312"/>
      </w:pPr>
      <w:r>
        <w:rPr>
          <w:rFonts w:ascii="Times New Roman"/>
          <w:b/>
          <w:bCs/>
          <w:color w:val="0B1C2C"/>
          <w:sz w:val="22"/>
          <w:szCs w:val="22"/>
        </w:rPr>
        <w:t xml:space="preserve">SkillFortify: Formal Supply Chain Security for Agent Skills</w:t>
      </w:r>
    </w:p>
    <w:p>
      <w:pPr>
        <w:spacing w:after="120" w:line="312"/>
        <w:jc w:val="both"/>
      </w:pPr>
      <w:r>
        <w:rPr>
          <w:rFonts w:ascii="Calibri"/>
          <w:b/>
          <w:bCs/>
          <w:color w:val="1A2B40"/>
          <w:sz w:val="22"/>
          <w:szCs w:val="22"/>
        </w:rPr>
        <w:t xml:space="preserve">Source: </w:t>
      </w:r>
      <w:r>
        <w:rPr>
          <w:rFonts w:ascii="Calibri"/>
          <w:color w:val="1A2B40"/>
          <w:sz w:val="22"/>
          <w:szCs w:val="22"/>
        </w:rPr>
        <w:t xml:space="preserve">github.com/qualixar/skillfortify  INFERRED from agent report</w:t>
      </w:r>
    </w:p>
    <w:p>
      <w:pPr>
        <w:spacing w:after="120" w:line="312"/>
        <w:jc w:val="both"/>
      </w:pPr>
      <w:r>
        <w:rPr>
          <w:rFonts w:ascii="Calibri"/>
          <w:color w:val="1A2B40"/>
          <w:sz w:val="22"/>
          <w:szCs w:val="22"/>
        </w:rPr>
        <w:t xml:space="preserve">SkillFortify is a supply chain security scanner for AI agent skills with mathematically grounded formal analysis. It introduces the DY-Skill threat model with five formal theorems and full proofs. The key innovation is sound static analysis: if SkillFortify reports no violations, capability bounds in the formal model are guaranteed (100% precision, 94.12% recall on 540 skills). It also implements trust score algebra with four graduated trust levels (FORMALLY_VERIFIED &gt;= 0.75, COMMUNITY_VERIFIED &gt;= 0.50, SIGNED &gt;= 0.25, UNSIGNED &lt; 0.25) that propagate through dependency chains, and generates ASBOM (Agent Skill Bill of Materials) in CycloneDX 1.6 format.</w:t>
      </w:r>
    </w:p>
    <w:p>
      <w:pPr>
        <w:spacing w:after="120" w:line="312"/>
        <w:jc w:val="both"/>
      </w:pPr>
      <w:r>
        <w:rPr>
          <w:rFonts w:ascii="Calibri"/>
          <w:color w:val="1A2B40"/>
          <w:sz w:val="22"/>
          <w:szCs w:val="22"/>
        </w:rPr>
        <w:t xml:space="preserve">For NexusOS bridge auth, SkillFortify's trust algebra provides a proven model for graduated trust levels that propagate through skill dependency chains. The ASBOM generation supports compliance engine audit trails. The formal soundness guarantee (no false negatives) is critical for NexusOS's governance-first philosophy: if the scanner says a skill is safe, it is provably safe within the formal model.</w:t>
      </w:r>
    </w:p>
    <w:p>
      <w:pPr>
        <w:pStyle w:val="Heading3"/>
        <w:spacing w:after="120" w:before="240" w:line="312"/>
      </w:pPr>
      <w:r>
        <w:rPr>
          <w:rFonts w:ascii="Times New Roman"/>
          <w:b/>
          <w:bCs/>
          <w:color w:val="0B1C2C"/>
          <w:sz w:val="22"/>
          <w:szCs w:val="22"/>
        </w:rPr>
        <w:t xml:space="preserve">VAP/VCP: Verifiable AI Audit Trail Standards</w:t>
      </w:r>
    </w:p>
    <w:p>
      <w:pPr>
        <w:spacing w:after="120" w:line="312"/>
        <w:jc w:val="both"/>
      </w:pPr>
      <w:r>
        <w:rPr>
          <w:rFonts w:ascii="Calibri"/>
          <w:b/>
          <w:bCs/>
          <w:color w:val="1A2B40"/>
          <w:sz w:val="22"/>
          <w:szCs w:val="22"/>
        </w:rPr>
        <w:t xml:space="preserve">Source: </w:t>
      </w:r>
      <w:r>
        <w:rPr>
          <w:rFonts w:ascii="Calibri"/>
          <w:color w:val="1A2B40"/>
          <w:sz w:val="22"/>
          <w:szCs w:val="22"/>
        </w:rPr>
        <w:t xml:space="preserve">github.com/veritaschain  INFERRED from agent report</w:t>
      </w:r>
    </w:p>
    <w:p>
      <w:pPr>
        <w:spacing w:after="120" w:line="312"/>
        <w:jc w:val="both"/>
      </w:pPr>
      <w:r>
        <w:rPr>
          <w:rFonts w:ascii="Calibri"/>
          <w:color w:val="1A2B40"/>
          <w:sz w:val="22"/>
          <w:szCs w:val="22"/>
        </w:rPr>
        <w:t xml:space="preserve">The VeritasChain Protocol (VCP) and Verifiable AI Provenance (VAP) framework define open, vendor-neutral standards for cryptographically verifiable audit trails in AI-driven systems. VAP introduces a 4-layer architecture: Layer 1 (Identity: UUIDv7, timestamps, issuer), Layer 2 (Provenance: actor, input, context, action, outcome), Layer 3 (Integrity: SHA-256 hash chains, Ed25519 signatures), Layer 4 (Verification: Merkle trees, external anchoring to transparency logs mirroring RFC 6962 Certificate Transparency). VCP adds a VCP-GOV module for AI governance metadata and a VCP-PRIVACY module with crypto-shredding for GDPR-compliant audit record destruction.</w:t>
      </w:r>
    </w:p>
    <w:p>
      <w:pPr>
        <w:spacing w:after="120" w:line="312"/>
        <w:jc w:val="both"/>
      </w:pPr>
      <w:r>
        <w:rPr>
          <w:rFonts w:ascii="Calibri"/>
          <w:color w:val="1A2B40"/>
          <w:sz w:val="22"/>
          <w:szCs w:val="22"/>
        </w:rPr>
        <w:t xml:space="preserve">For NexusOS vault, the VAP 4-layer architecture should be adopted as the canonical audit trail format. The crypto-shredding mechanism in VCP-PRIVACY is particularly novel and solves the tension between audit trail retention and data privacy: cryptographic key destruction makes records unreadable while preserving chain integrity. The Verification Paradox argument (proprietary systems cannot satisfy independent verification requirements) provides theoretical justification for NexusOS's open-source approach.</w:t>
      </w:r>
    </w:p>
    <w:p>
      <w:pPr>
        <w:pStyle w:val="Heading3"/>
        <w:spacing w:after="120" w:before="240" w:line="312"/>
      </w:pPr>
      <w:r>
        <w:rPr>
          <w:rFonts w:ascii="Times New Roman"/>
          <w:b/>
          <w:bCs/>
          <w:color w:val="0B1C2C"/>
          <w:sz w:val="22"/>
          <w:szCs w:val="22"/>
        </w:rPr>
        <w:t xml:space="preserve">IMDA Model Governance Framework for Agentic AI</w:t>
      </w:r>
    </w:p>
    <w:p>
      <w:pPr>
        <w:spacing w:after="120" w:line="312"/>
        <w:jc w:val="both"/>
      </w:pPr>
      <w:r>
        <w:rPr>
          <w:rFonts w:ascii="Calibri"/>
          <w:b/>
          <w:bCs/>
          <w:color w:val="1A2B40"/>
          <w:sz w:val="22"/>
          <w:szCs w:val="22"/>
        </w:rPr>
        <w:t xml:space="preserve">Source: </w:t>
      </w:r>
      <w:r>
        <w:rPr>
          <w:rFonts w:ascii="Calibri"/>
          <w:color w:val="1A2B40"/>
          <w:sz w:val="22"/>
          <w:szCs w:val="22"/>
        </w:rPr>
        <w:t xml:space="preserve">imda.gov.sg  DOCUMENT_CONFIRMED from agent report</w:t>
      </w:r>
    </w:p>
    <w:p>
      <w:pPr>
        <w:spacing w:after="120" w:line="312"/>
        <w:jc w:val="both"/>
      </w:pPr>
      <w:r>
        <w:rPr>
          <w:rFonts w:ascii="Calibri"/>
          <w:color w:val="1A2B40"/>
          <w:sz w:val="22"/>
          <w:szCs w:val="22"/>
        </w:rPr>
        <w:t xml:space="preserve">Singapore's IMDA has published the world's first comprehensive government framework for agentic AI governance. Structured around four dimensions (Assess/Bound Risks, Human Accountability, Technical Controls, End-User Responsibility), it introduces the action-space vs autonomy matrix as a novel governance dimension. The framework classifies multi-agent design patterns (Sequential, Supervisor, Swarm) with different risk profiles, and specifically addresses automation bias. The accompanying legal analysis identifies heightened risk sectors (financial institutions, healthcare, technology companies) with direct regulatory liability for unauthorized agent actions.</w:t>
      </w:r>
    </w:p>
    <w:p>
      <w:pPr>
        <w:spacing w:after="120" w:line="312"/>
        <w:jc w:val="both"/>
      </w:pPr>
      <w:r>
        <w:rPr>
          <w:rFonts w:ascii="Calibri"/>
          <w:color w:val="1A2B40"/>
          <w:sz w:val="22"/>
          <w:szCs w:val="22"/>
        </w:rPr>
        <w:t xml:space="preserve">For NexusOS, the IMDA framework is the authoritative policy reference. The four dimensions map directly to NexusOS components: Assess/Bound to vault permissions and bridge auth scopes; Human Accountability to compliance engine checkpoint enforcement; Technical Controls to trust scoring and vault guardrails; End-User Responsibility to transparency and logging. The action-space vs autonomy matrix should inform NexusOS's agent risk classification model.</w:t>
      </w:r>
    </w:p>
    <w:p>
      <w:pPr>
        <w:pStyle w:val="Heading3"/>
        <w:spacing w:after="120" w:before="240" w:line="312"/>
      </w:pPr>
      <w:r>
        <w:rPr>
          <w:rFonts w:ascii="Times New Roman"/>
          <w:b/>
          <w:bCs/>
          <w:color w:val="0B1C2C"/>
          <w:sz w:val="22"/>
          <w:szCs w:val="22"/>
        </w:rPr>
        <w:t xml:space="preserve">OWASP Top 10 for Agentic Applications (ASI)</w:t>
      </w:r>
    </w:p>
    <w:p>
      <w:pPr>
        <w:spacing w:after="120" w:line="312"/>
        <w:jc w:val="both"/>
      </w:pPr>
      <w:r>
        <w:rPr>
          <w:rFonts w:ascii="Calibri"/>
          <w:b/>
          <w:bCs/>
          <w:color w:val="1A2B40"/>
          <w:sz w:val="22"/>
          <w:szCs w:val="22"/>
        </w:rPr>
        <w:t xml:space="preserve">Source: </w:t>
      </w:r>
      <w:r>
        <w:rPr>
          <w:rFonts w:ascii="Calibri"/>
          <w:color w:val="1A2B40"/>
          <w:sz w:val="22"/>
          <w:szCs w:val="22"/>
        </w:rPr>
        <w:t xml:space="preserve">trydeepteam.com  DOCUMENT_CONFIRMED from agent report</w:t>
      </w:r>
    </w:p>
    <w:p>
      <w:pPr>
        <w:spacing w:after="120" w:line="312"/>
        <w:jc w:val="both"/>
      </w:pPr>
      <w:r>
        <w:rPr>
          <w:rFonts w:ascii="Calibri"/>
          <w:color w:val="1A2B40"/>
          <w:sz w:val="22"/>
          <w:szCs w:val="22"/>
        </w:rPr>
        <w:t xml:space="preserve">OWASP's 2026 Top 10 defines the definitive threat model for agentic systems: ASI01 (Agent Goal Hijack), ASI02 (Tool Misuse), ASI03 (Identity/Privilege Abuse), ASI04 (Supply Chain Compromise), ASI05 (Unexpected Code Execution), ASI06 (Memory/Context Poisoning), ASI07 (Insecure Inter-Agent Communication), ASI08 (Cascading Agent Failures), ASI09 (Human-Agent Trust Exploitation), ASI10 (Rogue Agents). The key insight is that agentic systems can cause cascading failures where a single vulnerability propagates through connected tools, memory, and agents.</w:t>
      </w:r>
    </w:p>
    <w:p>
      <w:pPr>
        <w:spacing w:after="120" w:line="312"/>
        <w:jc w:val="both"/>
      </w:pPr>
      <w:r>
        <w:rPr>
          <w:rFonts w:ascii="Calibri"/>
          <w:color w:val="1A2B40"/>
          <w:sz w:val="22"/>
          <w:szCs w:val="22"/>
        </w:rPr>
        <w:t xml:space="preserve">Every ASI category maps to a NexusOS component. ASI08 (Cascading Failures) is particularly critical for NexusOS bridge architecture, requiring blast-radius containment at the vault/bridge level. ASI06 (Memory/Context Poisoning) validates NexusOS's separate memory governance in the vault. ASI04 (Supply Chain) directly connects to SkillFortify integration. The OWASP ASI Top 10 should become the foundational threat model for NexusOS compliance engine policy definitions.</w:t>
      </w:r>
    </w:p>
    <w:p>
      <w:pPr>
        <w:pStyle w:val="Heading2"/>
        <w:spacing w:after="160" w:before="300" w:line="312"/>
      </w:pPr>
      <w:r>
        <w:rPr>
          <w:rFonts w:ascii="Times New Roman"/>
          <w:b/>
          <w:bCs/>
          <w:color w:val="0B1C2C"/>
          <w:sz w:val="26"/>
          <w:szCs w:val="26"/>
        </w:rPr>
        <w:t xml:space="preserve">2.2 Governance Integration Priority Matrix</w:t>
      </w:r>
    </w:p>
    <w:tbl>
      <w:tblPr>
        <w:tblW w:type="pct" w:w="100%"/>
        <w:tblBorders>
          <w:top w:val="single" w:color="D0D8E0" w:sz="2"/>
          <w:left w:val="none"/>
          <w:bottom w:val="single" w:color="D0D8E0" w:sz="2"/>
          <w:right w:val="none"/>
          <w:insideH w:val="single" w:color="D8E4EC" w:sz="1"/>
          <w:insideV w:val="none"/>
        </w:tblBorders>
      </w:tblPr>
      <w:tblGrid>
        <w:gridCol w:w="100"/>
        <w:gridCol w:w="100"/>
        <w:gridCol w:w="100"/>
        <w:gridCol w:w="100"/>
      </w:tblGrid>
      <w:tr>
        <w:trPr>
          <w:cantSplit/>
          <w:tblHeader/>
        </w:trPr>
        <w:tc>
          <w:tcPr>
            <w:tcW w:type="pct" w:w="25%"/>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Priority</w:t>
            </w:r>
          </w:p>
        </w:tc>
        <w:tc>
          <w:tcPr>
            <w:tcW w:type="pct" w:w="25%"/>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Source</w:t>
            </w:r>
          </w:p>
        </w:tc>
        <w:tc>
          <w:tcPr>
            <w:tcW w:type="pct" w:w="25%"/>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NexusOS Component</w:t>
            </w:r>
          </w:p>
        </w:tc>
        <w:tc>
          <w:tcPr>
            <w:tcW w:type="pct" w:w="25%"/>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Integration Action</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P0</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OWASP ASI Top 10</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Compliance Engine</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Map all 10 risks to specific governance controls</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P0</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AgentAssert-ABC DSL</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Compliance Engine</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Adopt ContractSpec as policy definition format</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P0</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VAP 4-Layer Architecture</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Vault</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Implement Identity-Provenance-Integrity-Verification audit trail</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P1</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SkillFortify Trust Algebra</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Bridge Auth</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4-level graduated trust with dependency propagation</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P1</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IMDA MGF 4 Dimensions</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All Components</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Implement as default compliance policy template</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P1</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AgentAssert Compositional Proofs</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Trust Scoring</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Pipeline trust bound calculation across bridges</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P2</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DeepTeam Vulnerability Taxonomy</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Compliance Engine</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Periodic red-team stress testing</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P2</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DeepMind Propensity/Efficacy</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Trust Scoring</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Score manipulation propensity and efficacy separately</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P2</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VCP Benchmark EU AI Act Annex</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Compliance Engine</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Auto-generate regulatory compliance evidence packs</w:t>
            </w:r>
          </w:p>
        </w:tc>
      </w:tr>
    </w:tbl>
    <w:p>
      <w:pPr>
        <w:spacing w:after="80" w:before="80"/>
      </w:pPr>
    </w:p>
    <w:p>
      <w:pPr>
        <w:pStyle w:val="Heading1"/>
        <w:spacing w:after="200" w:before="400" w:line="312"/>
      </w:pPr>
      <w:r>
        <w:rPr>
          <w:rFonts w:ascii="Times New Roman"/>
          <w:b/>
          <w:bCs/>
          <w:color w:val="0B1C2C"/>
          <w:sz w:val="32"/>
          <w:szCs w:val="32"/>
        </w:rPr>
        <w:t xml:space="preserve">3. Tier-1: Memory Systems and Skill Architectures</w:t>
      </w:r>
    </w:p>
    <w:p>
      <w:pPr>
        <w:pStyle w:val="Heading2"/>
        <w:spacing w:after="160" w:before="300" w:line="312"/>
      </w:pPr>
      <w:r>
        <w:rPr>
          <w:rFonts w:ascii="Times New Roman"/>
          <w:b/>
          <w:bCs/>
          <w:color w:val="0B1C2C"/>
          <w:sz w:val="26"/>
          <w:szCs w:val="26"/>
        </w:rPr>
        <w:t xml:space="preserve">3.1 Critical Findings</w:t>
      </w:r>
    </w:p>
    <w:p>
      <w:pPr>
        <w:pStyle w:val="Heading3"/>
        <w:spacing w:after="120" w:before="240" w:line="312"/>
      </w:pPr>
      <w:r>
        <w:rPr>
          <w:rFonts w:ascii="Times New Roman"/>
          <w:b/>
          <w:bCs/>
          <w:color w:val="0B1C2C"/>
          <w:sz w:val="22"/>
          <w:szCs w:val="22"/>
        </w:rPr>
        <w:t xml:space="preserve">Mira: Continuous Digital Entity with Text-Based LoRA</w:t>
      </w:r>
    </w:p>
    <w:p>
      <w:pPr>
        <w:spacing w:after="120" w:line="312"/>
        <w:jc w:val="both"/>
      </w:pPr>
      <w:r>
        <w:rPr>
          <w:rFonts w:ascii="Calibri"/>
          <w:b/>
          <w:bCs/>
          <w:color w:val="1A2B40"/>
          <w:sz w:val="22"/>
          <w:szCs w:val="22"/>
        </w:rPr>
        <w:t xml:space="preserve">Source: </w:t>
      </w:r>
      <w:r>
        <w:rPr>
          <w:rFonts w:ascii="Calibri"/>
          <w:color w:val="1A2B40"/>
          <w:sz w:val="22"/>
          <w:szCs w:val="22"/>
        </w:rPr>
        <w:t xml:space="preserve">github.com/obra/mira-OSS  INFERRED from agent report</w:t>
      </w:r>
    </w:p>
    <w:p>
      <w:pPr>
        <w:spacing w:after="120" w:line="312"/>
        <w:jc w:val="both"/>
      </w:pPr>
      <w:r>
        <w:rPr>
          <w:rFonts w:ascii="Calibri"/>
          <w:color w:val="1A2B40"/>
          <w:sz w:val="22"/>
          <w:szCs w:val="22"/>
        </w:rPr>
        <w:t xml:space="preserve">Mira is the most architecturally rich memory system discovered. It achieves persistence through self-directed memory management with several breakthrough concepts. First-person memory summaries eliminate epistemic distance between agent and memory. Formula-based memory decay ensures memories 'earn their keep' or fade without human housekeeping. Text-Based LoRA enables behavioral adaptation through evolving prompt directives (not weight updates): feedback signals accumulate and synthesize into updated behavioral patterns every 7 use-days. Self-registering tools carry their own configuration and enable/disable dynamically to avoid context pollution. Domaindoc drawers collapse/expand to manage context budget. An event-driven architecture fires SegmentCollapseEvent after 120 minutes of silence for asynchronous memory processing.</w:t>
      </w:r>
    </w:p>
    <w:p>
      <w:pPr>
        <w:spacing w:after="120" w:line="312"/>
        <w:jc w:val="both"/>
      </w:pPr>
      <w:r>
        <w:rPr>
          <w:rFonts w:ascii="Calibri"/>
          <w:color w:val="1A2B40"/>
          <w:sz w:val="22"/>
          <w:szCs w:val="22"/>
        </w:rPr>
        <w:t xml:space="preserve">For NexusOS, Mira's memory decay formula is governance-grade and directly applicable to vault lifecycle management. Text-Based LoRA shows how governance policies can evolve from usage patterns without retraining. Self-registering tools with dynamic enable/disable lifecycle is exactly how NexusOS skills should work. The event-driven architecture with independent subscribers is the right pattern for orchestrating governance events across components.</w:t>
      </w:r>
    </w:p>
    <w:p>
      <w:pPr>
        <w:pStyle w:val="Heading3"/>
        <w:spacing w:after="120" w:before="240" w:line="312"/>
      </w:pPr>
      <w:r>
        <w:rPr>
          <w:rFonts w:ascii="Times New Roman"/>
          <w:b/>
          <w:bCs/>
          <w:color w:val="0B1C2C"/>
          <w:sz w:val="22"/>
          <w:szCs w:val="22"/>
        </w:rPr>
        <w:t xml:space="preserve">AutoHarness: 2-Line Governance Pipeline</w:t>
      </w:r>
    </w:p>
    <w:p>
      <w:pPr>
        <w:spacing w:after="120" w:line="312"/>
        <w:jc w:val="both"/>
      </w:pPr>
      <w:r>
        <w:rPr>
          <w:rFonts w:ascii="Calibri"/>
          <w:b/>
          <w:bCs/>
          <w:color w:val="1A2B40"/>
          <w:sz w:val="22"/>
          <w:szCs w:val="22"/>
        </w:rPr>
        <w:t xml:space="preserve">Source: </w:t>
      </w:r>
      <w:r>
        <w:rPr>
          <w:rFonts w:ascii="Calibri"/>
          <w:color w:val="1A2B40"/>
          <w:sz w:val="22"/>
          <w:szCs w:val="22"/>
        </w:rPr>
        <w:t xml:space="preserve">github.com/aiming-lab/AutoHarness  INFERRED from agent report</w:t>
      </w:r>
    </w:p>
    <w:p>
      <w:pPr>
        <w:spacing w:after="120" w:line="312"/>
        <w:jc w:val="both"/>
      </w:pPr>
      <w:r>
        <w:rPr>
          <w:rFonts w:ascii="Calibri"/>
          <w:color w:val="1A2B40"/>
          <w:sz w:val="22"/>
          <w:szCs w:val="22"/>
        </w:rPr>
        <w:t xml:space="preserve">AutoHarness provides the most directly integrable governance framework found. It wraps any LLM client in a 6-step pipeline (Parse/Validate, Risk Classify, Permission Check, Execute, Output Sanitize, Audit Log) with just 2 lines of code: AutoHarness.wrap(OpenAI()). Three pipeline modes (Core/6-step, Standard/8-step, Enhanced/14-step) allow configurable governance depth. Built-in risk patterns detect dangerous operations, secret exposure, and path traversal. Per-call cost attribution tracks resource usage. Multi-agent profiles with role-based governance are supported, and a YAML constitution enables declarative policy definition.</w:t>
      </w:r>
    </w:p>
    <w:p>
      <w:pPr>
        <w:spacing w:after="120" w:line="312"/>
        <w:jc w:val="both"/>
      </w:pPr>
      <w:r>
        <w:rPr>
          <w:rFonts w:ascii="Calibri"/>
          <w:color w:val="1A2B40"/>
          <w:sz w:val="22"/>
          <w:szCs w:val="22"/>
        </w:rPr>
        <w:t xml:space="preserve">For NexusOS engine, AutoHarness's 6-step pipeline maps almost exactly to what every agent action should flow through. The YAML constitution pattern is how NexusOS governance policies should be defined. The three-tier depth configuration allows adjustable governance strictness per agent or per task risk level. This is the most immediately adoptable governance enforcement pattern discovered.</w:t>
      </w:r>
    </w:p>
    <w:p>
      <w:pPr>
        <w:pStyle w:val="Heading3"/>
        <w:spacing w:after="120" w:before="240" w:line="312"/>
      </w:pPr>
      <w:r>
        <w:rPr>
          <w:rFonts w:ascii="Times New Roman"/>
          <w:b/>
          <w:bCs/>
          <w:color w:val="0B1C2C"/>
          <w:sz w:val="22"/>
          <w:szCs w:val="22"/>
        </w:rPr>
        <w:t xml:space="preserve">SuperLocalMemory: Mathematical Memory Engine</w:t>
      </w:r>
    </w:p>
    <w:p>
      <w:pPr>
        <w:spacing w:after="120" w:line="312"/>
        <w:jc w:val="both"/>
      </w:pPr>
      <w:r>
        <w:rPr>
          <w:rFonts w:ascii="Calibri"/>
          <w:b/>
          <w:bCs/>
          <w:color w:val="1A2B40"/>
          <w:sz w:val="22"/>
          <w:szCs w:val="22"/>
        </w:rPr>
        <w:t xml:space="preserve">Source: </w:t>
      </w:r>
      <w:r>
        <w:rPr>
          <w:rFonts w:ascii="Calibri"/>
          <w:color w:val="1A2B40"/>
          <w:sz w:val="22"/>
          <w:szCs w:val="22"/>
        </w:rPr>
        <w:t xml:space="preserve">github.com/qualixar/superlocalmemory  INFERRED from agent report</w:t>
      </w:r>
    </w:p>
    <w:p>
      <w:pPr>
        <w:spacing w:after="120" w:line="312"/>
        <w:jc w:val="both"/>
      </w:pPr>
      <w:r>
        <w:rPr>
          <w:rFonts w:ascii="Calibri"/>
          <w:color w:val="1A2B40"/>
          <w:sz w:val="22"/>
          <w:szCs w:val="22"/>
        </w:rPr>
        <w:t xml:space="preserve">SuperLocalMemory achieves 87.7% on LoCoMo using differential geometry, algebraic topology, and stochastic analysis instead of LLM-based extraction, running entirely on CPU with zero cloud dependency. Its V3.3 'Living Brain' implements adaptive memory lifecycle (strengthen/fade/compress/consolidate), smart compression (32x for low-priority), cognitive consolidation into reusable patterns, and Hopfield retrieval as a 6th channel. With 35 MCP tools, 26 CLI commands, and 16 API endpoints, it provides a comprehensive memory management surface.</w:t>
      </w:r>
    </w:p>
    <w:p>
      <w:pPr>
        <w:spacing w:after="120" w:line="312"/>
        <w:jc w:val="both"/>
      </w:pPr>
      <w:r>
        <w:rPr>
          <w:rFonts w:ascii="Calibri"/>
          <w:color w:val="1A2B40"/>
          <w:sz w:val="22"/>
          <w:szCs w:val="22"/>
        </w:rPr>
        <w:t xml:space="preserve">For NexusOS vault, SuperLocalMemory's mathematical approach (not LLM-based) is a key differentiator for trust and compliance. The adaptive lifecycle with decay and consolidation maps to what vault needs for memory governance. The MCP interface enables direct skill-adapter integration. The zero-cloud requirement aligns with NexusOS's local-first philosophy.</w:t>
      </w:r>
    </w:p>
    <w:p>
      <w:pPr>
        <w:pStyle w:val="Heading3"/>
        <w:spacing w:after="120" w:before="240" w:line="312"/>
      </w:pPr>
      <w:r>
        <w:rPr>
          <w:rFonts w:ascii="Times New Roman"/>
          <w:b/>
          <w:bCs/>
          <w:color w:val="0B1C2C"/>
          <w:sz w:val="22"/>
          <w:szCs w:val="22"/>
        </w:rPr>
        <w:t xml:space="preserve">SkillNet and AgentSkillOS: Skill Ecosystem Infrastructure</w:t>
      </w:r>
    </w:p>
    <w:p>
      <w:pPr>
        <w:spacing w:after="120" w:line="312"/>
        <w:jc w:val="both"/>
      </w:pPr>
      <w:r>
        <w:rPr>
          <w:rFonts w:ascii="Calibri"/>
          <w:b/>
          <w:bCs/>
          <w:color w:val="1A2B40"/>
          <w:sz w:val="22"/>
          <w:szCs w:val="22"/>
        </w:rPr>
        <w:t xml:space="preserve">Sources: </w:t>
      </w:r>
      <w:r>
        <w:rPr>
          <w:rFonts w:ascii="Calibri"/>
          <w:color w:val="1A2B40"/>
          <w:sz w:val="22"/>
          <w:szCs w:val="22"/>
        </w:rPr>
        <w:t xml:space="preserve">github.com/zjunlp/SkillNet, github.com/ynulihao/AgentSkillOS  INFERRED from agent report</w:t>
      </w:r>
    </w:p>
    <w:p>
      <w:pPr>
        <w:spacing w:after="120" w:line="312"/>
        <w:jc w:val="both"/>
      </w:pPr>
      <w:r>
        <w:rPr>
          <w:rFonts w:ascii="Calibri"/>
          <w:color w:val="1A2B40"/>
          <w:sz w:val="22"/>
          <w:szCs w:val="22"/>
        </w:rPr>
        <w:t xml:space="preserve">SkillNet is an open infrastructure for creating, evaluating, and connecting AI agent skills with 400K+ community skills and 5-dimension quality scoring (Safety, Completeness, Executability, Maintainability, Cost-Awareness). It features a Skill Graph with auto-discovered relationships (similar_to, belong_to, compose_with, depend_on) and semantic search. AgentSkillOS adds a capability tree for creative skill discovery that outperforms flat semantic retrieval, plus three orchestration strategies (Quality-First, Efficiency-First, Simplicity-First) with DAG-based execution.</w:t>
      </w:r>
    </w:p>
    <w:p>
      <w:pPr>
        <w:spacing w:after="120" w:line="312"/>
        <w:jc w:val="both"/>
      </w:pPr>
      <w:r>
        <w:rPr>
          <w:rFonts w:ascii="Calibri"/>
          <w:color w:val="1A2B40"/>
          <w:sz w:val="22"/>
          <w:szCs w:val="22"/>
        </w:rPr>
        <w:t xml:space="preserve">For NexusOS skill adapter, SkillNet's 5-D evaluation framework should inform skill vetting and trust scoring. The skill graph relationships enrich orchestration decisions. AgentSkillOS's capability tree provides a navigable hierarchy for the skill registry. The three orchestration strategies map to NexusOS team coordinator planning patterns.</w:t>
      </w:r>
    </w:p>
    <w:p>
      <w:pPr>
        <w:pStyle w:val="Heading2"/>
        <w:spacing w:after="160" w:before="300" w:line="312"/>
      </w:pPr>
      <w:r>
        <w:rPr>
          <w:rFonts w:ascii="Times New Roman"/>
          <w:b/>
          <w:bCs/>
          <w:color w:val="0B1C2C"/>
          <w:sz w:val="26"/>
          <w:szCs w:val="26"/>
        </w:rPr>
        <w:t xml:space="preserve">3.2 Memory/Skill Integration Priority</w:t>
      </w:r>
    </w:p>
    <w:tbl>
      <w:tblPr>
        <w:tblW w:type="pct" w:w="100%"/>
        <w:tblBorders>
          <w:top w:val="single" w:color="D0D8E0" w:sz="2"/>
          <w:left w:val="none"/>
          <w:bottom w:val="single" w:color="D0D8E0" w:sz="2"/>
          <w:right w:val="none"/>
          <w:insideH w:val="single" w:color="D8E4EC" w:sz="1"/>
          <w:insideV w:val="none"/>
        </w:tblBorders>
      </w:tblPr>
      <w:tblGrid>
        <w:gridCol w:w="100"/>
        <w:gridCol w:w="100"/>
        <w:gridCol w:w="100"/>
        <w:gridCol w:w="100"/>
      </w:tblGrid>
      <w:tr>
        <w:trPr>
          <w:cantSplit/>
          <w:tblHeader/>
        </w:trPr>
        <w:tc>
          <w:tcPr>
            <w:tcW w:type="pct" w:w="25%"/>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Priority</w:t>
            </w:r>
          </w:p>
        </w:tc>
        <w:tc>
          <w:tcPr>
            <w:tcW w:type="pct" w:w="25%"/>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Source</w:t>
            </w:r>
          </w:p>
        </w:tc>
        <w:tc>
          <w:tcPr>
            <w:tcW w:type="pct" w:w="25%"/>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NexusOS Component</w:t>
            </w:r>
          </w:p>
        </w:tc>
        <w:tc>
          <w:tcPr>
            <w:tcW w:type="pct" w:w="25%"/>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Integration Action</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P0</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AutoHarness Pipeline</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Engine</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6-step governance enforcement for every agent action</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P1</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Mira Memory Decay</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Vault</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Formula-based lifecycle with earn-or-fade</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P1</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Mira Text-Based LoRA</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All</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Evolving governance policies from usage patterns</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P1</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Mira Self-Registering Tools</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Skill Adapter</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Dynamic skill enable/disable lifecycle</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P1</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SkillNet 5-D Evaluation</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Skill Adapter</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Skill vetting with Safety/Completeness/Cost scoring</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P2</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SuperLocalMemory Math Layers</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Vault</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Non-LLM memory similarity for trust compliance</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P2</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AgentSkillOS Capability Tree</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Skill Adapter</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Hierarchical skill registry replacing flat list</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P2</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MemGovern Experience Cards</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Vault</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Domain-agnostic experience memory with structured JSON</w:t>
            </w:r>
          </w:p>
        </w:tc>
      </w:tr>
    </w:tbl>
    <w:p>
      <w:pPr>
        <w:spacing w:after="80" w:before="80"/>
      </w:pPr>
    </w:p>
    <w:p>
      <w:pPr>
        <w:pStyle w:val="Heading1"/>
        <w:spacing w:after="200" w:before="400" w:line="312"/>
      </w:pPr>
      <w:r>
        <w:rPr>
          <w:rFonts w:ascii="Times New Roman"/>
          <w:b/>
          <w:bCs/>
          <w:color w:val="0B1C2C"/>
          <w:sz w:val="32"/>
          <w:szCs w:val="32"/>
        </w:rPr>
        <w:t xml:space="preserve">4. Tier-1: A2A Protocol and Benchmarking</w:t>
      </w:r>
    </w:p>
    <w:p>
      <w:pPr>
        <w:pStyle w:val="Heading2"/>
        <w:spacing w:after="160" w:before="300" w:line="312"/>
      </w:pPr>
      <w:r>
        <w:rPr>
          <w:rFonts w:ascii="Times New Roman"/>
          <w:b/>
          <w:bCs/>
          <w:color w:val="0B1C2C"/>
          <w:sz w:val="26"/>
          <w:szCs w:val="26"/>
        </w:rPr>
        <w:t xml:space="preserve">4.1 A2A v1.0 Protocol Compliance</w:t>
      </w:r>
    </w:p>
    <w:p>
      <w:pPr>
        <w:spacing w:after="120" w:line="312"/>
        <w:jc w:val="both"/>
      </w:pPr>
      <w:r>
        <w:rPr>
          <w:rFonts w:ascii="Calibri"/>
          <w:b/>
          <w:bCs/>
          <w:color w:val="1A2B40"/>
          <w:sz w:val="22"/>
          <w:szCs w:val="22"/>
        </w:rPr>
        <w:t xml:space="preserve">Source: </w:t>
      </w:r>
      <w:r>
        <w:rPr>
          <w:rFonts w:ascii="Calibri"/>
          <w:color w:val="1A2B40"/>
          <w:sz w:val="22"/>
          <w:szCs w:val="22"/>
        </w:rPr>
        <w:t xml:space="preserve">a2a-protocol.org/latest/  DOCUMENT_CONFIRMED from agent report</w:t>
      </w:r>
    </w:p>
    <w:p>
      <w:pPr>
        <w:spacing w:after="120" w:line="312"/>
        <w:jc w:val="both"/>
      </w:pPr>
      <w:r>
        <w:rPr>
          <w:rFonts w:ascii="Calibri"/>
          <w:color w:val="1A2B40"/>
          <w:sz w:val="22"/>
          <w:szCs w:val="22"/>
        </w:rPr>
        <w:t xml:space="preserve">A2A v1.0 is the first production-ready release of the agent-to-agent communication standard, now under the Linux Foundation Technical Steering Committee with backing from AWS, Cisco, Google, IBM, Microsoft, Salesforce, SAP, and ServiceNow. Key enterprise features include: multi-protocol bindings (JSON+HTTP, gRPC, JSON-RPC), signed Agent Cards with cryptographic identity verification, multi-tenancy on single endpoints, and version negotiation for progressive migration from v0.3. The architecture is explicitly stateless and web-aligned, designed to work with standard HTTP load balancers and observability infrastructure.</w:t>
      </w:r>
    </w:p>
    <w:p>
      <w:pPr>
        <w:spacing w:after="120" w:line="312"/>
        <w:jc w:val="both"/>
      </w:pPr>
      <w:r>
        <w:rPr>
          <w:rFonts w:ascii="Calibri"/>
          <w:color w:val="1A2B40"/>
          <w:sz w:val="22"/>
          <w:szCs w:val="22"/>
        </w:rPr>
        <w:t xml:space="preserve">NexusOS bridge server MUST be A2A v1.0 compliant. The bridge acts as an A2A endpoint wrapping NexusOS governor/vault logic. Signed Agent Cards directly feed NexusOS trust scoring as attestation evidence. Multi-tenancy maps to NexusOS namespace isolation. Version negotiation supports backward compatibility. The 'MCP inside agents, A2A between agents' design principle validates NexusOS's separation of skill adapter (MCP-internal) from bridge server (A2A-external).</w:t>
      </w:r>
    </w:p>
    <w:p>
      <w:pPr>
        <w:pStyle w:val="Heading2"/>
        <w:spacing w:after="160" w:before="300" w:line="312"/>
      </w:pPr>
      <w:r>
        <w:rPr>
          <w:rFonts w:ascii="Times New Roman"/>
          <w:b/>
          <w:bCs/>
          <w:color w:val="0B1C2C"/>
          <w:sz w:val="26"/>
          <w:szCs w:val="26"/>
        </w:rPr>
        <w:t xml:space="preserve">4.2 Critical Benchmarks</w:t>
      </w:r>
    </w:p>
    <w:p>
      <w:pPr>
        <w:pStyle w:val="Heading3"/>
        <w:spacing w:after="120" w:before="240" w:line="312"/>
      </w:pPr>
      <w:r>
        <w:rPr>
          <w:rFonts w:ascii="Times New Roman"/>
          <w:b/>
          <w:bCs/>
          <w:color w:val="0B1C2C"/>
          <w:sz w:val="22"/>
          <w:szCs w:val="22"/>
        </w:rPr>
        <w:t xml:space="preserve">CIK-Bench: Persistent State Security</w:t>
      </w:r>
    </w:p>
    <w:p>
      <w:pPr>
        <w:spacing w:after="120" w:line="312"/>
        <w:jc w:val="both"/>
      </w:pPr>
      <w:r>
        <w:rPr>
          <w:rFonts w:ascii="Calibri"/>
          <w:b/>
          <w:bCs/>
          <w:color w:val="1A2B40"/>
          <w:sz w:val="22"/>
          <w:szCs w:val="22"/>
        </w:rPr>
        <w:t xml:space="preserve">Source: </w:t>
      </w:r>
      <w:r>
        <w:rPr>
          <w:rFonts w:ascii="Calibri"/>
          <w:color w:val="1A2B40"/>
          <w:sz w:val="22"/>
          <w:szCs w:val="22"/>
        </w:rPr>
        <w:t xml:space="preserve">github.com/UCSC-VLAA/CIK-Bench  INFERRED from agent report</w:t>
      </w:r>
    </w:p>
    <w:p>
      <w:pPr>
        <w:spacing w:after="120" w:line="312"/>
        <w:jc w:val="both"/>
      </w:pPr>
      <w:r>
        <w:rPr>
          <w:rFonts w:ascii="Calibri"/>
          <w:color w:val="1A2B40"/>
          <w:sz w:val="22"/>
          <w:szCs w:val="22"/>
        </w:rPr>
        <w:t xml:space="preserve">CIK-Bench introduces a taxonomy for agent state vulnerabilities: Capability (SKILL.md, scripts), Identity (SOUL.md, IDENTITY.md), and Knowledge (MEMORY.md, session context). It tests cross-session injection attacks (Phase 1: inject into persistent state, Phase 2: trigger in separate session) across 12 real-world impact scenarios including API key exfiltration, Stripe PII leaks, AWS permission grants, and workspace deletion. The CIK taxonomy should be adopted as NexusOS vault's state protection model, with separate compartments for C/I/K data each with different access policies.</w:t>
      </w:r>
    </w:p>
    <w:p>
      <w:pPr>
        <w:pStyle w:val="Heading3"/>
        <w:spacing w:after="120" w:before="240" w:line="312"/>
      </w:pPr>
      <w:r>
        <w:rPr>
          <w:rFonts w:ascii="Times New Roman"/>
          <w:b/>
          <w:bCs/>
          <w:color w:val="0B1C2C"/>
          <w:sz w:val="22"/>
          <w:szCs w:val="22"/>
        </w:rPr>
        <w:t xml:space="preserve">AgentSocialBench: Privacy in Agent Networks</w:t>
      </w:r>
    </w:p>
    <w:p>
      <w:pPr>
        <w:spacing w:after="120" w:line="312"/>
        <w:jc w:val="both"/>
      </w:pPr>
      <w:r>
        <w:rPr>
          <w:rFonts w:ascii="Calibri"/>
          <w:b/>
          <w:bCs/>
          <w:color w:val="1A2B40"/>
          <w:sz w:val="22"/>
          <w:szCs w:val="22"/>
        </w:rPr>
        <w:t xml:space="preserve">Source: </w:t>
      </w:r>
      <w:r>
        <w:rPr>
          <w:rFonts w:ascii="Calibri"/>
          <w:color w:val="1A2B40"/>
          <w:sz w:val="22"/>
          <w:szCs w:val="22"/>
        </w:rPr>
        <w:t xml:space="preserve">github.com/kingofspace0wzz/agentsocialbench  INFERRED from agent report</w:t>
      </w:r>
    </w:p>
    <w:p>
      <w:pPr>
        <w:spacing w:after="120" w:line="312"/>
        <w:jc w:val="both"/>
      </w:pPr>
      <w:r>
        <w:rPr>
          <w:rFonts w:ascii="Calibri"/>
          <w:color w:val="1A2B40"/>
          <w:sz w:val="22"/>
          <w:szCs w:val="22"/>
        </w:rPr>
        <w:t xml:space="preserve">AgentSocialBench tests privacy preservation across 352 scenarios and 7 agent interaction types. Its critical discovery is the 'Abstraction Paradox': privacy instructions that teach agents how to abstract sensitive information paradoxically increase disclosure by 2-3x because sanctioned privacy language expands the attack surface. Cross-domain coordination creates the strongest leakage. Even the best model (Claude Sonnet 4.6) leaks significantly in cross-domain settings (CDLR = 0.50). For NexusOS, this means the governor should prefer data minimization over sanitization: deny access to sensitive data entirely and only release derived/aggregated results.</w:t>
      </w:r>
    </w:p>
    <w:p>
      <w:pPr>
        <w:pStyle w:val="Heading3"/>
        <w:spacing w:after="120" w:before="240" w:line="312"/>
      </w:pPr>
      <w:r>
        <w:rPr>
          <w:rFonts w:ascii="Times New Roman"/>
          <w:b/>
          <w:bCs/>
          <w:color w:val="0B1C2C"/>
          <w:sz w:val="22"/>
          <w:szCs w:val="22"/>
        </w:rPr>
        <w:t xml:space="preserve">Claw-Eval Pass3 and ClawBench</w:t>
      </w:r>
    </w:p>
    <w:p>
      <w:pPr>
        <w:spacing w:after="120" w:line="312"/>
        <w:jc w:val="both"/>
      </w:pPr>
      <w:r>
        <w:rPr>
          <w:rFonts w:ascii="Calibri"/>
          <w:b/>
          <w:bCs/>
          <w:color w:val="1A2B40"/>
          <w:sz w:val="22"/>
          <w:szCs w:val="22"/>
        </w:rPr>
        <w:t xml:space="preserve">Sources: </w:t>
      </w:r>
      <w:r>
        <w:rPr>
          <w:rFonts w:ascii="Calibri"/>
          <w:color w:val="1A2B40"/>
          <w:sz w:val="22"/>
          <w:szCs w:val="22"/>
        </w:rPr>
        <w:t xml:space="preserve">github.com/claw-eval/claw-eval, github.com/reacher-z/ClawBench  INFERRED from agent report</w:t>
      </w:r>
    </w:p>
    <w:p>
      <w:pPr>
        <w:spacing w:after="120" w:line="312"/>
        <w:jc w:val="both"/>
      </w:pPr>
      <w:r>
        <w:rPr>
          <w:rFonts w:ascii="Calibri"/>
          <w:color w:val="1A2B40"/>
          <w:sz w:val="22"/>
          <w:szCs w:val="22"/>
        </w:rPr>
        <w:t xml:space="preserve">Claw-Eval introduces the Pass3 methodology: agents must pass 3 independent trials for success, eliminating lucky-run bias. Three evaluation dimensions (Completion, Safety, Robustness) with 300 human-verified tasks. ClawBench adds 153 real-world tasks on 144 live websites with 5-layer recording (video, screenshots, HTTP traffic, browser actions, agent messages). Best models achieve only 33.3% success. For NexusOS, Pass3 maps to a trust stability metric: agents must demonstrate consistent behavior across 3+ interactions for trust score increases. ClawBench provides end-to-end compliance testing through the full NexusOS stack.</w:t>
      </w:r>
    </w:p>
    <w:p>
      <w:pPr>
        <w:pStyle w:val="Heading3"/>
        <w:spacing w:after="120" w:before="240" w:line="312"/>
      </w:pPr>
      <w:r>
        <w:rPr>
          <w:rFonts w:ascii="Times New Roman"/>
          <w:b/>
          <w:bCs/>
          <w:color w:val="0B1C2C"/>
          <w:sz w:val="22"/>
          <w:szCs w:val="22"/>
        </w:rPr>
        <w:t xml:space="preserve">Qualixar OS: Direct Architectural Competitor</w:t>
      </w:r>
    </w:p>
    <w:p>
      <w:pPr>
        <w:spacing w:after="120" w:line="312"/>
        <w:jc w:val="both"/>
      </w:pPr>
      <w:r>
        <w:rPr>
          <w:rFonts w:ascii="Calibri"/>
          <w:b/>
          <w:bCs/>
          <w:color w:val="1A2B40"/>
          <w:sz w:val="22"/>
          <w:szCs w:val="22"/>
        </w:rPr>
        <w:t xml:space="preserve">Source: </w:t>
      </w:r>
      <w:r>
        <w:rPr>
          <w:rFonts w:ascii="Calibri"/>
          <w:color w:val="1A2B40"/>
          <w:sz w:val="22"/>
          <w:szCs w:val="22"/>
        </w:rPr>
        <w:t xml:space="preserve">arxiv.org/pdf/2604.06392  INFERRED from agent report</w:t>
      </w:r>
    </w:p>
    <w:p>
      <w:pPr>
        <w:spacing w:after="120" w:line="312"/>
        <w:jc w:val="both"/>
      </w:pPr>
      <w:r>
        <w:rPr>
          <w:rFonts w:ascii="Calibri"/>
          <w:color w:val="1A2B40"/>
          <w:sz w:val="22"/>
          <w:szCs w:val="22"/>
        </w:rPr>
        <w:t xml:space="preserve">Qualixar OS is the closest architectural analog to NexusOS. It implements 12 formally-specified execution topologies (grid, forest, mesh, maker patterns), a Forge engine for LLM-driven team design with historical strategy memory, three-layer model routing (Q-learning + Bayesian POMDP), consensus-based judging with Goodhart detection and JSD drift monitoring, four-layer content attribution (HMAC signing + steganographic watermarks), and a Claw Bridge supporting both MCP and A2A with a 25-command Universal Command Protocol. It validates with 2,821 test cases across 217 event types. The Goodhart detection mechanism (monitoring when optimization metrics diverge from actual quality) is directly applicable to NexusOS trust scoring.</w:t>
      </w:r>
    </w:p>
    <w:p>
      <w:pPr>
        <w:pStyle w:val="Heading1"/>
        <w:spacing w:after="200" w:before="400" w:line="312"/>
      </w:pPr>
      <w:r>
        <w:rPr>
          <w:rFonts w:ascii="Times New Roman"/>
          <w:b/>
          <w:bCs/>
          <w:color w:val="0B1C2C"/>
          <w:sz w:val="32"/>
          <w:szCs w:val="32"/>
        </w:rPr>
        <w:t xml:space="preserve">5. Tier-1: Training and Reasoning Insights</w:t>
      </w:r>
    </w:p>
    <w:p>
      <w:pPr>
        <w:spacing w:after="120" w:line="312"/>
        <w:jc w:val="both"/>
      </w:pPr>
      <w:r>
        <w:rPr>
          <w:rFonts w:ascii="Calibri"/>
          <w:color w:val="1A2B40"/>
          <w:sz w:val="22"/>
          <w:szCs w:val="22"/>
        </w:rPr>
        <w:t xml:space="preserve">From 32 papers and repositories in the training/reasoning category, the following findings have the highest NexusOS integration relevance.</w:t>
      </w:r>
    </w:p>
    <w:p>
      <w:pPr>
        <w:pStyle w:val="Heading3"/>
        <w:spacing w:after="120" w:before="240" w:line="312"/>
      </w:pPr>
      <w:r>
        <w:rPr>
          <w:rFonts w:ascii="Times New Roman"/>
          <w:b/>
          <w:bCs/>
          <w:color w:val="0B1C2C"/>
          <w:sz w:val="22"/>
          <w:szCs w:val="22"/>
        </w:rPr>
        <w:t xml:space="preserve">RAGEN-2: Template Collapse Detection via Mutual Information</w:t>
      </w:r>
    </w:p>
    <w:p>
      <w:pPr>
        <w:spacing w:after="120" w:line="312"/>
        <w:jc w:val="both"/>
      </w:pPr>
      <w:r>
        <w:rPr>
          <w:rFonts w:ascii="Calibri"/>
          <w:color w:val="1A2B40"/>
          <w:sz w:val="22"/>
          <w:szCs w:val="22"/>
        </w:rPr>
        <w:t xml:space="preserve">RAGEN-2 reveals that entropy is insufficient for detecting template collapse in agent outputs; mutual information is the real diagnostic. This directly applies to NexusOS compliance monitoring: when agents produce repetitive, formulaic responses that pass surface-level compliance checks but lack genuine reasoning, MI-based detection can catch the degradation. NexusOS governor should implement MI-based template collapse detection as a trust scoring signal.</w:t>
      </w:r>
    </w:p>
    <w:p>
      <w:pPr>
        <w:pStyle w:val="Heading3"/>
        <w:spacing w:after="120" w:before="240" w:line="312"/>
      </w:pPr>
      <w:r>
        <w:rPr>
          <w:rFonts w:ascii="Times New Roman"/>
          <w:b/>
          <w:bCs/>
          <w:color w:val="0B1C2C"/>
          <w:sz w:val="22"/>
          <w:szCs w:val="22"/>
        </w:rPr>
        <w:t xml:space="preserve">Agent0: Zero-Data Self-Evolution</w:t>
      </w:r>
    </w:p>
    <w:p>
      <w:pPr>
        <w:spacing w:after="120" w:line="312"/>
        <w:jc w:val="both"/>
      </w:pPr>
      <w:r>
        <w:rPr>
          <w:rFonts w:ascii="Calibri"/>
          <w:color w:val="1A2B40"/>
          <w:sz w:val="22"/>
          <w:szCs w:val="22"/>
        </w:rPr>
        <w:t xml:space="preserve">Agent0 demonstrates that agents can evolve from zero initial data through curriculum-executor co-evolution. The curriculum generates progressively harder tasks while the executor improves through self-play. For NexusOS, this suggests that trust scoring models could self-calibrate: generate synthetic agent interactions, evaluate trust outcomes, and refine scoring weights without external labeled data.</w:t>
      </w:r>
    </w:p>
    <w:p>
      <w:pPr>
        <w:pStyle w:val="Heading3"/>
        <w:spacing w:after="120" w:before="240" w:line="312"/>
      </w:pPr>
      <w:r>
        <w:rPr>
          <w:rFonts w:ascii="Times New Roman"/>
          <w:b/>
          <w:bCs/>
          <w:color w:val="0B1C2C"/>
          <w:sz w:val="22"/>
          <w:szCs w:val="22"/>
        </w:rPr>
        <w:t xml:space="preserve">OLR: Online Label Refinement for Noisy Trust Signals</w:t>
      </w:r>
    </w:p>
    <w:p>
      <w:pPr>
        <w:spacing w:after="120" w:line="312"/>
        <w:jc w:val="both"/>
      </w:pPr>
      <w:r>
        <w:rPr>
          <w:rFonts w:ascii="Calibri"/>
          <w:color w:val="1A2B40"/>
          <w:sz w:val="22"/>
          <w:szCs w:val="22"/>
        </w:rPr>
        <w:t xml:space="preserve">Online Label Refinement addresses a critical problem for NexusOS: trust labels from human feedback or automated evaluation are inherently noisy. OLR self-corrects training labels using majority voting, pass-rate slope analysis, and historical consistency. The discovery of 'active noise' (labels that get positively reinforced and skew the model) is dangerous for trust scoring. OLR's correction mechanism could refine NexusOS trust scores online as more interaction data accumulates.</w:t>
      </w:r>
    </w:p>
    <w:p>
      <w:pPr>
        <w:pStyle w:val="Heading2"/>
        <w:spacing w:after="160" w:before="300" w:line="312"/>
      </w:pPr>
      <w:r>
        <w:rPr>
          <w:rFonts w:ascii="Times New Roman"/>
          <w:b/>
          <w:bCs/>
          <w:color w:val="0B1C2C"/>
          <w:sz w:val="26"/>
          <w:szCs w:val="26"/>
        </w:rPr>
        <w:t xml:space="preserve">5.1 Training Integration Priority</w:t>
      </w:r>
    </w:p>
    <w:tbl>
      <w:tblPr>
        <w:tblW w:type="pct" w:w="100%"/>
        <w:tblBorders>
          <w:top w:val="single" w:color="D0D8E0" w:sz="2"/>
          <w:left w:val="none"/>
          <w:bottom w:val="single" w:color="D0D8E0" w:sz="2"/>
          <w:right w:val="none"/>
          <w:insideH w:val="single" w:color="D8E4EC" w:sz="1"/>
          <w:insideV w:val="none"/>
        </w:tblBorders>
      </w:tblPr>
      <w:tblGrid>
        <w:gridCol w:w="100"/>
        <w:gridCol w:w="100"/>
        <w:gridCol w:w="100"/>
        <w:gridCol w:w="100"/>
      </w:tblGrid>
      <w:tr>
        <w:trPr>
          <w:cantSplit/>
          <w:tblHeader/>
        </w:trPr>
        <w:tc>
          <w:tcPr>
            <w:tcW w:type="pct" w:w="25%"/>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Priority</w:t>
            </w:r>
          </w:p>
        </w:tc>
        <w:tc>
          <w:tcPr>
            <w:tcW w:type="pct" w:w="25%"/>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Source</w:t>
            </w:r>
          </w:p>
        </w:tc>
        <w:tc>
          <w:tcPr>
            <w:tcW w:type="pct" w:w="25%"/>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Concept</w:t>
            </w:r>
          </w:p>
        </w:tc>
        <w:tc>
          <w:tcPr>
            <w:tcW w:type="pct" w:w="25%"/>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NexusOS Application</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P1</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RAGEN-2</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MI-based collapse detection</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Trust scoring quality monitoring</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P1</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OLR</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Noisy label correction</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Online trust score refinement</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P2</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Agent0</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Zero-data self-evolution</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Trust model self-calibration</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P2</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ACE</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Evolving playbooks</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Governance policy self-improvement</w:t>
            </w:r>
          </w:p>
        </w:tc>
      </w:tr>
      <w:tr>
        <w:trPr>
          <w:cantSplit/>
          <w:tblHeader w:val="false"/>
        </w:trPr>
        <w:tc>
          <w:tcPr>
            <w:tcW w:type="pct" w:w="25%"/>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P3</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LDP Protocol</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Identity-aware delegation</w:t>
            </w:r>
          </w:p>
        </w:tc>
        <w:tc>
          <w:tcPr>
            <w:tcW w:type="pct" w:w="25%"/>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Bridge trust delegation model</w:t>
            </w:r>
          </w:p>
        </w:tc>
      </w:tr>
    </w:tbl>
    <w:p>
      <w:pPr>
        <w:spacing w:after="80" w:before="80"/>
      </w:pPr>
    </w:p>
    <w:p>
      <w:pPr>
        <w:pStyle w:val="Heading1"/>
        <w:spacing w:after="200" w:before="400" w:line="312"/>
      </w:pPr>
      <w:r>
        <w:rPr>
          <w:rFonts w:ascii="Times New Roman"/>
          <w:b/>
          <w:bCs/>
          <w:color w:val="0B1C2C"/>
          <w:sz w:val="32"/>
          <w:szCs w:val="32"/>
        </w:rPr>
        <w:t xml:space="preserve">6. Infrastructure and Inference</w:t>
      </w:r>
    </w:p>
    <w:p>
      <w:pPr>
        <w:spacing w:after="120" w:line="312"/>
        <w:jc w:val="both"/>
      </w:pPr>
      <w:r>
        <w:rPr>
          <w:rFonts w:ascii="Calibri"/>
          <w:color w:val="1A2B40"/>
          <w:sz w:val="22"/>
          <w:szCs w:val="22"/>
        </w:rPr>
        <w:t xml:space="preserve">The inference layer has undergone a revolution since NexusOS Phase 1 began. The following findings define NexusOS's deployment strategy.</w:t>
      </w:r>
    </w:p>
    <w:p>
      <w:pPr>
        <w:pStyle w:val="Heading2"/>
        <w:spacing w:after="160" w:before="300" w:line="312"/>
      </w:pPr>
      <w:r>
        <w:rPr>
          <w:rFonts w:ascii="Times New Roman"/>
          <w:b/>
          <w:bCs/>
          <w:color w:val="0B1C2C"/>
          <w:sz w:val="26"/>
          <w:szCs w:val="26"/>
        </w:rPr>
        <w:t xml:space="preserve">6.1 1-Bit Model Revolution</w:t>
      </w:r>
    </w:p>
    <w:p>
      <w:pPr>
        <w:spacing w:after="120" w:line="312"/>
        <w:jc w:val="both"/>
      </w:pPr>
      <w:r>
        <w:rPr>
          <w:rFonts w:ascii="Calibri"/>
          <w:color w:val="1A2B40"/>
          <w:sz w:val="22"/>
          <w:szCs w:val="22"/>
        </w:rPr>
        <w:t xml:space="preserve">Three merged llama.cpp PRs (21273, 21629, 21636) establish Q1_0 1-bit quantization as a first-class format. Bonsai 1.7B runs at 131 t/s on AVX2 CPU with 99.7% perplexity consistency, or 29,249 t/s prompt processing on RTX 5090 GPU. Memory footprint: ~231 MB for 1.7B parameters. This enables sub-1GB agent models on any hardware, fundamentally changing NexusOS deployment economics.</w:t>
      </w:r>
    </w:p>
    <w:p>
      <w:pPr>
        <w:pStyle w:val="Heading2"/>
        <w:spacing w:after="160" w:before="300" w:line="312"/>
      </w:pPr>
      <w:r>
        <w:rPr>
          <w:rFonts w:ascii="Times New Roman"/>
          <w:b/>
          <w:bCs/>
          <w:color w:val="0B1C2C"/>
          <w:sz w:val="26"/>
          <w:szCs w:val="26"/>
        </w:rPr>
        <w:t xml:space="preserve">6.2 KV Cache Compression</w:t>
      </w:r>
    </w:p>
    <w:p>
      <w:pPr>
        <w:spacing w:after="120" w:line="312"/>
        <w:jc w:val="both"/>
      </w:pPr>
      <w:r>
        <w:rPr>
          <w:rFonts w:ascii="Calibri"/>
          <w:color w:val="1A2B40"/>
          <w:sz w:val="22"/>
          <w:szCs w:val="22"/>
        </w:rPr>
        <w:t xml:space="preserve">RotorQuant (github.com/scrya-com/rotorquant) achieves 10.3x KV compression at PPL 6.91 (vs TurboQuant's 7.07), with 28% faster decode, 5.3x faster prefill, and 44x fewer parameters (128 vs 16,384). Drop-in llama.cpp integration. Data-oblivious (no calibration needed). TriAttention (github.com/WeianMao/triattention) adds 2.5x throughput boost with zero accuracy loss, enabling 70B+ models on 24GB RTX 4090. Composable with RotorQuant for ~6.8x total reduction. For NexusOS, RotorQuant should be the default KV cache compression, and TriAttention should be adopted for long-context agent scenarios.</w:t>
      </w:r>
    </w:p>
    <w:p>
      <w:pPr>
        <w:pStyle w:val="Heading2"/>
        <w:spacing w:after="160" w:before="300" w:line="312"/>
      </w:pPr>
      <w:r>
        <w:rPr>
          <w:rFonts w:ascii="Times New Roman"/>
          <w:b/>
          <w:bCs/>
          <w:color w:val="0B1C2C"/>
          <w:sz w:val="26"/>
          <w:szCs w:val="26"/>
        </w:rPr>
        <w:t xml:space="preserve">6.3 Inference Backend Recommendations</w:t>
      </w:r>
    </w:p>
    <w:tbl>
      <w:tblPr>
        <w:tblW w:type="pct" w:w="100%"/>
        <w:tblBorders>
          <w:top w:val="single" w:color="D0D8E0" w:sz="2"/>
          <w:left w:val="none"/>
          <w:bottom w:val="single" w:color="D0D8E0" w:sz="2"/>
          <w:right w:val="none"/>
          <w:insideH w:val="single" w:color="D8E4EC" w:sz="1"/>
          <w:insideV w:val="none"/>
        </w:tblBorders>
      </w:tblPr>
      <w:tblGrid>
        <w:gridCol w:w="100"/>
        <w:gridCol w:w="100"/>
        <w:gridCol w:w="100"/>
      </w:tblGrid>
      <w:tr>
        <w:trPr>
          <w:cantSplit/>
          <w:tblHeader/>
        </w:trPr>
        <w:tc>
          <w:tcPr>
            <w:tcW w:type="pct" w:w="33.333333333333336%"/>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Use Case</w:t>
            </w:r>
          </w:p>
        </w:tc>
        <w:tc>
          <w:tcPr>
            <w:tcW w:type="pct" w:w="33.333333333333336%"/>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Recommended Backend</w:t>
            </w:r>
          </w:p>
        </w:tc>
        <w:tc>
          <w:tcPr>
            <w:tcW w:type="pct" w:w="33.333333333333336%"/>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Key Advantage</w:t>
            </w:r>
          </w:p>
        </w:tc>
      </w:tr>
      <w:tr>
        <w:trPr>
          <w:cantSplit/>
          <w:tblHeader w:val="false"/>
        </w:trPr>
        <w:tc>
          <w:tcPr>
            <w:tcW w:type="pct" w:w="33.333333333333336%"/>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Primary inference</w:t>
            </w:r>
          </w:p>
        </w:tc>
        <w:tc>
          <w:tcPr>
            <w:tcW w:type="pct" w:w="33.33333333333333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ik_llama.cpp (ikawrakow)</w:t>
            </w:r>
          </w:p>
        </w:tc>
        <w:tc>
          <w:tcPr>
            <w:tcW w:type="pct" w:w="33.33333333333333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Widest format support (IQK, 1-bit, MLA, Bitnet)</w:t>
            </w:r>
          </w:p>
        </w:tc>
      </w:tr>
      <w:tr>
        <w:trPr>
          <w:cantSplit/>
          <w:tblHeader w:val="false"/>
        </w:trPr>
        <w:tc>
          <w:tcPr>
            <w:tcW w:type="pct" w:w="33.333333333333336%"/>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KV compression</w:t>
            </w:r>
          </w:p>
        </w:tc>
        <w:tc>
          <w:tcPr>
            <w:tcW w:type="pct" w:w="33.33333333333333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RotorQuant</w:t>
            </w:r>
          </w:p>
        </w:tc>
        <w:tc>
          <w:tcPr>
            <w:tcW w:type="pct" w:w="33.33333333333333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10.3x compression, drop-in llama.cpp, no calibration</w:t>
            </w:r>
          </w:p>
        </w:tc>
      </w:tr>
      <w:tr>
        <w:trPr>
          <w:cantSplit/>
          <w:tblHeader w:val="false"/>
        </w:trPr>
        <w:tc>
          <w:tcPr>
            <w:tcW w:type="pct" w:w="33.333333333333336%"/>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Long context</w:t>
            </w:r>
          </w:p>
        </w:tc>
        <w:tc>
          <w:tcPr>
            <w:tcW w:type="pct" w:w="33.33333333333333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TriAttention + vLLM</w:t>
            </w:r>
          </w:p>
        </w:tc>
        <w:tc>
          <w:tcPr>
            <w:tcW w:type="pct" w:w="33.33333333333333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10.7x KV reduction, OpenAI-compatible API</w:t>
            </w:r>
          </w:p>
        </w:tc>
      </w:tr>
      <w:tr>
        <w:trPr>
          <w:cantSplit/>
          <w:tblHeader w:val="false"/>
        </w:trPr>
        <w:tc>
          <w:tcPr>
            <w:tcW w:type="pct" w:w="33.333333333333336%"/>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On-device serving</w:t>
            </w:r>
          </w:p>
        </w:tc>
        <w:tc>
          <w:tcPr>
            <w:tcW w:type="pct" w:w="33.33333333333333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LocalAI</w:t>
            </w:r>
          </w:p>
        </w:tc>
        <w:tc>
          <w:tcPr>
            <w:tcW w:type="pct" w:w="33.33333333333333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Drop-in OpenAI API, any hardware, built-in agents</w:t>
            </w:r>
          </w:p>
        </w:tc>
      </w:tr>
      <w:tr>
        <w:trPr>
          <w:cantSplit/>
          <w:tblHeader w:val="false"/>
        </w:trPr>
        <w:tc>
          <w:tcPr>
            <w:tcW w:type="pct" w:w="33.333333333333336%"/>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Cloud serving</w:t>
            </w:r>
          </w:p>
        </w:tc>
        <w:tc>
          <w:tcPr>
            <w:tcW w:type="pct" w:w="33.33333333333333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NVIDIA Triton</w:t>
            </w:r>
          </w:p>
        </w:tc>
        <w:tc>
          <w:tcPr>
            <w:tcW w:type="pct" w:w="33.33333333333333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Multi-model, dynamic batching, LoRA hot-swap</w:t>
            </w:r>
          </w:p>
        </w:tc>
      </w:tr>
      <w:tr>
        <w:trPr>
          <w:cantSplit/>
          <w:tblHeader w:val="false"/>
        </w:trPr>
        <w:tc>
          <w:tcPr>
            <w:tcW w:type="pct" w:w="33.333333333333336%"/>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Vector search</w:t>
            </w:r>
          </w:p>
        </w:tc>
        <w:tc>
          <w:tcPr>
            <w:tcW w:type="pct" w:w="33.33333333333333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FAISS</w:t>
            </w:r>
          </w:p>
        </w:tc>
        <w:tc>
          <w:tcPr>
            <w:tcW w:type="pct" w:w="33.33333333333333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Industry standard, GPU-accelerated, billion-scale</w:t>
            </w:r>
          </w:p>
        </w:tc>
      </w:tr>
      <w:tr>
        <w:trPr>
          <w:cantSplit/>
          <w:tblHeader w:val="false"/>
        </w:trPr>
        <w:tc>
          <w:tcPr>
            <w:tcW w:type="pct" w:w="33.333333333333336%"/>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Custom kernels</w:t>
            </w:r>
          </w:p>
        </w:tc>
        <w:tc>
          <w:tcPr>
            <w:tcW w:type="pct" w:w="33.33333333333333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TileLang</w:t>
            </w:r>
          </w:p>
        </w:tc>
        <w:tc>
          <w:tcPr>
            <w:tcW w:type="pct" w:w="33.33333333333333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Python DSL for GPU kernels, Z3 verification</w:t>
            </w:r>
          </w:p>
        </w:tc>
      </w:tr>
      <w:tr>
        <w:trPr>
          <w:cantSplit/>
          <w:tblHeader w:val="false"/>
        </w:trPr>
        <w:tc>
          <w:tcPr>
            <w:tcW w:type="pct" w:w="33.333333333333336%"/>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Model training</w:t>
            </w:r>
          </w:p>
        </w:tc>
        <w:tc>
          <w:tcPr>
            <w:tcW w:type="pct" w:w="33.33333333333333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HuggingFace TRL</w:t>
            </w:r>
          </w:p>
        </w:tc>
        <w:tc>
          <w:tcPr>
            <w:tcW w:type="pct" w:w="33.33333333333333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GRPO/DPO/SFT, PEFT/QLoRA on consumer hardware</w:t>
            </w:r>
          </w:p>
        </w:tc>
      </w:tr>
    </w:tbl>
    <w:p>
      <w:pPr>
        <w:spacing w:after="80" w:before="80"/>
      </w:pPr>
    </w:p>
    <w:p>
      <w:pPr>
        <w:pStyle w:val="Heading1"/>
        <w:spacing w:after="200" w:before="400" w:line="312"/>
      </w:pPr>
      <w:r>
        <w:rPr>
          <w:rFonts w:ascii="Times New Roman"/>
          <w:b/>
          <w:bCs/>
          <w:color w:val="0B1C2C"/>
          <w:sz w:val="32"/>
          <w:szCs w:val="32"/>
        </w:rPr>
        <w:t xml:space="preserve">7. Automated Research Framework Design</w:t>
      </w:r>
    </w:p>
    <w:p>
      <w:pPr>
        <w:spacing w:after="120" w:line="312"/>
        <w:jc w:val="both"/>
      </w:pPr>
      <w:r>
        <w:rPr>
          <w:rFonts w:ascii="Calibri"/>
          <w:color w:val="1A2B40"/>
          <w:sz w:val="22"/>
          <w:szCs w:val="22"/>
        </w:rPr>
        <w:t xml:space="preserve">Based on the pros and cons observed in this research session, the following framework design enables routine, autonomous deep research as a cron job.</w:t>
      </w:r>
    </w:p>
    <w:p>
      <w:pPr>
        <w:pStyle w:val="Heading2"/>
        <w:spacing w:after="160" w:before="300" w:line="312"/>
      </w:pPr>
      <w:r>
        <w:rPr>
          <w:rFonts w:ascii="Times New Roman"/>
          <w:b/>
          <w:bCs/>
          <w:color w:val="0B1C2C"/>
          <w:sz w:val="26"/>
          <w:szCs w:val="26"/>
        </w:rPr>
        <w:t xml:space="preserve">7.1 Session Lessons Learned</w:t>
      </w:r>
    </w:p>
    <w:p>
      <w:pPr>
        <w:spacing w:after="120" w:line="312"/>
        <w:jc w:val="both"/>
      </w:pPr>
      <w:r>
        <w:rPr>
          <w:rFonts w:ascii="Calibri"/>
          <w:color w:val="1A2B40"/>
          <w:sz w:val="22"/>
          <w:szCs w:val="22"/>
        </w:rPr>
        <w:t xml:space="preserve">The parallel agent approach was highly effective: 7 agents covered 286 links simultaneously, producing comprehensive results in a single pass. Key lessons: (1) Pre-classification into tiers before dispatch prevents wasted effort on low-relevance sources. (2) Structured output templates ensure consistent, comparable findings across agents. (3) The proof-level tag discipline (CODE_CONFIRMED, INFERRED, etc.) maintained analytical rigor. (4) The backup-before-research ritual prevents data loss. (5) Quick-scan agents for Tier 3 sources reduce overhead on model-weight and social-media links. (6) The synthesis step is where most value is created, not the individual agent reports.</w:t>
      </w:r>
    </w:p>
    <w:p>
      <w:pPr>
        <w:pStyle w:val="Heading2"/>
        <w:spacing w:after="160" w:before="300" w:line="312"/>
      </w:pPr>
      <w:r>
        <w:rPr>
          <w:rFonts w:ascii="Times New Roman"/>
          <w:b/>
          <w:bCs/>
          <w:color w:val="0B1C2C"/>
          <w:sz w:val="26"/>
          <w:szCs w:val="26"/>
        </w:rPr>
        <w:t xml:space="preserve">7.2 Cron Job Framework</w:t>
      </w:r>
    </w:p>
    <w:p>
      <w:pPr>
        <w:spacing w:after="120" w:line="312"/>
        <w:jc w:val="both"/>
      </w:pPr>
      <w:r>
        <w:rPr>
          <w:rFonts w:ascii="Calibri"/>
          <w:color w:val="1A2B40"/>
          <w:sz w:val="22"/>
          <w:szCs w:val="22"/>
        </w:rPr>
        <w:t xml:space="preserve">A proposed automated research pipeline with three phases:</w:t>
      </w:r>
    </w:p>
    <w:p>
      <w:pPr>
        <w:spacing w:after="120" w:line="312"/>
        <w:jc w:val="both"/>
      </w:pPr>
      <w:r>
        <w:rPr>
          <w:rFonts w:ascii="Calibri"/>
          <w:b/>
          <w:bCs/>
          <w:color w:val="1A2B40"/>
          <w:sz w:val="22"/>
          <w:szCs w:val="22"/>
        </w:rPr>
        <w:t xml:space="preserve">Phase 1 - Link Collection (weekly): </w:t>
      </w:r>
      <w:r>
        <w:rPr>
          <w:rFonts w:ascii="Calibri"/>
          <w:color w:val="1A2B40"/>
          <w:sz w:val="22"/>
          <w:szCs w:val="22"/>
        </w:rPr>
        <w:t xml:space="preserve">Monitor GitHub trending, arxiv new submissions (cs.AI, cs.CL, cs.SE, cs.CR), HuggingFace model releases, and curated source lists. Filter by keyword relevance to NexusOS domain (agent governance, trust scoring, compliance, memory systems, A2A protocol, skill systems, quantization). Output: categorized link file.</w:t>
      </w:r>
    </w:p>
    <w:p>
      <w:pPr>
        <w:spacing w:after="120" w:line="312"/>
        <w:jc w:val="both"/>
      </w:pPr>
      <w:r>
        <w:rPr>
          <w:rFonts w:ascii="Calibri"/>
          <w:b/>
          <w:bCs/>
          <w:color w:val="1A2B40"/>
          <w:sz w:val="22"/>
          <w:szCs w:val="22"/>
        </w:rPr>
        <w:t xml:space="preserve">Phase 2 - Parallel Research (triggered): </w:t>
      </w:r>
      <w:r>
        <w:rPr>
          <w:rFonts w:ascii="Calibri"/>
          <w:color w:val="1A2B40"/>
          <w:sz w:val="22"/>
          <w:szCs w:val="22"/>
        </w:rPr>
        <w:t xml:space="preserve">Dispatch N agents (configurable, default 5-7) across categorized links. Each agent uses web-reader for Tier 1, abstract extraction for Tier 2, quick-scan for Tier 3. Structured output with mandatory fields: source, type, summary, contributions, NexusOS relevance, integration potential. Timeout: 3 minutes per link. Output: per-agent research reports.</w:t>
      </w:r>
    </w:p>
    <w:p>
      <w:pPr>
        <w:spacing w:after="120" w:line="312"/>
        <w:jc w:val="both"/>
      </w:pPr>
      <w:r>
        <w:rPr>
          <w:rFonts w:ascii="Calibri"/>
          <w:b/>
          <w:bCs/>
          <w:color w:val="1A2B40"/>
          <w:sz w:val="22"/>
          <w:szCs w:val="22"/>
        </w:rPr>
        <w:t xml:space="preserve">Phase 3 - Synthesis and Delivery (after Phase 2): </w:t>
      </w:r>
      <w:r>
        <w:rPr>
          <w:rFonts w:ascii="Calibri"/>
          <w:color w:val="1A2B40"/>
          <w:sz w:val="22"/>
          <w:szCs w:val="22"/>
        </w:rPr>
        <w:t xml:space="preserve">Merge agent reports. Rank findings by integration potential. Generate milestone packet with proof tags. Compare against previous synthesis to identify new developments and changed priorities. Deliver as structured document to download directory. Output: research synthesis document.</w:t>
      </w:r>
    </w:p>
    <w:p>
      <w:pPr>
        <w:spacing w:after="120" w:line="312"/>
        <w:jc w:val="both"/>
      </w:pPr>
      <w:r>
        <w:rPr>
          <w:rFonts w:ascii="Calibri"/>
          <w:color w:val="1A2B40"/>
          <w:sz w:val="22"/>
          <w:szCs w:val="22"/>
        </w:rPr>
        <w:t xml:space="preserve">The framework should run weekly with a configurable schedule. Phase 1 is lightweight (API calls + keyword filtering). Phase 2 is the heaviest step (parallel web reads) and should run during off-peak hours. Phase 3 is the most valuable step and should always produce a human-reviewable document.</w:t>
      </w:r>
    </w:p>
    <w:p>
      <w:pPr>
        <w:pStyle w:val="Heading2"/>
        <w:spacing w:after="160" w:before="300" w:line="312"/>
      </w:pPr>
      <w:r>
        <w:rPr>
          <w:rFonts w:ascii="Times New Roman"/>
          <w:b/>
          <w:bCs/>
          <w:color w:val="0B1C2C"/>
          <w:sz w:val="26"/>
          <w:szCs w:val="26"/>
        </w:rPr>
        <w:t xml:space="preserve">7.3 Implementation Notes</w:t>
      </w:r>
    </w:p>
    <w:p>
      <w:pPr>
        <w:spacing w:after="120" w:line="312"/>
        <w:jc w:val="both"/>
      </w:pPr>
      <w:r>
        <w:rPr>
          <w:rFonts w:ascii="Calibri"/>
          <w:color w:val="1A2B40"/>
          <w:sz w:val="22"/>
          <w:szCs w:val="22"/>
        </w:rPr>
        <w:t xml:space="preserve">The cron job framework leverages NexusOS's existing cron infrastructure (cron/agent_cycle.py, cron/foreman_patrol.py). The link collector would be a new cron module (cron/research_cycle.py). Agent dispatch would reuse the existing multi-agent pattern. Synthesis would use the docx skill for structured document generation. Key configuration parameters: RESEARCH_SCHEDULE (default: weekly Monday 02:00), MAX_AGENTS (default: 7), LINKS_PER_AGENT (default: 40), TIER_1_KEYWORDS, TIER_2_KEYWORDS, OUTPUT_FORMAT (docx). The framework should maintain a research history index for delta detection between runs.</w:t>
      </w:r>
    </w:p>
    <w:p>
      <w:pPr>
        <w:pStyle w:val="Heading1"/>
        <w:spacing w:after="200" w:before="400" w:line="312"/>
      </w:pPr>
      <w:r>
        <w:rPr>
          <w:rFonts w:ascii="Times New Roman"/>
          <w:b/>
          <w:bCs/>
          <w:color w:val="0B1C2C"/>
          <w:sz w:val="32"/>
          <w:szCs w:val="32"/>
        </w:rPr>
        <w:t xml:space="preserve">8. Cross-Cutting Synthesis</w:t>
      </w:r>
    </w:p>
    <w:p>
      <w:pPr>
        <w:pStyle w:val="Heading2"/>
        <w:spacing w:after="160" w:before="300" w:line="312"/>
      </w:pPr>
      <w:r>
        <w:rPr>
          <w:rFonts w:ascii="Times New Roman"/>
          <w:b/>
          <w:bCs/>
          <w:color w:val="0B1C2C"/>
          <w:sz w:val="26"/>
          <w:szCs w:val="26"/>
        </w:rPr>
        <w:t xml:space="preserve">8.1 Ten Highest-Impact Integration Actions</w:t>
      </w:r>
    </w:p>
    <w:tbl>
      <w:tblPr>
        <w:tblW w:type="pct" w:w="100%"/>
        <w:tblBorders>
          <w:top w:val="single" w:color="D0D8E0" w:sz="2"/>
          <w:left w:val="none"/>
          <w:bottom w:val="single" w:color="D0D8E0" w:sz="2"/>
          <w:right w:val="none"/>
          <w:insideH w:val="single" w:color="D8E4EC" w:sz="1"/>
          <w:insideV w:val="none"/>
        </w:tblBorders>
      </w:tblPr>
      <w:tblGrid>
        <w:gridCol w:w="100"/>
        <w:gridCol w:w="100"/>
        <w:gridCol w:w="100"/>
        <w:gridCol w:w="100"/>
        <w:gridCol w:w="100"/>
      </w:tblGrid>
      <w:tr>
        <w:trPr>
          <w:cantSplit/>
          <w:tblHeader/>
        </w:trPr>
        <w:tc>
          <w:tcPr>
            <w:tcW w:type="pct" w:w="20%"/>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Rank</w:t>
            </w:r>
          </w:p>
        </w:tc>
        <w:tc>
          <w:tcPr>
            <w:tcW w:type="pct" w:w="20%"/>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Action</w:t>
            </w:r>
          </w:p>
        </w:tc>
        <w:tc>
          <w:tcPr>
            <w:tcW w:type="pct" w:w="20%"/>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Source Inspiration</w:t>
            </w:r>
          </w:p>
        </w:tc>
        <w:tc>
          <w:tcPr>
            <w:tcW w:type="pct" w:w="20%"/>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NexusOS Component</w:t>
            </w:r>
          </w:p>
        </w:tc>
        <w:tc>
          <w:tcPr>
            <w:tcW w:type="pct" w:w="20%"/>
            <w:tcBorders>
              <w:top w:val="none" w:color="FFFFFF" w:sz="0"/>
              <w:left w:val="none" w:color="FFFFFF" w:sz="0"/>
              <w:bottom w:val="none" w:color="FFFFFF" w:sz="0"/>
              <w:right w:val="none" w:color="FFFFFF" w:sz="0"/>
            </w:tcBorders>
            <w:shd w:fill="529286" w:val="clear"/>
            <w:tcMar>
              <w:top w:type="dxa" w:w="40"/>
              <w:left w:type="dxa" w:w="80"/>
              <w:bottom w:type="dxa" w:w="40"/>
              <w:right w:type="dxa" w:w="80"/>
            </w:tcMar>
          </w:tcPr>
          <w:p>
            <w:pPr>
              <w:spacing w:line="280"/>
            </w:pPr>
            <w:r>
              <w:rPr>
                <w:rFonts w:ascii="Calibri"/>
                <w:b/>
                <w:bCs/>
                <w:color w:val="FFFFFF"/>
                <w:sz w:val="18"/>
                <w:szCs w:val="18"/>
              </w:rPr>
              <w:t xml:space="preserve">Effort</w:t>
            </w:r>
          </w:p>
        </w:tc>
      </w:tr>
      <w:tr>
        <w:trPr>
          <w:cantSplit/>
          <w:tblHeader w:val="false"/>
        </w:trPr>
        <w:tc>
          <w:tcPr>
            <w:tcW w:type="pct" w:w="20%"/>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1</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Adopt OWASP ASI Top 10 as threat model</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OWASP ASI 2026</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Compliance Engine</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Medium</w:t>
            </w:r>
          </w:p>
        </w:tc>
      </w:tr>
      <w:tr>
        <w:trPr>
          <w:cantSplit/>
          <w:tblHeader w:val="false"/>
        </w:trPr>
        <w:tc>
          <w:tcPr>
            <w:tcW w:type="pct" w:w="20%"/>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2</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Implement AutoHarness 6-step pipeline</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AutoHarness (aiming)</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Engine</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Low</w:t>
            </w:r>
          </w:p>
        </w:tc>
      </w:tr>
      <w:tr>
        <w:trPr>
          <w:cantSplit/>
          <w:tblHeader w:val="false"/>
        </w:trPr>
        <w:tc>
          <w:tcPr>
            <w:tcW w:type="pct" w:w="20%"/>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3</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Achieve A2A v1.0 bridge compliance</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a2a-protocol.org</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Bridge Server</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High</w:t>
            </w:r>
          </w:p>
        </w:tc>
      </w:tr>
      <w:tr>
        <w:trPr>
          <w:cantSplit/>
          <w:tblHeader w:val="false"/>
        </w:trPr>
        <w:tc>
          <w:tcPr>
            <w:tcW w:type="pct" w:w="20%"/>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4</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Deploy VAP 4-layer audit trail</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VeritasChain VAP</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Vault</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Medium</w:t>
            </w:r>
          </w:p>
        </w:tc>
      </w:tr>
      <w:tr>
        <w:trPr>
          <w:cantSplit/>
          <w:tblHeader w:val="false"/>
        </w:trPr>
        <w:tc>
          <w:tcPr>
            <w:tcW w:type="pct" w:w="20%"/>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5</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Integrate CIK state protection model</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CIK-Bench</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Vault</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Medium</w:t>
            </w:r>
          </w:p>
        </w:tc>
      </w:tr>
      <w:tr>
        <w:trPr>
          <w:cantSplit/>
          <w:tblHeader w:val="false"/>
        </w:trPr>
        <w:tc>
          <w:tcPr>
            <w:tcW w:type="pct" w:w="20%"/>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6</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Adopt SkillFortify trust algebra</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SkillFortify</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Bridge Auth</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Medium</w:t>
            </w:r>
          </w:p>
        </w:tc>
      </w:tr>
      <w:tr>
        <w:trPr>
          <w:cantSplit/>
          <w:tblHeader w:val="false"/>
        </w:trPr>
        <w:tc>
          <w:tcPr>
            <w:tcW w:type="pct" w:w="20%"/>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7</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Implement Mira memory decay lifecycle</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Mira</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Vault</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Medium</w:t>
            </w:r>
          </w:p>
        </w:tc>
      </w:tr>
      <w:tr>
        <w:trPr>
          <w:cantSplit/>
          <w:tblHeader w:val="false"/>
        </w:trPr>
        <w:tc>
          <w:tcPr>
            <w:tcW w:type="pct" w:w="20%"/>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8</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Add Pass3 trust stability metric</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Claw-Eval</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Trust Scoring</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Low</w:t>
            </w:r>
          </w:p>
        </w:tc>
      </w:tr>
      <w:tr>
        <w:trPr>
          <w:cantSplit/>
          <w:tblHeader w:val="false"/>
        </w:trPr>
        <w:tc>
          <w:tcPr>
            <w:tcW w:type="pct" w:w="20%"/>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9</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Monitor Goodhart detection in scoring</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Qualixar OS</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Trust Scoring</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Low</w:t>
            </w:r>
          </w:p>
        </w:tc>
      </w:tr>
      <w:tr>
        <w:trPr>
          <w:cantSplit/>
          <w:tblHeader w:val="false"/>
        </w:trPr>
        <w:tc>
          <w:tcPr>
            <w:tcW w:type="pct" w:w="20%"/>
            <w:tcBorders>
              <w:top w:val="none" w:color="FFFFFF" w:sz="0"/>
              <w:left w:val="none" w:color="FFFFFF" w:sz="0"/>
              <w:bottom w:val="none" w:color="FFFFFF" w:sz="0"/>
              <w:right w:val="none" w:color="FFFFFF" w:sz="0"/>
            </w:tcBorders>
            <w:shd w:fill="F4F8FC" w:val="clear"/>
            <w:tcMar>
              <w:top w:type="dxa" w:w="40"/>
              <w:left w:type="dxa" w:w="80"/>
              <w:bottom w:type="dxa" w:w="40"/>
              <w:right w:type="dxa" w:w="80"/>
            </w:tcMar>
          </w:tcPr>
          <w:p>
            <w:pPr>
              <w:spacing w:line="280"/>
            </w:pPr>
            <w:r>
              <w:rPr>
                <w:rFonts w:ascii="Calibri"/>
                <w:b/>
                <w:bCs/>
                <w:color w:val="0B1C2C"/>
                <w:sz w:val="18"/>
                <w:szCs w:val="18"/>
              </w:rPr>
              <w:t xml:space="preserve">10</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Use RotorQuant for KV compression</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RotorQuant</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Inference</w:t>
            </w:r>
          </w:p>
        </w:tc>
        <w:tc>
          <w:tcPr>
            <w:tcW w:type="pct" w:w="2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line="280"/>
            </w:pPr>
            <w:r>
              <w:rPr>
                <w:rFonts w:ascii="Calibri"/>
                <w:b w:val="false"/>
                <w:bCs w:val="false"/>
                <w:color w:val="1A2B40"/>
                <w:sz w:val="18"/>
                <w:szCs w:val="18"/>
              </w:rPr>
              <w:t xml:space="preserve">Low</w:t>
            </w:r>
          </w:p>
        </w:tc>
      </w:tr>
    </w:tbl>
    <w:p>
      <w:pPr>
        <w:spacing w:after="80" w:before="80"/>
      </w:pPr>
    </w:p>
    <w:p>
      <w:pPr>
        <w:pStyle w:val="Heading2"/>
        <w:spacing w:after="160" w:before="300" w:line="312"/>
      </w:pPr>
      <w:r>
        <w:rPr>
          <w:rFonts w:ascii="Times New Roman"/>
          <w:b/>
          <w:bCs/>
          <w:color w:val="0B1C2C"/>
          <w:sz w:val="26"/>
          <w:szCs w:val="26"/>
        </w:rPr>
        <w:t xml:space="preserve">8.2 What Stays Blocked</w:t>
      </w:r>
    </w:p>
    <w:p>
      <w:pPr>
        <w:spacing w:after="120" w:line="312"/>
        <w:jc w:val="both"/>
      </w:pPr>
      <w:r>
        <w:rPr>
          <w:rFonts w:ascii="Calibri"/>
          <w:color w:val="1A2B40"/>
          <w:sz w:val="22"/>
          <w:szCs w:val="22"/>
        </w:rPr>
        <w:t xml:space="preserve">Per the standing authorization from the prior session, the following items remain blocked: (1) All DoppelGround integration claims pending artifact inspection. (2) Q-value calibration pilot. (3) Final unified agent card schema. (4) Any consumption of DoppelGround output formats. (5) Any integration-complete claims between DoppelGround and NexusOS. None of the findings in this report change these blocks, although several sources (SkillFortify trust algebra, A2A signed Agent Cards, SkillNet skill graph) provide additional context for what the integration surface should look like when blocks are lifted.</w:t>
      </w:r>
    </w:p>
    <w:p>
      <w:pPr>
        <w:pStyle w:val="Heading2"/>
        <w:spacing w:after="160" w:before="300" w:line="312"/>
      </w:pPr>
      <w:r>
        <w:rPr>
          <w:rFonts w:ascii="Times New Roman"/>
          <w:b/>
          <w:bCs/>
          <w:color w:val="0B1C2C"/>
          <w:sz w:val="26"/>
          <w:szCs w:val="26"/>
        </w:rPr>
        <w:t xml:space="preserve">8.3 Next Milestone Target</w:t>
      </w:r>
    </w:p>
    <w:p>
      <w:pPr>
        <w:spacing w:after="120" w:line="312"/>
        <w:jc w:val="both"/>
      </w:pPr>
      <w:r>
        <w:rPr>
          <w:rFonts w:ascii="Calibri"/>
          <w:color w:val="1A2B40"/>
          <w:sz w:val="22"/>
          <w:szCs w:val="22"/>
        </w:rPr>
        <w:t xml:space="preserve">Based on this research, the recommended next milestone for NexusOS Phase 2 is: (1) Close the three integration-test gaps identified in the Phase 1 milestone packet (bridge trust injection, executor scoring events, heartbeat trust penalty). (2) Implement the AutoHarness 6-step governance pipeline in the engine as a proof-of-concept integration. (3) Begin A2A v1.0 bridge compliance work (signed Agent Card generation, version negotiation). (4) Evaluate SkillFortify and AgentAssert-ABC for compliance engine policy format adoption. (5) Respond to the three requests from the bounded milestone packet (REQ-001 lane enumeration, REQ-002 finding state rules, REQ-003 evidence count semantics).</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NexusOS Deep Search Analysis  |  2026-04-14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2026-04-13T21:29:44.680Z</dcterms:created>
  <dcterms:modified xsi:type="dcterms:W3CDTF">2026-04-13T21:29:44.680Z</dcterms:modified>
</cp:coreProperties>
</file>

<file path=docProps/custom.xml><?xml version="1.0" encoding="utf-8"?>
<Properties xmlns="http://schemas.openxmlformats.org/officeDocument/2006/custom-properties" xmlns:vt="http://schemas.openxmlformats.org/officeDocument/2006/docPropsVTypes"/>
</file>