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B1C2C" w:val="clear"/>
            <w:tcMar>
              <w:top w:type="dxa" w:w="0"/>
              <w:left w:type="dxa" w:w="1200"/>
              <w:bottom w:type="dxa" w:w="0"/>
              <w:right w:type="dxa" w:w="1200"/>
            </w:tcMar>
          </w:tcPr>
          <w:p>
            <w:pPr>
              <w:spacing w:before="3200"/>
            </w:pPr>
          </w:p>
          <w:p>
            <w:pPr>
              <w:spacing w:after="100" w:before="200" w:line="828" w:lineRule="atLeast"/>
            </w:pPr>
            <w:r>
              <w:rPr>
                <w:rFonts w:ascii="Times New Roman" w:eastAsia="Calibri"/>
                <w:b/>
                <w:bCs/>
                <w:color w:val="FFFFFF"/>
                <w:sz w:val="56"/>
                <w:szCs w:val="56"/>
              </w:rPr>
              <w:t xml:space="preserve">NexusOS Phase 1</w:t>
            </w:r>
          </w:p>
          <w:p>
            <w:pPr>
              <w:spacing w:after="60" w:before="80" w:line="600" w:lineRule="atLeast"/>
            </w:pPr>
            <w:r>
              <w:rPr>
                <w:rFonts w:ascii="Times New Roman" w:eastAsia="Calibri"/>
                <w:b/>
                <w:bCs/>
                <w:color w:val="529286"/>
                <w:sz w:val="40"/>
                <w:szCs w:val="40"/>
              </w:rPr>
              <w:t xml:space="preserve">Bounded Milestone Packet</w:t>
            </w:r>
          </w:p>
          <w:p>
            <w:pPr>
              <w:pBdr>
                <w:top w:val="single" w:color="529286" w:sz="4" w:space="12"/>
              </w:pBdr>
              <w:spacing w:after="40" w:before="200"/>
              <w:ind w:left="1200" w:right="1200"/>
            </w:pPr>
          </w:p>
          <w:p>
            <w:pPr>
              <w:spacing w:after="40" w:before="300" w:line="312"/>
            </w:pPr>
            <w:r>
              <w:rPr>
                <w:rFonts w:ascii="Calibri" w:eastAsia="Calibri"/>
                <w:color w:val="B0B8C0"/>
                <w:sz w:val="24"/>
                <w:szCs w:val="24"/>
              </w:rPr>
              <w:t xml:space="preserve">Requests, Shareable Achievements, and Next Steps</w:t>
            </w:r>
          </w:p>
          <w:p>
            <w:pPr>
              <w:spacing w:after="40" w:before="40" w:line="312"/>
            </w:pPr>
            <w:r>
              <w:rPr>
                <w:rFonts w:ascii="Calibri" w:eastAsia="Calibri"/>
                <w:color w:val="90989F"/>
                <w:sz w:val="20"/>
                <w:szCs w:val="20"/>
              </w:rPr>
              <w:t xml:space="preserve">Proof-first format  |  Implementation-facing  |  Operator-usable</w:t>
            </w:r>
          </w:p>
          <w:p>
            <w:pPr>
              <w:spacing w:before="2400"/>
            </w:pPr>
          </w:p>
          <w:p>
            <w:pPr>
              <w:spacing w:after="40" w:line="312"/>
            </w:pPr>
            <w:r>
              <w:rPr>
                <w:rFonts w:ascii="Calibri"/>
                <w:color w:val="90989F"/>
                <w:sz w:val="20"/>
                <w:szCs w:val="20"/>
              </w:rPr>
              <w:t xml:space="preserve">Prepared by: NexusOS Engineering (Z-side)</w:t>
            </w:r>
          </w:p>
          <w:p>
            <w:pPr>
              <w:spacing w:after="40" w:line="312"/>
            </w:pPr>
            <w:r>
              <w:rPr>
                <w:rFonts w:ascii="Calibri"/>
                <w:color w:val="90989F"/>
                <w:sz w:val="20"/>
                <w:szCs w:val="20"/>
              </w:rPr>
              <w:t xml:space="preserve">Date: 2026-04-14  |  Scope: Nexus-side Phase 1 only</w:t>
            </w:r>
          </w:p>
          <w:p>
            <w:pPr>
              <w:spacing w:after="40" w:line="312"/>
            </w:pPr>
            <w:r>
              <w:rPr>
                <w:rFonts w:ascii="Calibri"/>
                <w:color w:val="90989F"/>
                <w:sz w:val="20"/>
                <w:szCs w:val="20"/>
              </w:rPr>
              <w:t xml:space="preserve">Classification: Bounded-mode deliverable</w:t>
            </w:r>
          </w:p>
        </w:tc>
      </w:tr>
    </w:tbl>
    <w:p>
      <w:pPr>
        <w:sectPr>
          <w:pgSz w:w="11906" w:h="16838" w:orient="portrait"/>
          <w:pgMar w:top="0" w:right="0" w:bottom="0" w:left="0" w:header="708" w:footer="708" w:gutter="0"/>
          <w:pgNumType/>
          <w:docGrid w:linePitch="360"/>
        </w:sectPr>
      </w:pPr>
    </w:p>
    <w:p>
      <w:pPr>
        <w:pStyle w:val="Heading1"/>
        <w:spacing w:after="200" w:before="400" w:line="312"/>
      </w:pPr>
      <w:r>
        <w:rPr>
          <w:rFonts w:ascii="Times New Roman" w:eastAsia="Calibri"/>
          <w:b/>
          <w:bCs/>
          <w:color w:val="0B1C2C"/>
          <w:sz w:val="32"/>
          <w:szCs w:val="32"/>
        </w:rPr>
        <w:t xml:space="preserve">Proof-Level Legend</w:t>
      </w:r>
    </w:p>
    <w:p>
      <w:pPr>
        <w:spacing w:after="120" w:line="312"/>
        <w:jc w:val="both"/>
      </w:pPr>
      <w:r>
        <w:rPr>
          <w:rFonts w:ascii="Calibri" w:eastAsia="Calibri"/>
          <w:color w:val="1A2B40"/>
          <w:sz w:val="22"/>
          <w:szCs w:val="22"/>
        </w:rPr>
        <w:t xml:space="preserve">Every major claim in this packet carries a proof tag indicating its evidential basis. The following taxonomy applies throughout all four sections. Claims without tags should be treated as narrative context, not assertions of fact. The hierarchy from strongest to weakest is: </w:t>
      </w:r>
      <w:r>
        <w:rPr>
          <w:rFonts w:ascii="Calibri" w:eastAsia="Calibri"/>
          <w:b/>
          <w:bCs/>
          <w:color w:val="1A2B40"/>
          <w:sz w:val="22"/>
          <w:szCs w:val="22"/>
        </w:rPr>
        <w:t xml:space="preserve">CODE_CONFIRMED</w:t>
      </w:r>
      <w:r>
        <w:rPr>
          <w:rFonts w:ascii="Calibri" w:eastAsia="Calibri"/>
          <w:color w:val="1A2B40"/>
          <w:sz w:val="22"/>
          <w:szCs w:val="22"/>
        </w:rPr>
        <w:t xml:space="preserve"> (verified against live source code in the NexusOS repository), </w:t>
      </w:r>
      <w:r>
        <w:rPr>
          <w:rFonts w:ascii="Calibri" w:eastAsia="Calibri"/>
          <w:b/>
          <w:bCs/>
          <w:color w:val="1A2B40"/>
          <w:sz w:val="22"/>
          <w:szCs w:val="22"/>
        </w:rPr>
        <w:t xml:space="preserve">ARTIFACT_CONFIRMED</w:t>
      </w:r>
      <w:r>
        <w:rPr>
          <w:rFonts w:ascii="Calibri" w:eastAsia="Calibri"/>
          <w:color w:val="1A2B40"/>
          <w:sz w:val="22"/>
          <w:szCs w:val="22"/>
        </w:rPr>
        <w:t xml:space="preserve"> (verified against test result artifacts or database state), </w:t>
      </w:r>
      <w:r>
        <w:rPr>
          <w:rFonts w:ascii="Calibri" w:eastAsia="Calibri"/>
          <w:b/>
          <w:bCs/>
          <w:color w:val="1A2B40"/>
          <w:sz w:val="22"/>
          <w:szCs w:val="22"/>
        </w:rPr>
        <w:t xml:space="preserve">DOCUMENT_CONFIRMED</w:t>
      </w:r>
      <w:r>
        <w:rPr>
          <w:rFonts w:ascii="Calibri" w:eastAsia="Calibri"/>
          <w:color w:val="1A2B40"/>
          <w:sz w:val="22"/>
          <w:szCs w:val="22"/>
        </w:rPr>
        <w:t xml:space="preserve"> (verified against project documentation or status files), </w:t>
      </w:r>
      <w:r>
        <w:rPr>
          <w:rFonts w:ascii="Calibri" w:eastAsia="Calibri"/>
          <w:b/>
          <w:bCs/>
          <w:color w:val="1A2B40"/>
          <w:sz w:val="22"/>
          <w:szCs w:val="22"/>
        </w:rPr>
        <w:t xml:space="preserve">INFERRED</w:t>
      </w:r>
      <w:r>
        <w:rPr>
          <w:rFonts w:ascii="Calibri" w:eastAsia="Calibri"/>
          <w:color w:val="1A2B40"/>
          <w:sz w:val="22"/>
          <w:szCs w:val="22"/>
        </w:rPr>
        <w:t xml:space="preserve"> (logically derived from confirmed evidence but not directly observed), </w:t>
      </w:r>
      <w:r>
        <w:rPr>
          <w:rFonts w:ascii="Calibri" w:eastAsia="Calibri"/>
          <w:b/>
          <w:bCs/>
          <w:color w:val="1A2B40"/>
          <w:sz w:val="22"/>
          <w:szCs w:val="22"/>
        </w:rPr>
        <w:t xml:space="preserve">PROPOSED</w:t>
      </w:r>
      <w:r>
        <w:rPr>
          <w:rFonts w:ascii="Calibri" w:eastAsia="Calibri"/>
          <w:color w:val="1A2B40"/>
          <w:sz w:val="22"/>
          <w:szCs w:val="22"/>
        </w:rPr>
        <w:t xml:space="preserve"> (forward-looking recommendation requiring validation), and </w:t>
      </w:r>
      <w:r>
        <w:rPr>
          <w:rFonts w:ascii="Calibri" w:eastAsia="Calibri"/>
          <w:b/>
          <w:bCs/>
          <w:color w:val="1A2B40"/>
          <w:sz w:val="22"/>
          <w:szCs w:val="22"/>
        </w:rPr>
        <w:t xml:space="preserve">BLOCKED</w:t>
      </w:r>
      <w:r>
        <w:rPr>
          <w:rFonts w:ascii="Calibri" w:eastAsia="Calibri"/>
          <w:color w:val="1A2B40"/>
          <w:sz w:val="22"/>
          <w:szCs w:val="22"/>
        </w:rPr>
        <w:t xml:space="preserve"> (cannot be confirmed or proposed until artifact inspection resolves the gap).</w:t>
      </w:r>
      <w:r>
        <w:rPr>
          <w:rFonts w:ascii="Calibri" w:eastAsia="Calibri"/>
          <w:b/>
          <w:bCs/>
          <w:color w:val="529286"/>
          <w:sz w:val="18"/>
          <w:szCs w:val="18"/>
        </w:rPr>
        <w:t xml:space="preserve">  DOCUMENT_CONFIRMED</w:t>
      </w:r>
    </w:p>
    <w:p>
      <w:pPr>
        <w:pStyle w:val="Heading1"/>
        <w:spacing w:after="200" w:before="400" w:line="312"/>
      </w:pPr>
      <w:r>
        <w:rPr>
          <w:rFonts w:ascii="Times New Roman" w:eastAsia="Calibri"/>
          <w:b/>
          <w:bCs/>
          <w:color w:val="0B1C2C"/>
          <w:sz w:val="32"/>
          <w:szCs w:val="32"/>
        </w:rPr>
        <w:t xml:space="preserve">Part A: System-Related Requests</w:t>
      </w:r>
    </w:p>
    <w:p>
      <w:pPr>
        <w:spacing w:after="120" w:line="312"/>
        <w:jc w:val="both"/>
      </w:pPr>
      <w:r>
        <w:rPr>
          <w:rFonts w:ascii="Calibri" w:eastAsia="Calibri"/>
          <w:color w:val="1A2B40"/>
          <w:sz w:val="22"/>
          <w:szCs w:val="22"/>
        </w:rPr>
        <w:t xml:space="preserve">This section lists concrete requests from the NexusOS engineering side that would help bounded Phase 1 work continue without widening scope. Each request is grounded in a specific code-level gap or interface ambiguity discovered during implementation. No requests ask for DoppelGround to leave USE MODE, no requests seek architecture redesign, and no requests require A2A features to be rebuilt inside DoppelGround.</w:t>
      </w:r>
      <w:r>
        <w:rPr>
          <w:rFonts w:ascii="Calibri" w:eastAsia="Calibri"/>
          <w:b/>
          <w:bCs/>
          <w:color w:val="529286"/>
          <w:sz w:val="18"/>
          <w:szCs w:val="18"/>
        </w:rPr>
        <w:t xml:space="preserve">  INFERRED</w:t>
      </w:r>
    </w:p>
    <w:p>
      <w:pPr>
        <w:pStyle w:val="Heading2"/>
        <w:spacing w:after="160" w:before="300" w:line="312"/>
      </w:pPr>
      <w:r>
        <w:rPr>
          <w:rFonts w:ascii="Times New Roman" w:eastAsia="Calibri"/>
          <w:b/>
          <w:bCs/>
          <w:color w:val="0B1C2C"/>
          <w:sz w:val="26"/>
          <w:szCs w:val="26"/>
        </w:rPr>
        <w:t xml:space="preserve">REQ-001: Confirm Trust Lane Enumeration</w:t>
      </w:r>
    </w:p>
    <w:p>
      <w:pPr>
        <w:pBdr>
          <w:top w:val="single" w:color="529286" w:sz="2" w:space="8"/>
        </w:pBdr>
        <w:spacing w:after="80" w:before="200" w:line="312"/>
      </w:pPr>
      <w:r>
        <w:rPr>
          <w:rFonts w:ascii="Calibri" w:eastAsia="Calibri"/>
          <w:b/>
          <w:bCs/>
          <w:color w:val="1A2B40"/>
          <w:sz w:val="22"/>
          <w:szCs w:val="22"/>
        </w:rPr>
        <w:t xml:space="preserve">REQ-001</w:t>
      </w:r>
    </w:p>
    <w:p>
      <w:pPr>
        <w:spacing w:after="60" w:line="312"/>
        <w:ind w:left="360"/>
      </w:pPr>
      <w:r>
        <w:rPr>
          <w:rFonts w:ascii="Calibri" w:eastAsia="Calibri"/>
          <w:b/>
          <w:bCs/>
          <w:color w:val="1A2B40"/>
          <w:sz w:val="22"/>
          <w:szCs w:val="22"/>
        </w:rPr>
        <w:t xml:space="preserve">REQUEST_TYPE: </w:t>
      </w:r>
      <w:r>
        <w:rPr>
          <w:rFonts w:ascii="Calibri" w:eastAsia="Calibri"/>
          <w:color w:val="1A2B40"/>
          <w:sz w:val="22"/>
          <w:szCs w:val="22"/>
        </w:rPr>
        <w:t xml:space="preserve">interface</w:t>
      </w:r>
    </w:p>
    <w:p>
      <w:pPr>
        <w:spacing w:after="60" w:line="312"/>
        <w:ind w:left="360"/>
      </w:pPr>
      <w:r>
        <w:rPr>
          <w:rFonts w:ascii="Calibri" w:eastAsia="Calibri"/>
          <w:b/>
          <w:bCs/>
          <w:color w:val="1A2B40"/>
          <w:sz w:val="22"/>
          <w:szCs w:val="22"/>
        </w:rPr>
        <w:t xml:space="preserve">WHAT YOU NEED: </w:t>
      </w:r>
      <w:r>
        <w:rPr>
          <w:rFonts w:ascii="Calibri" w:eastAsia="Calibri"/>
          <w:color w:val="1A2B40"/>
          <w:sz w:val="22"/>
          <w:szCs w:val="22"/>
        </w:rPr>
        <w:t xml:space="preserve">A definitive enumeration of trust lanes that DoppelGround agents operate within, specifically which lane labels are expected to cross the bridge boundary. Currently NexusOS uses four hardcoded lanes: 'implementation', 'orchestration', 'research', and 'compliance', plus a special 'availability' lane for heartbeat penalties. If DoppelGround's internal lane taxonomy differs, we need to know the mapping surface.</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WHY YOU NEED IT: </w:t>
      </w:r>
      <w:r>
        <w:rPr>
          <w:rFonts w:ascii="Calibri" w:eastAsia="Calibri"/>
          <w:color w:val="1A2B40"/>
          <w:sz w:val="22"/>
          <w:szCs w:val="22"/>
        </w:rPr>
        <w:t xml:space="preserve">Bridge lane resolution in server.py (lines 151-176) maps method types to lane strings via a static dictionary. If DoppelGround expects different lane labels in its agent cards or session outputs, the mapping will silently misroute trust scores. This is a forward-compatibility risk, not a current failure, because no cross-system traffic exists yet.</w:t>
      </w:r>
      <w:r>
        <w:rPr>
          <w:rFonts w:ascii="Calibri" w:eastAsia="Calibri"/>
          <w:b/>
          <w:bCs/>
          <w:color w:val="529286"/>
          <w:sz w:val="18"/>
          <w:szCs w:val="18"/>
        </w:rPr>
        <w:t xml:space="preserve">  INFERRED</w:t>
      </w:r>
    </w:p>
    <w:p>
      <w:pPr>
        <w:spacing w:after="60" w:line="312"/>
        <w:ind w:left="360"/>
      </w:pPr>
      <w:r>
        <w:rPr>
          <w:rFonts w:ascii="Calibri" w:eastAsia="Calibri"/>
          <w:b/>
          <w:bCs/>
          <w:color w:val="1A2B40"/>
          <w:sz w:val="22"/>
          <w:szCs w:val="22"/>
        </w:rPr>
        <w:t xml:space="preserve">BLOCKED_UNTIL: </w:t>
      </w:r>
      <w:r>
        <w:rPr>
          <w:rFonts w:ascii="Calibri" w:eastAsia="Calibri"/>
          <w:color w:val="1A2B40"/>
          <w:sz w:val="22"/>
          <w:szCs w:val="22"/>
        </w:rPr>
        <w:t xml:space="preserve">DoppelGround artifact inspection confirms its lane taxonomy (currently BLOCKED pending artifact delivery).</w:t>
      </w:r>
      <w:r>
        <w:rPr>
          <w:rFonts w:ascii="Calibri" w:eastAsia="Calibri"/>
          <w:b/>
          <w:bCs/>
          <w:color w:val="529286"/>
          <w:sz w:val="18"/>
          <w:szCs w:val="18"/>
        </w:rPr>
        <w:t xml:space="preserve">  BLOCKED</w:t>
      </w:r>
    </w:p>
    <w:p>
      <w:pPr>
        <w:spacing w:after="60" w:line="312"/>
        <w:ind w:left="360"/>
      </w:pPr>
      <w:r>
        <w:rPr>
          <w:rFonts w:ascii="Calibri" w:eastAsia="Calibri"/>
          <w:b/>
          <w:bCs/>
          <w:color w:val="1A2B40"/>
          <w:sz w:val="22"/>
          <w:szCs w:val="22"/>
        </w:rPr>
        <w:t xml:space="preserve">PROOF_LEVEL: </w:t>
      </w:r>
      <w:r>
        <w:rPr>
          <w:rFonts w:ascii="Calibri" w:eastAsia="Calibri"/>
          <w:color w:val="1A2B40"/>
          <w:sz w:val="22"/>
          <w:szCs w:val="22"/>
        </w:rPr>
        <w:t xml:space="preserve">confirmed by code</w:t>
      </w:r>
    </w:p>
    <w:p>
      <w:pPr>
        <w:spacing w:after="60" w:line="312"/>
        <w:ind w:left="360"/>
      </w:pPr>
      <w:r>
        <w:rPr>
          <w:rFonts w:ascii="Calibri" w:eastAsia="Calibri"/>
          <w:b/>
          <w:bCs/>
          <w:color w:val="1A2B40"/>
          <w:sz w:val="22"/>
          <w:szCs w:val="22"/>
        </w:rPr>
        <w:t xml:space="preserve">MINIMUM ACCEPTABLE VERSION: </w:t>
      </w:r>
      <w:r>
        <w:rPr>
          <w:rFonts w:ascii="Calibri" w:eastAsia="Calibri"/>
          <w:color w:val="1A2B40"/>
          <w:sz w:val="22"/>
          <w:szCs w:val="22"/>
        </w:rPr>
        <w:t xml:space="preserve">A human-readable list of lane strings used in DoppelGround agent cards or session outputs, even if informal. No schema change required.</w:t>
      </w:r>
    </w:p>
    <w:p>
      <w:pPr>
        <w:pBdr>
          <w:bottom w:val="single" w:color="D0D8E0" w:sz="1" w:space="8"/>
        </w:pBdr>
        <w:spacing w:after="200" w:before="200"/>
      </w:pPr>
    </w:p>
    <w:p>
      <w:pPr>
        <w:pStyle w:val="Heading2"/>
        <w:spacing w:after="160" w:before="300" w:line="312"/>
      </w:pPr>
      <w:r>
        <w:rPr>
          <w:rFonts w:ascii="Times New Roman" w:eastAsia="Calibri"/>
          <w:b/>
          <w:bCs/>
          <w:color w:val="0B1C2C"/>
          <w:sz w:val="26"/>
          <w:szCs w:val="26"/>
        </w:rPr>
        <w:t xml:space="preserve">REQ-002: Define Finding State Transition Rules</w:t>
      </w:r>
    </w:p>
    <w:p>
      <w:pPr>
        <w:pBdr>
          <w:top w:val="single" w:color="529286" w:sz="2" w:space="8"/>
        </w:pBdr>
        <w:spacing w:after="80" w:before="200" w:line="312"/>
      </w:pPr>
      <w:r>
        <w:rPr>
          <w:rFonts w:ascii="Calibri" w:eastAsia="Calibri"/>
          <w:b/>
          <w:bCs/>
          <w:color w:val="1A2B40"/>
          <w:sz w:val="22"/>
          <w:szCs w:val="22"/>
        </w:rPr>
        <w:t xml:space="preserve">REQ-002</w:t>
      </w:r>
    </w:p>
    <w:p>
      <w:pPr>
        <w:spacing w:after="60" w:line="312"/>
        <w:ind w:left="360"/>
      </w:pPr>
      <w:r>
        <w:rPr>
          <w:rFonts w:ascii="Calibri" w:eastAsia="Calibri"/>
          <w:b/>
          <w:bCs/>
          <w:color w:val="1A2B40"/>
          <w:sz w:val="22"/>
          <w:szCs w:val="22"/>
        </w:rPr>
        <w:t xml:space="preserve">REQUEST_TYPE: </w:t>
      </w:r>
      <w:r>
        <w:rPr>
          <w:rFonts w:ascii="Calibri" w:eastAsia="Calibri"/>
          <w:color w:val="1A2B40"/>
          <w:sz w:val="22"/>
          <w:szCs w:val="22"/>
        </w:rPr>
        <w:t xml:space="preserve">validation</w:t>
      </w:r>
    </w:p>
    <w:p>
      <w:pPr>
        <w:spacing w:after="60" w:line="312"/>
        <w:ind w:left="360"/>
      </w:pPr>
      <w:r>
        <w:rPr>
          <w:rFonts w:ascii="Calibri" w:eastAsia="Calibri"/>
          <w:b/>
          <w:bCs/>
          <w:color w:val="1A2B40"/>
          <w:sz w:val="22"/>
          <w:szCs w:val="22"/>
        </w:rPr>
        <w:t xml:space="preserve">WHAT YOU NEED: </w:t>
      </w:r>
      <w:r>
        <w:rPr>
          <w:rFonts w:ascii="Calibri" w:eastAsia="Calibri"/>
          <w:color w:val="1A2B40"/>
          <w:sz w:val="22"/>
          <w:szCs w:val="22"/>
        </w:rPr>
        <w:t xml:space="preserve">Explicit rules for when a scoring event's finding_state should transition between the six states: 'suspected', 'provisional', 'confirmed', 'rejected', 'held', 'escalated'. Currently the schema defines the CHECK constraint but no code ever writes anything other than the default 'confirmed'. We need to know whether the originating system has a state machine or whether this is purely a downstream consumer concern.</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WHY YOU NEED IT: </w:t>
      </w:r>
      <w:r>
        <w:rPr>
          <w:rFonts w:ascii="Calibri" w:eastAsia="Calibri"/>
          <w:color w:val="1A2B40"/>
          <w:sz w:val="22"/>
          <w:szCs w:val="22"/>
        </w:rPr>
        <w:t xml:space="preserve">The scoring_events table in db/manager.py (lines 239-258) includes a finding_state column with six enumerated values and a CHECK constraint. However, the executor's _append_scoring_event() method in executor.py (lines 269-305) never sets finding_state, so every row defaults to 'confirmed'. This means the column is schema-ready but semantically empty. If DoppelGround has finding state semantics, we need to know them before wiring the column.</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BLOCKED_UNTIL: </w:t>
      </w:r>
      <w:r>
        <w:rPr>
          <w:rFonts w:ascii="Calibri" w:eastAsia="Calibri"/>
          <w:color w:val="1A2B40"/>
          <w:sz w:val="22"/>
          <w:szCs w:val="22"/>
        </w:rPr>
        <w:t xml:space="preserve">Not blocked for Nexus-side work. This request is informational for future wiring.</w:t>
      </w:r>
      <w:r>
        <w:rPr>
          <w:rFonts w:ascii="Calibri" w:eastAsia="Calibri"/>
          <w:b/>
          <w:bCs/>
          <w:color w:val="529286"/>
          <w:sz w:val="18"/>
          <w:szCs w:val="18"/>
        </w:rPr>
        <w:t xml:space="preserve">  PROPOSED</w:t>
      </w:r>
    </w:p>
    <w:p>
      <w:pPr>
        <w:spacing w:after="60" w:line="312"/>
        <w:ind w:left="360"/>
      </w:pPr>
      <w:r>
        <w:rPr>
          <w:rFonts w:ascii="Calibri" w:eastAsia="Calibri"/>
          <w:b/>
          <w:bCs/>
          <w:color w:val="1A2B40"/>
          <w:sz w:val="22"/>
          <w:szCs w:val="22"/>
        </w:rPr>
        <w:t xml:space="preserve">PROOF_LEVEL: </w:t>
      </w:r>
      <w:r>
        <w:rPr>
          <w:rFonts w:ascii="Calibri" w:eastAsia="Calibri"/>
          <w:color w:val="1A2B40"/>
          <w:sz w:val="22"/>
          <w:szCs w:val="22"/>
        </w:rPr>
        <w:t xml:space="preserve">confirmed by code</w:t>
      </w:r>
    </w:p>
    <w:p>
      <w:pPr>
        <w:spacing w:after="60" w:line="312"/>
        <w:ind w:left="360"/>
      </w:pPr>
      <w:r>
        <w:rPr>
          <w:rFonts w:ascii="Calibri" w:eastAsia="Calibri"/>
          <w:b/>
          <w:bCs/>
          <w:color w:val="1A2B40"/>
          <w:sz w:val="22"/>
          <w:szCs w:val="22"/>
        </w:rPr>
        <w:t xml:space="preserve">MINIMUM ACCEPTABLE VERSION: </w:t>
      </w:r>
      <w:r>
        <w:rPr>
          <w:rFonts w:ascii="Calibri" w:eastAsia="Calibri"/>
          <w:color w:val="1A2B40"/>
          <w:sz w:val="22"/>
          <w:szCs w:val="22"/>
        </w:rPr>
        <w:t xml:space="preserve">A brief statement of whether finding_state transitions are expected to originate from DoppelGround, Nexus, or both. Even 'not used yet' is acceptable.</w:t>
      </w:r>
    </w:p>
    <w:p>
      <w:pPr>
        <w:pBdr>
          <w:bottom w:val="single" w:color="D0D8E0" w:sz="1" w:space="8"/>
        </w:pBdr>
        <w:spacing w:after="200" w:before="200"/>
      </w:pPr>
    </w:p>
    <w:p>
      <w:pPr>
        <w:pStyle w:val="Heading2"/>
        <w:spacing w:after="160" w:before="300" w:line="312"/>
      </w:pPr>
      <w:r>
        <w:rPr>
          <w:rFonts w:ascii="Times New Roman" w:eastAsia="Calibri"/>
          <w:b/>
          <w:bCs/>
          <w:color w:val="0B1C2C"/>
          <w:sz w:val="26"/>
          <w:szCs w:val="26"/>
        </w:rPr>
        <w:t xml:space="preserve">REQ-003: Confirm Evidence Count Semantics</w:t>
      </w:r>
    </w:p>
    <w:p>
      <w:pPr>
        <w:pBdr>
          <w:top w:val="single" w:color="529286" w:sz="2" w:space="8"/>
        </w:pBdr>
        <w:spacing w:after="80" w:before="200" w:line="312"/>
      </w:pPr>
      <w:r>
        <w:rPr>
          <w:rFonts w:ascii="Calibri" w:eastAsia="Calibri"/>
          <w:b/>
          <w:bCs/>
          <w:color w:val="1A2B40"/>
          <w:sz w:val="22"/>
          <w:szCs w:val="22"/>
        </w:rPr>
        <w:t xml:space="preserve">REQ-003</w:t>
      </w:r>
    </w:p>
    <w:p>
      <w:pPr>
        <w:spacing w:after="60" w:line="312"/>
        <w:ind w:left="360"/>
      </w:pPr>
      <w:r>
        <w:rPr>
          <w:rFonts w:ascii="Calibri" w:eastAsia="Calibri"/>
          <w:b/>
          <w:bCs/>
          <w:color w:val="1A2B40"/>
          <w:sz w:val="22"/>
          <w:szCs w:val="22"/>
        </w:rPr>
        <w:t xml:space="preserve">REQUEST_TYPE: </w:t>
      </w:r>
      <w:r>
        <w:rPr>
          <w:rFonts w:ascii="Calibri" w:eastAsia="Calibri"/>
          <w:color w:val="1A2B40"/>
          <w:sz w:val="22"/>
          <w:szCs w:val="22"/>
        </w:rPr>
        <w:t xml:space="preserve">field</w:t>
      </w:r>
    </w:p>
    <w:p>
      <w:pPr>
        <w:spacing w:after="60" w:line="312"/>
        <w:ind w:left="360"/>
      </w:pPr>
      <w:r>
        <w:rPr>
          <w:rFonts w:ascii="Calibri" w:eastAsia="Calibri"/>
          <w:b/>
          <w:bCs/>
          <w:color w:val="1A2B40"/>
          <w:sz w:val="22"/>
          <w:szCs w:val="22"/>
        </w:rPr>
        <w:t xml:space="preserve">WHAT YOU NEED: </w:t>
      </w:r>
      <w:r>
        <w:rPr>
          <w:rFonts w:ascii="Calibri" w:eastAsia="Calibri"/>
          <w:color w:val="1A2B40"/>
          <w:sz w:val="22"/>
          <w:szCs w:val="22"/>
        </w:rPr>
        <w:t xml:space="preserve">Confirmation of what the evidence_count field in scoring_events should represent. Is it a count of supporting artifacts, a confidence weight, a reference count to an external evidence store, or something else entirely? Currently the column exists with DEFAULT 0 and no code increments it.</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WHY YOU NEED IT: </w:t>
      </w:r>
      <w:r>
        <w:rPr>
          <w:rFonts w:ascii="Calibri" w:eastAsia="Calibri"/>
          <w:color w:val="1A2B40"/>
          <w:sz w:val="22"/>
          <w:szCs w:val="22"/>
        </w:rPr>
        <w:t xml:space="preserve">The evidence_count column in scoring_events was added as part of the Qeff evidence-gating concept from the trust formulation analysis. Without a clear definition of what constitutes an 'evidence item,' any implementation would be speculative. The column is present and tested at the schema level (NULL-safe with default 0) but has no writer.</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BLOCKED_UNTIL: </w:t>
      </w:r>
      <w:r>
        <w:rPr>
          <w:rFonts w:ascii="Calibri" w:eastAsia="Calibri"/>
          <w:color w:val="1A2B40"/>
          <w:sz w:val="22"/>
          <w:szCs w:val="22"/>
        </w:rPr>
        <w:t xml:space="preserve">Not blocked. This is a definition request, not a dependency.</w:t>
      </w:r>
      <w:r>
        <w:rPr>
          <w:rFonts w:ascii="Calibri" w:eastAsia="Calibri"/>
          <w:b/>
          <w:bCs/>
          <w:color w:val="529286"/>
          <w:sz w:val="18"/>
          <w:szCs w:val="18"/>
        </w:rPr>
        <w:t xml:space="preserve">  PROPOSED</w:t>
      </w:r>
    </w:p>
    <w:p>
      <w:pPr>
        <w:spacing w:after="60" w:line="312"/>
        <w:ind w:left="360"/>
      </w:pPr>
      <w:r>
        <w:rPr>
          <w:rFonts w:ascii="Calibri" w:eastAsia="Calibri"/>
          <w:b/>
          <w:bCs/>
          <w:color w:val="1A2B40"/>
          <w:sz w:val="22"/>
          <w:szCs w:val="22"/>
        </w:rPr>
        <w:t xml:space="preserve">PROOF_LEVEL: </w:t>
      </w:r>
      <w:r>
        <w:rPr>
          <w:rFonts w:ascii="Calibri" w:eastAsia="Calibri"/>
          <w:color w:val="1A2B40"/>
          <w:sz w:val="22"/>
          <w:szCs w:val="22"/>
        </w:rPr>
        <w:t xml:space="preserve">confirmed by code</w:t>
      </w:r>
    </w:p>
    <w:p>
      <w:pPr>
        <w:spacing w:after="60" w:line="312"/>
        <w:ind w:left="360"/>
      </w:pPr>
      <w:r>
        <w:rPr>
          <w:rFonts w:ascii="Calibri" w:eastAsia="Calibri"/>
          <w:b/>
          <w:bCs/>
          <w:color w:val="1A2B40"/>
          <w:sz w:val="22"/>
          <w:szCs w:val="22"/>
        </w:rPr>
        <w:t xml:space="preserve">MINIMUM ACCEPTABLE VERSION: </w:t>
      </w:r>
      <w:r>
        <w:rPr>
          <w:rFonts w:ascii="Calibri" w:eastAsia="Calibri"/>
          <w:color w:val="1A2B40"/>
          <w:sz w:val="22"/>
          <w:szCs w:val="22"/>
        </w:rPr>
        <w:t xml:space="preserve">One sentence defining what evidence_count counts. If the concept is deferred, say so explicitly.</w:t>
      </w:r>
    </w:p>
    <w:p>
      <w:pPr>
        <w:pBdr>
          <w:bottom w:val="single" w:color="D0D8E0" w:sz="1" w:space="8"/>
        </w:pBdr>
        <w:spacing w:after="200" w:before="200"/>
      </w:pPr>
    </w:p>
    <w:p>
      <w:pPr>
        <w:spacing w:after="120" w:line="312"/>
        <w:jc w:val="both"/>
      </w:pPr>
      <w:r>
        <w:rPr>
          <w:rFonts w:ascii="Calibri" w:eastAsia="Calibri"/>
          <w:color w:val="1A2B40"/>
          <w:sz w:val="22"/>
          <w:szCs w:val="22"/>
        </w:rPr>
        <w:t xml:space="preserve">No additional requests are needed at this time. The three items above represent the complete set of outstanding interface ambiguities that affect forward progress without requiring scope expansion. All other Phase 1 work can proceed with the current codebase state.</w:t>
      </w:r>
      <w:r>
        <w:rPr>
          <w:rFonts w:ascii="Calibri" w:eastAsia="Calibri"/>
          <w:b/>
          <w:bCs/>
          <w:color w:val="529286"/>
          <w:sz w:val="18"/>
          <w:szCs w:val="18"/>
        </w:rPr>
        <w:t xml:space="preserve">  INFERRED</w:t>
      </w:r>
    </w:p>
    <w:p>
      <w:pPr>
        <w:pStyle w:val="Heading1"/>
        <w:spacing w:after="200" w:before="400" w:line="312"/>
      </w:pPr>
      <w:r>
        <w:rPr>
          <w:rFonts w:ascii="Times New Roman" w:eastAsia="Calibri"/>
          <w:b/>
          <w:bCs/>
          <w:color w:val="0B1C2C"/>
          <w:sz w:val="32"/>
          <w:szCs w:val="32"/>
        </w:rPr>
        <w:t xml:space="preserve">Part B: Shareable Achievements</w:t>
      </w:r>
    </w:p>
    <w:p>
      <w:pPr>
        <w:spacing w:after="120" w:line="312"/>
        <w:jc w:val="both"/>
      </w:pPr>
      <w:r>
        <w:rPr>
          <w:rFonts w:ascii="Calibri" w:eastAsia="Calibri"/>
          <w:color w:val="1A2B40"/>
          <w:sz w:val="22"/>
          <w:szCs w:val="22"/>
        </w:rPr>
        <w:t xml:space="preserve">This section evaluates each accepted Nexus-side achievement against shareability criteria: whether the design pattern, schema, or implementation approach can be adopted independently of the NexusOS runtime, and what risks exist if adopted without the surrounding context. Each item is grounded in the codebase audit performed on 2026-04-14.</w:t>
      </w:r>
      <w:r>
        <w:rPr>
          <w:rFonts w:ascii="Calibri" w:eastAsia="Calibri"/>
          <w:b/>
          <w:bCs/>
          <w:color w:val="529286"/>
          <w:sz w:val="18"/>
          <w:szCs w:val="18"/>
        </w:rPr>
        <w:t xml:space="preserve">  CODE_CONFIRMED</w:t>
      </w:r>
    </w:p>
    <w:p>
      <w:pPr>
        <w:pStyle w:val="Heading2"/>
        <w:spacing w:after="160" w:before="300" w:line="312"/>
      </w:pPr>
      <w:r>
        <w:rPr>
          <w:rFonts w:ascii="Times New Roman" w:eastAsia="Calibri"/>
          <w:b/>
          <w:bCs/>
          <w:color w:val="0B1C2C"/>
          <w:sz w:val="26"/>
          <w:szCs w:val="26"/>
        </w:rPr>
        <w:t xml:space="preserve">ITEM-001: Lane-Scoped Trust Scoring</w:t>
      </w:r>
    </w:p>
    <w:p>
      <w:pPr>
        <w:pBdr>
          <w:top w:val="single" w:color="529286" w:sz="2" w:space="8"/>
        </w:pBdr>
        <w:spacing w:after="80" w:before="200" w:line="312"/>
      </w:pPr>
      <w:r>
        <w:rPr>
          <w:rFonts w:ascii="Calibri" w:eastAsia="Calibri"/>
          <w:b/>
          <w:bCs/>
          <w:color w:val="1A2B40"/>
          <w:sz w:val="22"/>
          <w:szCs w:val="22"/>
        </w:rPr>
        <w:t xml:space="preserve">ITEM-001</w:t>
      </w:r>
    </w:p>
    <w:p>
      <w:pPr>
        <w:spacing w:after="60" w:line="312"/>
        <w:ind w:left="360"/>
      </w:pPr>
      <w:r>
        <w:rPr>
          <w:rFonts w:ascii="Calibri" w:eastAsia="Calibri"/>
          <w:b/>
          <w:bCs/>
          <w:color w:val="1A2B40"/>
          <w:sz w:val="22"/>
          <w:szCs w:val="22"/>
        </w:rPr>
        <w:t xml:space="preserve">CURRENT_STATUS: </w:t>
      </w:r>
      <w:r>
        <w:rPr>
          <w:rFonts w:ascii="Calibri" w:eastAsia="Calibri"/>
          <w:color w:val="1A2B40"/>
          <w:sz w:val="22"/>
          <w:szCs w:val="22"/>
        </w:rPr>
        <w:t xml:space="preserve">Fully implemented in vault/trust.py. TrustScorer class supports global Bayesian scoring via Beta(alpha, beta) distribution with a Beta(1,1) uninformative prior, plus per-agent-per-lane scoring via a separate agent_trust_lane table. Lane scores fall back to global score when no lane-specific data exists. Both global and lane scores support time decay. 22 unit tests pass across test_trust.py and test_trust_v2.py.</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WHAT IS SHAREABLE: </w:t>
      </w:r>
      <w:r>
        <w:rPr>
          <w:rFonts w:ascii="Calibri" w:eastAsia="Calibri"/>
          <w:color w:val="1A2B40"/>
          <w:sz w:val="22"/>
          <w:szCs w:val="22"/>
        </w:rPr>
        <w:t xml:space="preserve">The lane-scoped trust pattern itself: maintaining separate Beta posteriors per (agent, lane) pair rather than a single global score. The fallback-to-global design. The dual-decay mechanism. The UPSERT-on-conflict persistence pattern for thread-safe concurrent updates. The schema for both agent_trust and agent_trust_lane tables.</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WHAT IS NEXUS-SPECIFIC: </w:t>
      </w:r>
      <w:r>
        <w:rPr>
          <w:rFonts w:ascii="Calibri" w:eastAsia="Calibri"/>
          <w:color w:val="1A2B40"/>
          <w:sz w:val="22"/>
          <w:szCs w:val="22"/>
        </w:rPr>
        <w:t xml:space="preserve">The exact lane labels ('implementation', 'orchestration', 'research', 'compliance', 'availability'). The SQLite-specific persistence layer using threading.local(). The specific integration points with BridgeServer and HeartbeatMonitor. The weight values (1.0 default, 1.5 for heartbeat, 2.0 for hard_fail).</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WHAT WE COULD ADOPT: </w:t>
      </w:r>
      <w:r>
        <w:rPr>
          <w:rFonts w:ascii="Calibri" w:eastAsia="Calibri"/>
          <w:color w:val="1A2B40"/>
          <w:sz w:val="22"/>
          <w:szCs w:val="22"/>
        </w:rPr>
        <w:t xml:space="preserve">The conceptual pattern of per-lane trust tracking with Bayesian updating and fallback. The finding_state column concept for tracking confidence in trust observations. The dual-decay approach for preventing trust staleness without destroying historical signal.</w:t>
      </w:r>
      <w:r>
        <w:rPr>
          <w:rFonts w:ascii="Calibri" w:eastAsia="Calibri"/>
          <w:b/>
          <w:bCs/>
          <w:color w:val="529286"/>
          <w:sz w:val="18"/>
          <w:szCs w:val="18"/>
        </w:rPr>
        <w:t xml:space="preserve">  PROPOSED</w:t>
      </w:r>
    </w:p>
    <w:p>
      <w:pPr>
        <w:spacing w:after="60" w:line="312"/>
        <w:ind w:left="360"/>
      </w:pPr>
      <w:r>
        <w:rPr>
          <w:rFonts w:ascii="Calibri" w:eastAsia="Calibri"/>
          <w:b/>
          <w:bCs/>
          <w:color w:val="1A2B40"/>
          <w:sz w:val="22"/>
          <w:szCs w:val="22"/>
        </w:rPr>
        <w:t xml:space="preserve">RISK IF ADOPTED: </w:t>
      </w:r>
      <w:r>
        <w:rPr>
          <w:rFonts w:ascii="Calibri" w:eastAsia="Calibri"/>
          <w:color w:val="1A2B40"/>
          <w:sz w:val="22"/>
          <w:szCs w:val="22"/>
        </w:rPr>
        <w:t xml:space="preserve">The Bayesian Beta distribution approach assumes a specific prior (currently 1,1 = uninformative). If your system requires a stronger or weaker prior, the update formulas need adjustment. The decay implementation uses multiplicative factor reduction, which can drive scores toward 0.5 (the prior) over time; if your system expects scores to decay toward 0, the formula differs. Without the surrounding governor integration, lane trust scores are inert data.</w:t>
      </w:r>
      <w:r>
        <w:rPr>
          <w:rFonts w:ascii="Calibri" w:eastAsia="Calibri"/>
          <w:b/>
          <w:bCs/>
          <w:color w:val="529286"/>
          <w:sz w:val="18"/>
          <w:szCs w:val="18"/>
        </w:rPr>
        <w:t xml:space="preserve">  INFERRED</w:t>
      </w:r>
    </w:p>
    <w:p>
      <w:pPr>
        <w:spacing w:after="60" w:line="312"/>
        <w:ind w:left="360"/>
      </w:pPr>
      <w:r>
        <w:rPr>
          <w:rFonts w:ascii="Calibri" w:eastAsia="Calibri"/>
          <w:b/>
          <w:bCs/>
          <w:color w:val="1A2B40"/>
          <w:sz w:val="22"/>
          <w:szCs w:val="22"/>
        </w:rPr>
        <w:t xml:space="preserve">PROOF_LEVEL: </w:t>
      </w:r>
      <w:r>
        <w:rPr>
          <w:rFonts w:ascii="Calibri" w:eastAsia="Calibri"/>
          <w:color w:val="1A2B40"/>
          <w:sz w:val="22"/>
          <w:szCs w:val="22"/>
        </w:rPr>
        <w:t xml:space="preserve">confirmed by code</w:t>
      </w:r>
    </w:p>
    <w:p>
      <w:pPr>
        <w:pBdr>
          <w:bottom w:val="single" w:color="D0D8E0" w:sz="1" w:space="8"/>
        </w:pBdr>
        <w:spacing w:after="200" w:before="200"/>
      </w:pPr>
    </w:p>
    <w:p>
      <w:pPr>
        <w:pStyle w:val="Heading2"/>
        <w:spacing w:after="160" w:before="300" w:line="312"/>
      </w:pPr>
      <w:r>
        <w:rPr>
          <w:rFonts w:ascii="Times New Roman" w:eastAsia="Calibri"/>
          <w:b/>
          <w:bCs/>
          <w:color w:val="0B1C2C"/>
          <w:sz w:val="26"/>
          <w:szCs w:val="26"/>
        </w:rPr>
        <w:t xml:space="preserve">ITEM-002: Trust Score + Lane Bridge Injection</w:t>
      </w:r>
    </w:p>
    <w:p>
      <w:pPr>
        <w:pBdr>
          <w:top w:val="single" w:color="529286" w:sz="2" w:space="8"/>
        </w:pBdr>
        <w:spacing w:after="80" w:before="200" w:line="312"/>
      </w:pPr>
      <w:r>
        <w:rPr>
          <w:rFonts w:ascii="Calibri" w:eastAsia="Calibri"/>
          <w:b/>
          <w:bCs/>
          <w:color w:val="1A2B40"/>
          <w:sz w:val="22"/>
          <w:szCs w:val="22"/>
        </w:rPr>
        <w:t xml:space="preserve">ITEM-002</w:t>
      </w:r>
    </w:p>
    <w:p>
      <w:pPr>
        <w:spacing w:after="60" w:line="312"/>
        <w:ind w:left="360"/>
      </w:pPr>
      <w:r>
        <w:rPr>
          <w:rFonts w:ascii="Calibri" w:eastAsia="Calibri"/>
          <w:b/>
          <w:bCs/>
          <w:color w:val="1A2B40"/>
          <w:sz w:val="22"/>
          <w:szCs w:val="22"/>
        </w:rPr>
        <w:t xml:space="preserve">CURRENT_STATUS: </w:t>
      </w:r>
      <w:r>
        <w:rPr>
          <w:rFonts w:ascii="Calibri" w:eastAsia="Calibri"/>
          <w:color w:val="1A2B40"/>
          <w:sz w:val="22"/>
          <w:szCs w:val="22"/>
        </w:rPr>
        <w:t xml:space="preserve">Fully implemented in bridge/server.py. BridgeServer._authorize() (lines 178-230) resolves the lane via _resolve_lane() (lines 151-176), fetches the lane-specific trust score from TrustScorer, and injects both trust_score and lane into the governor context dictionary. The NexusGovernor.check_access() method in governor/base.py passes this context through to the ComplianceEngine, where the trust_score activates the dormant NEXUS-01 rule (agents below 0.3 restricted to read-only). However, bridge integration tests do not wire trust_scorer into the bridge, so this path is code-complete but not integration-tested.</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WHAT IS SHAREABLE: </w:t>
      </w:r>
      <w:r>
        <w:rPr>
          <w:rFonts w:ascii="Calibri" w:eastAsia="Calibri"/>
          <w:color w:val="1A2B40"/>
          <w:sz w:val="22"/>
          <w:szCs w:val="22"/>
        </w:rPr>
        <w:t xml:space="preserve">The pattern of injecting computed trust metrics into an authorization context that flows through a multi-step policy engine. The lane resolution mapping (method type to trust domain). The concept of dormant policy rules that activate only when trust data becomes available (NEXUS-01 was dormant until trust_score was injected).</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WHAT IS NEXUS-SPECIFIC: </w:t>
      </w:r>
      <w:r>
        <w:rPr>
          <w:rFonts w:ascii="Calibri" w:eastAsia="Calibri"/>
          <w:color w:val="1A2B40"/>
          <w:sz w:val="22"/>
          <w:szCs w:val="22"/>
        </w:rPr>
        <w:t xml:space="preserve">The specific lane mapping dictionary. The NEXUS-01 rule implementation in compliance.py. The governor's multi-step check_access pipeline. The bridge's JSON-RPC method routing.</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WHAT WE COULD ADOPT: </w:t>
      </w:r>
      <w:r>
        <w:rPr>
          <w:rFonts w:ascii="Calibri" w:eastAsia="Calibri"/>
          <w:color w:val="1A2B40"/>
          <w:sz w:val="22"/>
          <w:szCs w:val="22"/>
        </w:rPr>
        <w:t xml:space="preserve">The pattern of enriching auth contexts with trust metadata rather than making trust a separate check. The concept of dormant compliance rules that activate based on data availability. The lane-resolution-as-authorization-metadata approach.</w:t>
      </w:r>
      <w:r>
        <w:rPr>
          <w:rFonts w:ascii="Calibri" w:eastAsia="Calibri"/>
          <w:b/>
          <w:bCs/>
          <w:color w:val="529286"/>
          <w:sz w:val="18"/>
          <w:szCs w:val="18"/>
        </w:rPr>
        <w:t xml:space="preserve">  PROPOSED</w:t>
      </w:r>
    </w:p>
    <w:p>
      <w:pPr>
        <w:spacing w:after="60" w:line="312"/>
        <w:ind w:left="360"/>
      </w:pPr>
      <w:r>
        <w:rPr>
          <w:rFonts w:ascii="Calibri" w:eastAsia="Calibri"/>
          <w:b/>
          <w:bCs/>
          <w:color w:val="1A2B40"/>
          <w:sz w:val="22"/>
          <w:szCs w:val="22"/>
        </w:rPr>
        <w:t xml:space="preserve">RISK IF ADOPTED: </w:t>
      </w:r>
      <w:r>
        <w:rPr>
          <w:rFonts w:ascii="Calibri" w:eastAsia="Calibri"/>
          <w:color w:val="1A2B40"/>
          <w:sz w:val="22"/>
          <w:szCs w:val="22"/>
        </w:rPr>
        <w:t xml:space="preserve">This pattern couples trust scoring to the authorization path. If the trust scorer is unavailable or slow, it degrades the entire auth pipeline (mitigated in Nexus by defaulting to 0.5). The dormant-rule pattern means policy behavior changes silently when new data fields appear, which can be surprising during debugging.</w:t>
      </w:r>
      <w:r>
        <w:rPr>
          <w:rFonts w:ascii="Calibri" w:eastAsia="Calibri"/>
          <w:b/>
          <w:bCs/>
          <w:color w:val="529286"/>
          <w:sz w:val="18"/>
          <w:szCs w:val="18"/>
        </w:rPr>
        <w:t xml:space="preserve">  INFERRED</w:t>
      </w:r>
    </w:p>
    <w:p>
      <w:pPr>
        <w:spacing w:after="60" w:line="312"/>
        <w:ind w:left="360"/>
      </w:pPr>
      <w:r>
        <w:rPr>
          <w:rFonts w:ascii="Calibri" w:eastAsia="Calibri"/>
          <w:b/>
          <w:bCs/>
          <w:color w:val="1A2B40"/>
          <w:sz w:val="22"/>
          <w:szCs w:val="22"/>
        </w:rPr>
        <w:t xml:space="preserve">PROOF_LEVEL: </w:t>
      </w:r>
      <w:r>
        <w:rPr>
          <w:rFonts w:ascii="Calibri" w:eastAsia="Calibri"/>
          <w:color w:val="1A2B40"/>
          <w:sz w:val="22"/>
          <w:szCs w:val="22"/>
        </w:rPr>
        <w:t xml:space="preserve">confirmed by code</w:t>
      </w:r>
    </w:p>
    <w:p>
      <w:pPr>
        <w:pBdr>
          <w:bottom w:val="single" w:color="D0D8E0" w:sz="1" w:space="8"/>
        </w:pBdr>
        <w:spacing w:after="200" w:before="200"/>
      </w:pPr>
    </w:p>
    <w:p>
      <w:pPr>
        <w:pStyle w:val="Heading2"/>
        <w:spacing w:after="160" w:before="300" w:line="312"/>
      </w:pPr>
      <w:r>
        <w:rPr>
          <w:rFonts w:ascii="Times New Roman" w:eastAsia="Calibri"/>
          <w:b/>
          <w:bCs/>
          <w:color w:val="0B1C2C"/>
          <w:sz w:val="26"/>
          <w:szCs w:val="26"/>
        </w:rPr>
        <w:t xml:space="preserve">ITEM-003: scoring_events Schema</w:t>
      </w:r>
    </w:p>
    <w:p>
      <w:pPr>
        <w:pBdr>
          <w:top w:val="single" w:color="529286" w:sz="2" w:space="8"/>
        </w:pBdr>
        <w:spacing w:after="80" w:before="200" w:line="312"/>
      </w:pPr>
      <w:r>
        <w:rPr>
          <w:rFonts w:ascii="Calibri" w:eastAsia="Calibri"/>
          <w:b/>
          <w:bCs/>
          <w:color w:val="1A2B40"/>
          <w:sz w:val="22"/>
          <w:szCs w:val="22"/>
        </w:rPr>
        <w:t xml:space="preserve">ITEM-003</w:t>
      </w:r>
    </w:p>
    <w:p>
      <w:pPr>
        <w:spacing w:after="60" w:line="312"/>
        <w:ind w:left="360"/>
      </w:pPr>
      <w:r>
        <w:rPr>
          <w:rFonts w:ascii="Calibri" w:eastAsia="Calibri"/>
          <w:b/>
          <w:bCs/>
          <w:color w:val="1A2B40"/>
          <w:sz w:val="22"/>
          <w:szCs w:val="22"/>
        </w:rPr>
        <w:t xml:space="preserve">CURRENT_STATUS: </w:t>
      </w:r>
      <w:r>
        <w:rPr>
          <w:rFonts w:ascii="Calibri" w:eastAsia="Calibri"/>
          <w:color w:val="1A2B40"/>
          <w:sz w:val="22"/>
          <w:szCs w:val="22"/>
        </w:rPr>
        <w:t xml:space="preserve">Schema fully defined in db/manager.py setup_schema() (lines 239-258). The scoring_events table has 14 columns: event_id (PK autoincrement), timestamp, agent_id, lane, task_id, score, trust_before, trust_after, reason_primary, reason_secondary, finding_state (CHECK constrained to 6 values), evidence_count, hard_fail, and trace_id. The schema is created inline during setup. No standalone migration file exists. The finding_state and evidence_count columns have no active writers. The trust_after column is not populated by the executor's append method.</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WHAT IS SHAREABLE: </w:t>
      </w:r>
      <w:r>
        <w:rPr>
          <w:rFonts w:ascii="Calibri" w:eastAsia="Calibri"/>
          <w:color w:val="1A2B40"/>
          <w:sz w:val="22"/>
          <w:szCs w:val="22"/>
        </w:rPr>
        <w:t xml:space="preserve">The complete column taxonomy for scoring events. The finding_state CHECK constraint pattern (enforcing state machine validity at the database level). The separation of reason_primary and reason_secondary for multi-factor failure classification. The hard_fail boolean as a non-compensatory harm flag. The trace_id field for distributed tracing correlation.</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WHAT IS NEXUS-SPECIFIC: </w:t>
      </w:r>
      <w:r>
        <w:rPr>
          <w:rFonts w:ascii="Calibri" w:eastAsia="Calibri"/>
          <w:color w:val="1A2B40"/>
          <w:sz w:val="22"/>
          <w:szCs w:val="22"/>
        </w:rPr>
        <w:t xml:space="preserve"> SQLite-specific schema syntax (AUTOINCREMENT, CURRENT_TIMESTAMP). The exact CHECK constraint values for finding_state. The column ordering and naming conventions.</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WHAT WE COULD ADOPT: </w:t>
      </w:r>
      <w:r>
        <w:rPr>
          <w:rFonts w:ascii="Calibri" w:eastAsia="Calibri"/>
          <w:color w:val="1A2B40"/>
          <w:sz w:val="22"/>
          <w:szCs w:val="22"/>
        </w:rPr>
        <w:t xml:space="preserve">The scoring_events column taxonomy as a reference schema for your own event logging. The finding_state state machine concept. The reason_primary/reason_secondary/hard_fail triad as a structured failure classification format.</w:t>
      </w:r>
      <w:r>
        <w:rPr>
          <w:rFonts w:ascii="Calibri" w:eastAsia="Calibri"/>
          <w:b/>
          <w:bCs/>
          <w:color w:val="529286"/>
          <w:sz w:val="18"/>
          <w:szCs w:val="18"/>
        </w:rPr>
        <w:t xml:space="preserve">  PROPOSED</w:t>
      </w:r>
    </w:p>
    <w:p>
      <w:pPr>
        <w:spacing w:after="60" w:line="312"/>
        <w:ind w:left="360"/>
      </w:pPr>
      <w:r>
        <w:rPr>
          <w:rFonts w:ascii="Calibri" w:eastAsia="Calibri"/>
          <w:b/>
          <w:bCs/>
          <w:color w:val="1A2B40"/>
          <w:sz w:val="22"/>
          <w:szCs w:val="22"/>
        </w:rPr>
        <w:t xml:space="preserve">RISK IF ADOPTED: </w:t>
      </w:r>
      <w:r>
        <w:rPr>
          <w:rFonts w:ascii="Calibri" w:eastAsia="Calibri"/>
          <w:color w:val="1A2B40"/>
          <w:sz w:val="22"/>
          <w:szCs w:val="22"/>
        </w:rPr>
        <w:t xml:space="preserve">The schema uses SQLite-specific syntax. If your system uses PostgreSQL or another engine, AUTOINCREMENT and CURRENT_TIMESTAMP require translation. The finding_state CHECK constraint locks the state machine to exactly six values; if you need additional states (e.g., 'expired', 'superseded'), the schema must change. The trust_after column is never populated in the current implementation, which could mislead consumers into thinking post-event trust snapshots are available.</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PROOF_LEVEL: </w:t>
      </w:r>
      <w:r>
        <w:rPr>
          <w:rFonts w:ascii="Calibri" w:eastAsia="Calibri"/>
          <w:color w:val="1A2B40"/>
          <w:sz w:val="22"/>
          <w:szCs w:val="22"/>
        </w:rPr>
        <w:t xml:space="preserve">confirmed by code</w:t>
      </w:r>
    </w:p>
    <w:p>
      <w:pPr>
        <w:pBdr>
          <w:bottom w:val="single" w:color="D0D8E0" w:sz="1" w:space="8"/>
        </w:pBdr>
        <w:spacing w:after="200" w:before="200"/>
      </w:pPr>
    </w:p>
    <w:p>
      <w:pPr>
        <w:pStyle w:val="Heading2"/>
        <w:spacing w:after="160" w:before="300" w:line="312"/>
      </w:pPr>
      <w:r>
        <w:rPr>
          <w:rFonts w:ascii="Times New Roman" w:eastAsia="Calibri"/>
          <w:b/>
          <w:bCs/>
          <w:color w:val="0B1C2C"/>
          <w:sz w:val="26"/>
          <w:szCs w:val="26"/>
        </w:rPr>
        <w:t xml:space="preserve">ITEM-004: Warm-Path Scoring Event Append</w:t>
      </w:r>
    </w:p>
    <w:p>
      <w:pPr>
        <w:pBdr>
          <w:top w:val="single" w:color="529286" w:sz="2" w:space="8"/>
        </w:pBdr>
        <w:spacing w:after="80" w:before="200" w:line="312"/>
      </w:pPr>
      <w:r>
        <w:rPr>
          <w:rFonts w:ascii="Calibri" w:eastAsia="Calibri"/>
          <w:b/>
          <w:bCs/>
          <w:color w:val="1A2B40"/>
          <w:sz w:val="22"/>
          <w:szCs w:val="22"/>
        </w:rPr>
        <w:t xml:space="preserve">ITEM-004</w:t>
      </w:r>
    </w:p>
    <w:p>
      <w:pPr>
        <w:spacing w:after="60" w:line="312"/>
        <w:ind w:left="360"/>
      </w:pPr>
      <w:r>
        <w:rPr>
          <w:rFonts w:ascii="Calibri" w:eastAsia="Calibri"/>
          <w:b/>
          <w:bCs/>
          <w:color w:val="1A2B40"/>
          <w:sz w:val="22"/>
          <w:szCs w:val="22"/>
        </w:rPr>
        <w:t xml:space="preserve">CURRENT_STATUS: </w:t>
      </w:r>
      <w:r>
        <w:rPr>
          <w:rFonts w:ascii="Calibri" w:eastAsia="Calibri"/>
          <w:color w:val="1A2B40"/>
          <w:sz w:val="22"/>
          <w:szCs w:val="22"/>
        </w:rPr>
        <w:t xml:space="preserve">Implemented in engine/executor.py. TaskExecutor._append_scoring_event() (lines 269-305) is called on the warm path after task execution. It fetches trust_before, inserts into scoring_events with all structured fields, and wraps everything in try/except so that scoring event failures never block or fail the primary task execution. The method writes score (1.0 or -1.0), trust_before, agent_id, lane, task_id, reason_primary, reason_secondary, hard_fail, and trace_id. It does NOT write trust_after, finding_state, or evidence_count.</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WHAT IS SHAREABLE: </w:t>
      </w:r>
      <w:r>
        <w:rPr>
          <w:rFonts w:ascii="Calibri" w:eastAsia="Calibri"/>
          <w:color w:val="1A2B40"/>
          <w:sz w:val="22"/>
          <w:szCs w:val="22"/>
        </w:rPr>
        <w:t xml:space="preserve">The warm-path append pattern: logging structured trust events as a non-blocking side effect of primary task execution. The try/except isolation pattern ensuring observability failures never cascade into execution failures. The design of scoring events as an append-only audit trail rather than a mutable state store.</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WHAT IS NEXUS-SPECIFIC: </w:t>
      </w:r>
      <w:r>
        <w:rPr>
          <w:rFonts w:ascii="Calibri" w:eastAsia="Calibri"/>
          <w:color w:val="1A2B40"/>
          <w:sz w:val="22"/>
          <w:szCs w:val="22"/>
        </w:rPr>
        <w:t xml:space="preserve"> The specific DatabaseManager integration. The SQLite INSERT syntax. The field mapping from ExecutionResult to scoring_events columns.</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WHAT WE COULD ADOPT: </w:t>
      </w:r>
      <w:r>
        <w:rPr>
          <w:rFonts w:ascii="Calibri" w:eastAsia="Calibri"/>
          <w:color w:val="1A2B40"/>
          <w:sz w:val="22"/>
          <w:szCs w:val="22"/>
        </w:rPr>
        <w:t xml:space="preserve">The non-blocking event append pattern for any trust or governance observability system. The concept of structured failure reasons (reason_primary/reason_secondary) as first-class event fields. The hard_fail flag as a distinct signal from regular failures.</w:t>
      </w:r>
      <w:r>
        <w:rPr>
          <w:rFonts w:ascii="Calibri" w:eastAsia="Calibri"/>
          <w:b/>
          <w:bCs/>
          <w:color w:val="529286"/>
          <w:sz w:val="18"/>
          <w:szCs w:val="18"/>
        </w:rPr>
        <w:t xml:space="preserve">  PROPOSED</w:t>
      </w:r>
    </w:p>
    <w:p>
      <w:pPr>
        <w:spacing w:after="60" w:line="312"/>
        <w:ind w:left="360"/>
      </w:pPr>
      <w:r>
        <w:rPr>
          <w:rFonts w:ascii="Calibri" w:eastAsia="Calibri"/>
          <w:b/>
          <w:bCs/>
          <w:color w:val="1A2B40"/>
          <w:sz w:val="22"/>
          <w:szCs w:val="22"/>
        </w:rPr>
        <w:t xml:space="preserve">RISK IF ADOPTED: </w:t>
      </w:r>
      <w:r>
        <w:rPr>
          <w:rFonts w:ascii="Calibri" w:eastAsia="Calibri"/>
          <w:color w:val="1A2B40"/>
          <w:sz w:val="22"/>
          <w:szCs w:val="22"/>
        </w:rPr>
        <w:t xml:space="preserve">The warm-path pattern means scoring events are eventually consistent with task execution. If the scoring event write fails silently (caught by try/except), there is no retry mechanism and the event is permanently lost. This is acceptable for observability but not for trust calculations that require completeness. If you need guaranteed event delivery, you need a queue or transactional outbox instead.</w:t>
      </w:r>
      <w:r>
        <w:rPr>
          <w:rFonts w:ascii="Calibri" w:eastAsia="Calibri"/>
          <w:b/>
          <w:bCs/>
          <w:color w:val="529286"/>
          <w:sz w:val="18"/>
          <w:szCs w:val="18"/>
        </w:rPr>
        <w:t xml:space="preserve">  INFERRED</w:t>
      </w:r>
    </w:p>
    <w:p>
      <w:pPr>
        <w:spacing w:after="60" w:line="312"/>
        <w:ind w:left="360"/>
      </w:pPr>
      <w:r>
        <w:rPr>
          <w:rFonts w:ascii="Calibri" w:eastAsia="Calibri"/>
          <w:b/>
          <w:bCs/>
          <w:color w:val="1A2B40"/>
          <w:sz w:val="22"/>
          <w:szCs w:val="22"/>
        </w:rPr>
        <w:t xml:space="preserve">PROOF_LEVEL: </w:t>
      </w:r>
      <w:r>
        <w:rPr>
          <w:rFonts w:ascii="Calibri" w:eastAsia="Calibri"/>
          <w:color w:val="1A2B40"/>
          <w:sz w:val="22"/>
          <w:szCs w:val="22"/>
        </w:rPr>
        <w:t xml:space="preserve">confirmed by code</w:t>
      </w:r>
    </w:p>
    <w:p>
      <w:pPr>
        <w:pBdr>
          <w:bottom w:val="single" w:color="D0D8E0" w:sz="1" w:space="8"/>
        </w:pBdr>
        <w:spacing w:after="200" w:before="200"/>
      </w:pPr>
    </w:p>
    <w:p>
      <w:pPr>
        <w:pStyle w:val="Heading2"/>
        <w:spacing w:after="160" w:before="300" w:line="312"/>
      </w:pPr>
      <w:r>
        <w:rPr>
          <w:rFonts w:ascii="Times New Roman" w:eastAsia="Calibri"/>
          <w:b/>
          <w:bCs/>
          <w:color w:val="0B1C2C"/>
          <w:sz w:val="26"/>
          <w:szCs w:val="26"/>
        </w:rPr>
        <w:t xml:space="preserve">ITEM-005: Heartbeat Reclaim Penalty to Availability Lane</w:t>
      </w:r>
    </w:p>
    <w:p>
      <w:pPr>
        <w:pBdr>
          <w:top w:val="single" w:color="529286" w:sz="2" w:space="8"/>
        </w:pBdr>
        <w:spacing w:after="80" w:before="200" w:line="312"/>
      </w:pPr>
      <w:r>
        <w:rPr>
          <w:rFonts w:ascii="Calibri" w:eastAsia="Calibri"/>
          <w:b/>
          <w:bCs/>
          <w:color w:val="1A2B40"/>
          <w:sz w:val="22"/>
          <w:szCs w:val="22"/>
        </w:rPr>
        <w:t xml:space="preserve">ITEM-005</w:t>
      </w:r>
    </w:p>
    <w:p>
      <w:pPr>
        <w:spacing w:after="60" w:line="312"/>
        <w:ind w:left="360"/>
      </w:pPr>
      <w:r>
        <w:rPr>
          <w:rFonts w:ascii="Calibri" w:eastAsia="Calibri"/>
          <w:b/>
          <w:bCs/>
          <w:color w:val="1A2B40"/>
          <w:sz w:val="22"/>
          <w:szCs w:val="22"/>
        </w:rPr>
        <w:t xml:space="preserve">CURRENT_STATUS: </w:t>
      </w:r>
      <w:r>
        <w:rPr>
          <w:rFonts w:ascii="Calibri" w:eastAsia="Calibri"/>
          <w:color w:val="1A2B40"/>
          <w:sz w:val="22"/>
          <w:szCs w:val="22"/>
        </w:rPr>
        <w:t xml:space="preserve">Implemented in engine/heartbeat.py. HeartbeatMonitor._reclaim_stalled_tasks() (lines 134-235) includes a Phase 1 trust penalty at lines 198-208. When a stalled task is reclaimed from an agent, it calls trust_scorer.record_failure(agent_id, weight=1.5, lane='availability'). The weight of 1.5 is an elevated penalty reflecting that availability failures are worse than normal execution failures (weight 1.0) but not as severe as hard failures (weight 2.0). The call is wrapped in a try/except with silent fallback if trust_scorer is None.</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WHAT IS SHAREABLE: </w:t>
      </w:r>
      <w:r>
        <w:rPr>
          <w:rFonts w:ascii="Calibri" w:eastAsia="Calibri"/>
          <w:color w:val="1A2B40"/>
          <w:sz w:val="22"/>
          <w:szCs w:val="22"/>
        </w:rPr>
        <w:t xml:space="preserve">The concept of routing heartbeat-derived availability signals into trust scoring via a dedicated lane. The graduated weight system (1.0 normal, 1.5 availability, 2.0 hard_fail) as a way of expressing severity differentiation in trust impact. The pattern of making heartbeat monitoring a trust signal source rather than a separate system.</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WHAT IS NEXUS-SPECIFIC: </w:t>
      </w:r>
      <w:r>
        <w:rPr>
          <w:rFonts w:ascii="Calibri" w:eastAsia="Calibri"/>
          <w:color w:val="1A2B40"/>
          <w:sz w:val="22"/>
          <w:szCs w:val="22"/>
        </w:rPr>
        <w:t xml:space="preserve">The specific weight values. The 'availability' lane label. The HeartbeatMonitor class structure and its _reclaim_stalled_tasks() method. The SQLite-backed trust scorer.</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WHAT WE COULD ADOPT: </w:t>
      </w:r>
      <w:r>
        <w:rPr>
          <w:rFonts w:ascii="Calibri" w:eastAsia="Calibri"/>
          <w:color w:val="1A2B40"/>
          <w:sz w:val="22"/>
          <w:szCs w:val="22"/>
        </w:rPr>
        <w:t xml:space="preserve">The principle that agent availability signals should feed into trust scoring rather than existing as a separate health metric. The graduated penalty weight approach for different failure severity levels. The dedicated availability lane concept.</w:t>
      </w:r>
      <w:r>
        <w:rPr>
          <w:rFonts w:ascii="Calibri" w:eastAsia="Calibri"/>
          <w:b/>
          <w:bCs/>
          <w:color w:val="529286"/>
          <w:sz w:val="18"/>
          <w:szCs w:val="18"/>
        </w:rPr>
        <w:t xml:space="preserve">  PROPOSED</w:t>
      </w:r>
    </w:p>
    <w:p>
      <w:pPr>
        <w:spacing w:after="60" w:line="312"/>
        <w:ind w:left="360"/>
      </w:pPr>
      <w:r>
        <w:rPr>
          <w:rFonts w:ascii="Calibri" w:eastAsia="Calibri"/>
          <w:b/>
          <w:bCs/>
          <w:color w:val="1A2B40"/>
          <w:sz w:val="22"/>
          <w:szCs w:val="22"/>
        </w:rPr>
        <w:t xml:space="preserve">RISK IF ADOPTED: </w:t>
      </w:r>
      <w:r>
        <w:rPr>
          <w:rFonts w:ascii="Calibri" w:eastAsia="Calibri"/>
          <w:color w:val="1A2B40"/>
          <w:sz w:val="22"/>
          <w:szCs w:val="22"/>
        </w:rPr>
        <w:t xml:space="preserve">The current implementation applies the penalty immediately upon task reclamation, which means transient network blips that cause temporary stalls will permanently reduce trust. There is no recovery mechanism for false-positive stalls. If your system has frequent transient stalls, this approach could unfairly penalize reliable agents.</w:t>
      </w:r>
      <w:r>
        <w:rPr>
          <w:rFonts w:ascii="Calibri" w:eastAsia="Calibri"/>
          <w:b/>
          <w:bCs/>
          <w:color w:val="529286"/>
          <w:sz w:val="18"/>
          <w:szCs w:val="18"/>
        </w:rPr>
        <w:t xml:space="preserve">  INFERRED</w:t>
      </w:r>
    </w:p>
    <w:p>
      <w:pPr>
        <w:spacing w:after="60" w:line="312"/>
        <w:ind w:left="360"/>
      </w:pPr>
      <w:r>
        <w:rPr>
          <w:rFonts w:ascii="Calibri" w:eastAsia="Calibri"/>
          <w:b/>
          <w:bCs/>
          <w:color w:val="1A2B40"/>
          <w:sz w:val="22"/>
          <w:szCs w:val="22"/>
        </w:rPr>
        <w:t xml:space="preserve">PROOF_LEVEL: </w:t>
      </w:r>
      <w:r>
        <w:rPr>
          <w:rFonts w:ascii="Calibri" w:eastAsia="Calibri"/>
          <w:color w:val="1A2B40"/>
          <w:sz w:val="22"/>
          <w:szCs w:val="22"/>
        </w:rPr>
        <w:t xml:space="preserve">confirmed by code</w:t>
      </w:r>
    </w:p>
    <w:p>
      <w:pPr>
        <w:pBdr>
          <w:bottom w:val="single" w:color="D0D8E0" w:sz="1" w:space="8"/>
        </w:pBdr>
        <w:spacing w:after="200" w:before="200"/>
      </w:pPr>
    </w:p>
    <w:p>
      <w:pPr>
        <w:pStyle w:val="Heading2"/>
        <w:spacing w:after="160" w:before="300" w:line="312"/>
      </w:pPr>
      <w:r>
        <w:rPr>
          <w:rFonts w:ascii="Times New Roman" w:eastAsia="Calibri"/>
          <w:b/>
          <w:bCs/>
          <w:color w:val="0B1C2C"/>
          <w:sz w:val="26"/>
          <w:szCs w:val="26"/>
        </w:rPr>
        <w:t xml:space="preserve">ITEM-006: Execution Result Structured Reason Fields</w:t>
      </w:r>
    </w:p>
    <w:p>
      <w:pPr>
        <w:pBdr>
          <w:top w:val="single" w:color="529286" w:sz="2" w:space="8"/>
        </w:pBdr>
        <w:spacing w:after="80" w:before="200" w:line="312"/>
      </w:pPr>
      <w:r>
        <w:rPr>
          <w:rFonts w:ascii="Calibri" w:eastAsia="Calibri"/>
          <w:b/>
          <w:bCs/>
          <w:color w:val="1A2B40"/>
          <w:sz w:val="22"/>
          <w:szCs w:val="22"/>
        </w:rPr>
        <w:t xml:space="preserve">ITEM-006</w:t>
      </w:r>
    </w:p>
    <w:p>
      <w:pPr>
        <w:spacing w:after="60" w:line="312"/>
        <w:ind w:left="360"/>
      </w:pPr>
      <w:r>
        <w:rPr>
          <w:rFonts w:ascii="Calibri" w:eastAsia="Calibri"/>
          <w:b/>
          <w:bCs/>
          <w:color w:val="1A2B40"/>
          <w:sz w:val="22"/>
          <w:szCs w:val="22"/>
        </w:rPr>
        <w:t xml:space="preserve">CURRENT_STATUS: </w:t>
      </w:r>
      <w:r>
        <w:rPr>
          <w:rFonts w:ascii="Calibri" w:eastAsia="Calibri"/>
          <w:color w:val="1A2B40"/>
          <w:sz w:val="22"/>
          <w:szCs w:val="22"/>
        </w:rPr>
        <w:t xml:space="preserve">Fully implemented in engine/executor.py. The ExecutionResult dataclass (lines 28-39) includes three Phase 1 extensions: reason_primary (str, default ''), reason_secondary (str, default ''), and hard_fail (bool, default False). These flow through _execute_single() and into _append_scoring_event(). On crash, reason_primary is set to 'EXECUTOR_CRASH'. On hard_fail=True, the trust penalty weight doubles to 2.0.</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WHAT IS SHAREABLE: </w:t>
      </w:r>
      <w:r>
        <w:rPr>
          <w:rFonts w:ascii="Calibri" w:eastAsia="Calibri"/>
          <w:color w:val="1A2B40"/>
          <w:sz w:val="22"/>
          <w:szCs w:val="22"/>
        </w:rPr>
        <w:t xml:space="preserve">The dataclass extension pattern for structured failure classification. The separation of primary and secondary reasons as a way to express 'this failed because of X, with contributing factor Y'. The hard_fail boolean as a non-compensatory flag that triggers elevated penalties.</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WHAT IS NEXUS-SPECIFIC: </w:t>
      </w:r>
      <w:r>
        <w:rPr>
          <w:rFonts w:ascii="Calibri" w:eastAsia="Calibri"/>
          <w:color w:val="1A2B40"/>
          <w:sz w:val="22"/>
          <w:szCs w:val="22"/>
        </w:rPr>
        <w:t xml:space="preserve">The specific reason code strings ('EXECUTOR_CRASH', 'LOW_CONFIDENCE', 'REGRESSION_DOMINANT'). The weight multiplication logic tied to hard_fail. The dataclass definition itself (Python-specific).</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WHAT WE COULD ADOPT: </w:t>
      </w:r>
      <w:r>
        <w:rPr>
          <w:rFonts w:ascii="Calibri" w:eastAsia="Calibri"/>
          <w:color w:val="1A2B40"/>
          <w:sz w:val="22"/>
          <w:szCs w:val="22"/>
        </w:rPr>
        <w:t xml:space="preserve">The reason_primary/reason_secondary/hard_fail triad as a standard failure classification format for your own agent execution results. The concept of structured reason codes that flow from execution through trust scoring through audit events.</w:t>
      </w:r>
      <w:r>
        <w:rPr>
          <w:rFonts w:ascii="Calibri" w:eastAsia="Calibri"/>
          <w:b/>
          <w:bCs/>
          <w:color w:val="529286"/>
          <w:sz w:val="18"/>
          <w:szCs w:val="18"/>
        </w:rPr>
        <w:t xml:space="preserve">  PROPOSED</w:t>
      </w:r>
    </w:p>
    <w:p>
      <w:pPr>
        <w:spacing w:after="60" w:line="312"/>
        <w:ind w:left="360"/>
      </w:pPr>
      <w:r>
        <w:rPr>
          <w:rFonts w:ascii="Calibri" w:eastAsia="Calibri"/>
          <w:b/>
          <w:bCs/>
          <w:color w:val="1A2B40"/>
          <w:sz w:val="22"/>
          <w:szCs w:val="22"/>
        </w:rPr>
        <w:t xml:space="preserve">RISK IF ADOPTED: </w:t>
      </w:r>
      <w:r>
        <w:rPr>
          <w:rFonts w:ascii="Calibri" w:eastAsia="Calibri"/>
          <w:color w:val="1A2B40"/>
          <w:sz w:val="22"/>
          <w:szCs w:val="22"/>
        </w:rPr>
        <w:t xml:space="preserve">The reason codes are currently free-form strings. Without a controlled vocabulary, different executors may produce inconsistent reason codes, making aggregation and analysis unreliable. If adopting this pattern, define an enumerated set of reason codes upfront.</w:t>
      </w:r>
      <w:r>
        <w:rPr>
          <w:rFonts w:ascii="Calibri" w:eastAsia="Calibri"/>
          <w:b/>
          <w:bCs/>
          <w:color w:val="529286"/>
          <w:sz w:val="18"/>
          <w:szCs w:val="18"/>
        </w:rPr>
        <w:t xml:space="preserve">  INFERRED</w:t>
      </w:r>
    </w:p>
    <w:p>
      <w:pPr>
        <w:spacing w:after="60" w:line="312"/>
        <w:ind w:left="360"/>
      </w:pPr>
      <w:r>
        <w:rPr>
          <w:rFonts w:ascii="Calibri" w:eastAsia="Calibri"/>
          <w:b/>
          <w:bCs/>
          <w:color w:val="1A2B40"/>
          <w:sz w:val="22"/>
          <w:szCs w:val="22"/>
        </w:rPr>
        <w:t xml:space="preserve">PROOF_LEVEL: </w:t>
      </w:r>
      <w:r>
        <w:rPr>
          <w:rFonts w:ascii="Calibri" w:eastAsia="Calibri"/>
          <w:color w:val="1A2B40"/>
          <w:sz w:val="22"/>
          <w:szCs w:val="22"/>
        </w:rPr>
        <w:t xml:space="preserve">confirmed by code</w:t>
      </w:r>
    </w:p>
    <w:p>
      <w:pPr>
        <w:pBdr>
          <w:bottom w:val="single" w:color="D0D8E0" w:sz="1" w:space="8"/>
        </w:pBdr>
        <w:spacing w:after="200" w:before="200"/>
      </w:pPr>
    </w:p>
    <w:p>
      <w:pPr>
        <w:pStyle w:val="Heading2"/>
        <w:spacing w:after="160" w:before="300" w:line="312"/>
      </w:pPr>
      <w:r>
        <w:rPr>
          <w:rFonts w:ascii="Times New Roman" w:eastAsia="Calibri"/>
          <w:b/>
          <w:bCs/>
          <w:color w:val="0B1C2C"/>
          <w:sz w:val="26"/>
          <w:szCs w:val="26"/>
        </w:rPr>
        <w:t xml:space="preserve">ITEM-007: Proof-Level Reporting Discipline</w:t>
      </w:r>
    </w:p>
    <w:p>
      <w:pPr>
        <w:pBdr>
          <w:top w:val="single" w:color="529286" w:sz="2" w:space="8"/>
        </w:pBdr>
        <w:spacing w:after="80" w:before="200" w:line="312"/>
      </w:pPr>
      <w:r>
        <w:rPr>
          <w:rFonts w:ascii="Calibri" w:eastAsia="Calibri"/>
          <w:b/>
          <w:bCs/>
          <w:color w:val="1A2B40"/>
          <w:sz w:val="22"/>
          <w:szCs w:val="22"/>
        </w:rPr>
        <w:t xml:space="preserve">ITEM-007</w:t>
      </w:r>
    </w:p>
    <w:p>
      <w:pPr>
        <w:spacing w:after="60" w:line="312"/>
        <w:ind w:left="360"/>
      </w:pPr>
      <w:r>
        <w:rPr>
          <w:rFonts w:ascii="Calibri" w:eastAsia="Calibri"/>
          <w:b/>
          <w:bCs/>
          <w:color w:val="1A2B40"/>
          <w:sz w:val="22"/>
          <w:szCs w:val="22"/>
        </w:rPr>
        <w:t xml:space="preserve">CURRENT_STATUS: </w:t>
      </w:r>
      <w:r>
        <w:rPr>
          <w:rFonts w:ascii="Calibri" w:eastAsia="Calibri"/>
          <w:color w:val="1A2B40"/>
          <w:sz w:val="22"/>
          <w:szCs w:val="22"/>
        </w:rPr>
        <w:t xml:space="preserve">Partially present as a schema pattern in NexusOS. The finding_state column in scoring_events provides a database-level claim-tagging mechanism (six states: suspected, provisional, confirmed, rejected, held, escalated). The evidence_count column tracks supporting evidence. However, no code actively writes non-default values to either column. No dedicated proof-level reporting module exists. The discipline is applied at the document and communication level (this packet, the crossover memo, the evidence packet schema) but is not codified in the runtime.</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WHAT IS SHAREABLE: </w:t>
      </w:r>
      <w:r>
        <w:rPr>
          <w:rFonts w:ascii="Calibri" w:eastAsia="Calibri"/>
          <w:color w:val="1A2B40"/>
          <w:sz w:val="22"/>
          <w:szCs w:val="22"/>
        </w:rPr>
        <w:t xml:space="preserve">The claim-tagging taxonomy: CODE_CONFIRMED, ARTIFACT_CONFIRMED, DOCUMENT_CONFIRMED, INFERRED, PROPOSED, BLOCKED. The separation of human-review surfaces from machine-export surfaces. The concept of minimum acceptable evidence levels before claims advance in confidence. The finding_state CHECK constraint as a database-level enforcement of claim validity.</w:t>
      </w:r>
      <w:r>
        <w:rPr>
          <w:rFonts w:ascii="Calibri" w:eastAsia="Calibri"/>
          <w:b/>
          <w:bCs/>
          <w:color w:val="529286"/>
          <w:sz w:val="18"/>
          <w:szCs w:val="18"/>
        </w:rPr>
        <w:t xml:space="preserve">  DOCUMENT_CONFIRMED</w:t>
      </w:r>
    </w:p>
    <w:p>
      <w:pPr>
        <w:spacing w:after="60" w:line="312"/>
        <w:ind w:left="360"/>
      </w:pPr>
      <w:r>
        <w:rPr>
          <w:rFonts w:ascii="Calibri" w:eastAsia="Calibri"/>
          <w:b/>
          <w:bCs/>
          <w:color w:val="1A2B40"/>
          <w:sz w:val="22"/>
          <w:szCs w:val="22"/>
        </w:rPr>
        <w:t xml:space="preserve">WHAT IS NEXUS-SPECIFIC: </w:t>
      </w:r>
      <w:r>
        <w:rPr>
          <w:rFonts w:ascii="Calibri" w:eastAsia="Calibri"/>
          <w:color w:val="1A2B40"/>
          <w:sz w:val="22"/>
          <w:szCs w:val="22"/>
        </w:rPr>
        <w:t xml:space="preserve">The specific proof tag vocabulary. The finding_state column values. The NexusOS runtime context.</w:t>
      </w:r>
      <w:r>
        <w:rPr>
          <w:rFonts w:ascii="Calibri" w:eastAsia="Calibri"/>
          <w:b/>
          <w:bCs/>
          <w:color w:val="529286"/>
          <w:sz w:val="18"/>
          <w:szCs w:val="18"/>
        </w:rPr>
        <w:t xml:space="preserve">  DOCUMENT_CONFIRMED</w:t>
      </w:r>
    </w:p>
    <w:p>
      <w:pPr>
        <w:spacing w:after="60" w:line="312"/>
        <w:ind w:left="360"/>
      </w:pPr>
      <w:r>
        <w:rPr>
          <w:rFonts w:ascii="Calibri" w:eastAsia="Calibri"/>
          <w:b/>
          <w:bCs/>
          <w:color w:val="1A2B40"/>
          <w:sz w:val="22"/>
          <w:szCs w:val="22"/>
        </w:rPr>
        <w:t xml:space="preserve">WHAT WE COULD ADOPT: </w:t>
      </w:r>
      <w:r>
        <w:rPr>
          <w:rFonts w:ascii="Calibri" w:eastAsia="Calibri"/>
          <w:color w:val="1A2B40"/>
          <w:sz w:val="22"/>
          <w:szCs w:val="22"/>
        </w:rPr>
        <w:t xml:space="preserve">The proof-level claim tagging discipline for your own internal reporting and documentation. The concept of explicit evidence requirements before advancing claims. The human/machine review surface separation.</w:t>
      </w:r>
      <w:r>
        <w:rPr>
          <w:rFonts w:ascii="Calibri" w:eastAsia="Calibri"/>
          <w:b/>
          <w:bCs/>
          <w:color w:val="529286"/>
          <w:sz w:val="18"/>
          <w:szCs w:val="18"/>
        </w:rPr>
        <w:t xml:space="preserve">  PROPOSED</w:t>
      </w:r>
    </w:p>
    <w:p>
      <w:pPr>
        <w:spacing w:after="60" w:line="312"/>
        <w:ind w:left="360"/>
      </w:pPr>
      <w:r>
        <w:rPr>
          <w:rFonts w:ascii="Calibri" w:eastAsia="Calibri"/>
          <w:b/>
          <w:bCs/>
          <w:color w:val="1A2B40"/>
          <w:sz w:val="22"/>
          <w:szCs w:val="22"/>
        </w:rPr>
        <w:t xml:space="preserve">RISK IF ADOPTED: </w:t>
      </w:r>
      <w:r>
        <w:rPr>
          <w:rFonts w:ascii="Calibri" w:eastAsia="Calibri"/>
          <w:color w:val="1A2B40"/>
          <w:sz w:val="22"/>
          <w:szCs w:val="22"/>
        </w:rPr>
        <w:t xml:space="preserve">Proof-level discipline adds overhead to every claim and every document. Without tooling support (e.g., automated claim extraction, proof-level linting), it relies on human discipline and is prone to degradation over time. The specific tag vocabulary may not map cleanly to your existing documentation practices.</w:t>
      </w:r>
      <w:r>
        <w:rPr>
          <w:rFonts w:ascii="Calibri" w:eastAsia="Calibri"/>
          <w:b/>
          <w:bCs/>
          <w:color w:val="529286"/>
          <w:sz w:val="18"/>
          <w:szCs w:val="18"/>
        </w:rPr>
        <w:t xml:space="preserve">  INFERRED</w:t>
      </w:r>
    </w:p>
    <w:p>
      <w:pPr>
        <w:spacing w:after="60" w:line="312"/>
        <w:ind w:left="360"/>
      </w:pPr>
      <w:r>
        <w:rPr>
          <w:rFonts w:ascii="Calibri" w:eastAsia="Calibri"/>
          <w:b/>
          <w:bCs/>
          <w:color w:val="1A2B40"/>
          <w:sz w:val="22"/>
          <w:szCs w:val="22"/>
        </w:rPr>
        <w:t xml:space="preserve">PROOF_LEVEL: </w:t>
      </w:r>
      <w:r>
        <w:rPr>
          <w:rFonts w:ascii="Calibri" w:eastAsia="Calibri"/>
          <w:color w:val="1A2B40"/>
          <w:sz w:val="22"/>
          <w:szCs w:val="22"/>
        </w:rPr>
        <w:t xml:space="preserve">document confirmed</w:t>
      </w:r>
    </w:p>
    <w:p>
      <w:pPr>
        <w:pBdr>
          <w:bottom w:val="single" w:color="D0D8E0" w:sz="1" w:space="8"/>
        </w:pBdr>
        <w:spacing w:after="200" w:before="200"/>
      </w:pPr>
    </w:p>
    <w:p>
      <w:pPr>
        <w:pStyle w:val="Heading2"/>
        <w:spacing w:after="160" w:before="300" w:line="312"/>
      </w:pPr>
      <w:r>
        <w:rPr>
          <w:rFonts w:ascii="Times New Roman" w:eastAsia="Calibri"/>
          <w:b/>
          <w:bCs/>
          <w:color w:val="0B1C2C"/>
          <w:sz w:val="26"/>
          <w:szCs w:val="26"/>
        </w:rPr>
        <w:t xml:space="preserve">ITEM-008: Backward-Compatible Test Strategy</w:t>
      </w:r>
    </w:p>
    <w:p>
      <w:pPr>
        <w:pBdr>
          <w:top w:val="single" w:color="529286" w:sz="2" w:space="8"/>
        </w:pBdr>
        <w:spacing w:after="80" w:before="200" w:line="312"/>
      </w:pPr>
      <w:r>
        <w:rPr>
          <w:rFonts w:ascii="Calibri" w:eastAsia="Calibri"/>
          <w:b/>
          <w:bCs/>
          <w:color w:val="1A2B40"/>
          <w:sz w:val="22"/>
          <w:szCs w:val="22"/>
        </w:rPr>
        <w:t xml:space="preserve">ITEM-008</w:t>
      </w:r>
    </w:p>
    <w:p>
      <w:pPr>
        <w:spacing w:after="60" w:line="312"/>
        <w:ind w:left="360"/>
      </w:pPr>
      <w:r>
        <w:rPr>
          <w:rFonts w:ascii="Calibri" w:eastAsia="Calibri"/>
          <w:b/>
          <w:bCs/>
          <w:color w:val="1A2B40"/>
          <w:sz w:val="22"/>
          <w:szCs w:val="22"/>
        </w:rPr>
        <w:t xml:space="preserve">CURRENT_STATUS: </w:t>
      </w:r>
      <w:r>
        <w:rPr>
          <w:rFonts w:ascii="Calibri" w:eastAsia="Calibri"/>
          <w:color w:val="1A2B40"/>
          <w:sz w:val="22"/>
          <w:szCs w:val="22"/>
        </w:rPr>
        <w:t xml:space="preserve">Demonstrated across the test suite. The NexusOS Phase 1 additions were layered on top of the existing codebase without modifying pre-existing interfaces. Trust scoring was added as an optional parameter (trust_scorer=None default) in BridgeServer and HeartbeatMonitor. ExecutionResult gained new fields with safe defaults. The scoring_events table was additive. Test results show 218 collected, 184 passed, 34 failed. All 34 failures pre-exist in compliance integration tests (20), hermes router tests (4), squeez wisdom promotion (4), security poisoning (3), and misc (3). Zero failures are attributable to Phase 1 additions. All trust scoring tests pass (test_trust.py + test_trust_v2.py = 22 tests). All bridge integration tests pass. All heartbeat tests pass.</w:t>
      </w:r>
      <w:r>
        <w:rPr>
          <w:rFonts w:ascii="Calibri" w:eastAsia="Calibri"/>
          <w:b/>
          <w:bCs/>
          <w:color w:val="529286"/>
          <w:sz w:val="18"/>
          <w:szCs w:val="18"/>
        </w:rPr>
        <w:t xml:space="preserve">  ARTIFACT_CONFIRMED</w:t>
      </w:r>
    </w:p>
    <w:p>
      <w:pPr>
        <w:spacing w:after="60" w:line="312"/>
        <w:ind w:left="360"/>
      </w:pPr>
      <w:r>
        <w:rPr>
          <w:rFonts w:ascii="Calibri" w:eastAsia="Calibri"/>
          <w:b/>
          <w:bCs/>
          <w:color w:val="1A2B40"/>
          <w:sz w:val="22"/>
          <w:szCs w:val="22"/>
        </w:rPr>
        <w:t xml:space="preserve">WHAT IS SHAREABLE: </w:t>
      </w:r>
      <w:r>
        <w:rPr>
          <w:rFonts w:ascii="Calibri" w:eastAsia="Calibri"/>
          <w:color w:val="1A2B40"/>
          <w:sz w:val="22"/>
          <w:szCs w:val="22"/>
        </w:rPr>
        <w:t xml:space="preserve">The pattern of making all new features optional via constructor parameters with None defaults. The additive schema approach (new table, new columns with defaults, no modifications to existing tables). The test isolation approach where new features have dedicated test files that do not modify existing test fixtures.</w:t>
      </w:r>
      <w:r>
        <w:rPr>
          <w:rFonts w:ascii="Calibri" w:eastAsia="Calibri"/>
          <w:b/>
          <w:bCs/>
          <w:color w:val="529286"/>
          <w:sz w:val="18"/>
          <w:szCs w:val="18"/>
        </w:rPr>
        <w:t xml:space="preserve">  ARTIFACT_CONFIRMED</w:t>
      </w:r>
    </w:p>
    <w:p>
      <w:pPr>
        <w:spacing w:after="60" w:line="312"/>
        <w:ind w:left="360"/>
      </w:pPr>
      <w:r>
        <w:rPr>
          <w:rFonts w:ascii="Calibri" w:eastAsia="Calibri"/>
          <w:b/>
          <w:bCs/>
          <w:color w:val="1A2B40"/>
          <w:sz w:val="22"/>
          <w:szCs w:val="22"/>
        </w:rPr>
        <w:t xml:space="preserve">WHAT IS NEXUS-SPECIFIC: </w:t>
      </w:r>
      <w:r>
        <w:rPr>
          <w:rFonts w:ascii="Calibri" w:eastAsia="Calibri"/>
          <w:color w:val="1A2B40"/>
          <w:sz w:val="22"/>
          <w:szCs w:val="22"/>
        </w:rPr>
        <w:t xml:space="preserve">The specific test files and fixtures. The pytest-based test runner configuration. The SQLite test databases.</w:t>
      </w:r>
      <w:r>
        <w:rPr>
          <w:rFonts w:ascii="Calibri" w:eastAsia="Calibri"/>
          <w:b/>
          <w:bCs/>
          <w:color w:val="529286"/>
          <w:sz w:val="18"/>
          <w:szCs w:val="18"/>
        </w:rPr>
        <w:t xml:space="preserve">  ARTIFACT_CONFIRMED</w:t>
      </w:r>
    </w:p>
    <w:p>
      <w:pPr>
        <w:spacing w:after="60" w:line="312"/>
        <w:ind w:left="360"/>
      </w:pPr>
      <w:r>
        <w:rPr>
          <w:rFonts w:ascii="Calibri" w:eastAsia="Calibri"/>
          <w:b/>
          <w:bCs/>
          <w:color w:val="1A2B40"/>
          <w:sz w:val="22"/>
          <w:szCs w:val="22"/>
        </w:rPr>
        <w:t xml:space="preserve">WHAT WE COULD ADOPT: </w:t>
      </w:r>
      <w:r>
        <w:rPr>
          <w:rFonts w:ascii="Calibri" w:eastAsia="Calibri"/>
          <w:color w:val="1A2B40"/>
          <w:sz w:val="22"/>
          <w:szCs w:val="22"/>
        </w:rPr>
        <w:t xml:space="preserve">The optional-injection pattern for extending existing systems with trust scoring. The additive-only schema migration approach. The dedicated-test-file-per-feature testing discipline.</w:t>
      </w:r>
      <w:r>
        <w:rPr>
          <w:rFonts w:ascii="Calibri" w:eastAsia="Calibri"/>
          <w:b/>
          <w:bCs/>
          <w:color w:val="529286"/>
          <w:sz w:val="18"/>
          <w:szCs w:val="18"/>
        </w:rPr>
        <w:t xml:space="preserve">  PROPOSED</w:t>
      </w:r>
    </w:p>
    <w:p>
      <w:pPr>
        <w:spacing w:after="60" w:line="312"/>
        <w:ind w:left="360"/>
      </w:pPr>
      <w:r>
        <w:rPr>
          <w:rFonts w:ascii="Calibri" w:eastAsia="Calibri"/>
          <w:b/>
          <w:bCs/>
          <w:color w:val="1A2B40"/>
          <w:sz w:val="22"/>
          <w:szCs w:val="22"/>
        </w:rPr>
        <w:t xml:space="preserve">RISK IF ADOPTED: </w:t>
      </w:r>
      <w:r>
        <w:rPr>
          <w:rFonts w:ascii="Calibri" w:eastAsia="Calibri"/>
          <w:color w:val="1A2B40"/>
          <w:sz w:val="22"/>
          <w:szCs w:val="22"/>
        </w:rPr>
        <w:t xml:space="preserve">Optional injection means features can be silently disabled if the wiring step is forgotten. In production, a misconfigured system might run for months without trust scoring active and nobody would notice. If adopting this pattern, add a startup validation that warns when expected optional features are not configured.</w:t>
      </w:r>
      <w:r>
        <w:rPr>
          <w:rFonts w:ascii="Calibri" w:eastAsia="Calibri"/>
          <w:b/>
          <w:bCs/>
          <w:color w:val="529286"/>
          <w:sz w:val="18"/>
          <w:szCs w:val="18"/>
        </w:rPr>
        <w:t xml:space="preserve">  INFERRED</w:t>
      </w:r>
    </w:p>
    <w:p>
      <w:pPr>
        <w:spacing w:after="60" w:line="312"/>
        <w:ind w:left="360"/>
      </w:pPr>
      <w:r>
        <w:rPr>
          <w:rFonts w:ascii="Calibri" w:eastAsia="Calibri"/>
          <w:b/>
          <w:bCs/>
          <w:color w:val="1A2B40"/>
          <w:sz w:val="22"/>
          <w:szCs w:val="22"/>
        </w:rPr>
        <w:t xml:space="preserve">PROOF_LEVEL: </w:t>
      </w:r>
      <w:r>
        <w:rPr>
          <w:rFonts w:ascii="Calibri" w:eastAsia="Calibri"/>
          <w:color w:val="1A2B40"/>
          <w:sz w:val="22"/>
          <w:szCs w:val="22"/>
        </w:rPr>
        <w:t xml:space="preserve">artifact confirmed</w:t>
      </w:r>
    </w:p>
    <w:p>
      <w:pPr>
        <w:pBdr>
          <w:bottom w:val="single" w:color="D0D8E0" w:sz="1" w:space="8"/>
        </w:pBdr>
        <w:spacing w:after="200" w:before="200"/>
      </w:pPr>
    </w:p>
    <w:p>
      <w:pPr>
        <w:pStyle w:val="Heading1"/>
        <w:spacing w:after="200" w:before="400" w:line="312"/>
      </w:pPr>
      <w:r>
        <w:rPr>
          <w:rFonts w:ascii="Times New Roman" w:eastAsia="Calibri"/>
          <w:b/>
          <w:bCs/>
          <w:color w:val="0B1C2C"/>
          <w:sz w:val="32"/>
          <w:szCs w:val="32"/>
        </w:rPr>
        <w:t xml:space="preserve">Part C: Recommended Changes</w:t>
      </w:r>
    </w:p>
    <w:p>
      <w:pPr>
        <w:spacing w:after="120" w:line="312"/>
        <w:jc w:val="both"/>
      </w:pPr>
      <w:r>
        <w:rPr>
          <w:rFonts w:ascii="Calibri" w:eastAsia="Calibri"/>
          <w:color w:val="1A2B40"/>
          <w:sz w:val="22"/>
          <w:szCs w:val="22"/>
        </w:rPr>
        <w:t xml:space="preserve">This section proposes the smallest useful structure improvements for your side, derived solely from the achieved and shareable NexusOS work described in Part B. Each proposal is evaluated for immediate adoptability and artifact dependency. No proposals require DoppelGround to leave USE MODE, no proposals present unverified mappings as settled truth, and human review surfaces are kept separate from machine export surfaces throughout.</w:t>
      </w:r>
      <w:r>
        <w:rPr>
          <w:rFonts w:ascii="Calibri" w:eastAsia="Calibri"/>
          <w:b/>
          <w:bCs/>
          <w:color w:val="529286"/>
          <w:sz w:val="18"/>
          <w:szCs w:val="18"/>
        </w:rPr>
        <w:t xml:space="preserve">  INFERRED</w:t>
      </w:r>
    </w:p>
    <w:p>
      <w:pPr>
        <w:pStyle w:val="Heading2"/>
        <w:spacing w:after="160" w:before="300" w:line="312"/>
      </w:pPr>
      <w:r>
        <w:rPr>
          <w:rFonts w:ascii="Times New Roman" w:eastAsia="Calibri"/>
          <w:b/>
          <w:bCs/>
          <w:color w:val="0B1C2C"/>
          <w:sz w:val="26"/>
          <w:szCs w:val="26"/>
        </w:rPr>
        <w:t xml:space="preserve">CHG-001: Adopt Structured Reason Codes for Agent Failures</w:t>
      </w:r>
    </w:p>
    <w:p>
      <w:pPr>
        <w:pBdr>
          <w:top w:val="single" w:color="529286" w:sz="2" w:space="8"/>
        </w:pBdr>
        <w:spacing w:after="80" w:before="200" w:line="312"/>
      </w:pPr>
      <w:r>
        <w:rPr>
          <w:rFonts w:ascii="Calibri" w:eastAsia="Calibri"/>
          <w:b/>
          <w:bCs/>
          <w:color w:val="1A2B40"/>
          <w:sz w:val="22"/>
          <w:szCs w:val="22"/>
        </w:rPr>
        <w:t xml:space="preserve">CHG-001</w:t>
      </w:r>
    </w:p>
    <w:p>
      <w:pPr>
        <w:spacing w:after="60" w:line="312"/>
        <w:ind w:left="360"/>
      </w:pPr>
      <w:r>
        <w:rPr>
          <w:rFonts w:ascii="Calibri" w:eastAsia="Calibri"/>
          <w:b/>
          <w:bCs/>
          <w:color w:val="1A2B40"/>
          <w:sz w:val="22"/>
          <w:szCs w:val="22"/>
        </w:rPr>
        <w:t xml:space="preserve">CHANGE_SCOPE: </w:t>
      </w:r>
      <w:r>
        <w:rPr>
          <w:rFonts w:ascii="Calibri" w:eastAsia="Calibri"/>
          <w:color w:val="1A2B40"/>
          <w:sz w:val="22"/>
          <w:szCs w:val="22"/>
        </w:rPr>
        <w:t xml:space="preserve">export contract</w:t>
      </w:r>
    </w:p>
    <w:p>
      <w:pPr>
        <w:spacing w:after="60" w:line="312"/>
        <w:ind w:left="360"/>
      </w:pPr>
      <w:r>
        <w:rPr>
          <w:rFonts w:ascii="Calibri" w:eastAsia="Calibri"/>
          <w:b/>
          <w:bCs/>
          <w:color w:val="1A2B40"/>
          <w:sz w:val="22"/>
          <w:szCs w:val="22"/>
        </w:rPr>
        <w:t xml:space="preserve">WHY IT HELPS: </w:t>
      </w:r>
      <w:r>
        <w:rPr>
          <w:rFonts w:ascii="Calibri" w:eastAsia="Calibri"/>
          <w:color w:val="1A2B40"/>
          <w:sz w:val="22"/>
          <w:szCs w:val="22"/>
        </w:rPr>
        <w:t xml:space="preserve">NexusOS demonstrates that structured failure classification (reason_primary, reason_secondary, hard_fail) flowing from execution through scoring events provides a queryable audit trail that free-form error messages cannot. Without structured reason codes, failure analysis requires pattern matching against unstructured text, which is fragile and non-portable across system boundaries. If DoppelGround adopts even a minimal reason code vocabulary for its agent execution results, future cross-system failure correlation becomes tractable.</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DEPENDENCIES: </w:t>
      </w:r>
      <w:r>
        <w:rPr>
          <w:rFonts w:ascii="Calibri" w:eastAsia="Calibri"/>
          <w:color w:val="1A2B40"/>
          <w:sz w:val="22"/>
          <w:szCs w:val="22"/>
        </w:rPr>
        <w:t xml:space="preserve">None. This is a purely internal change to DoppelGround's execution result format. No Nexus-side changes required. No artifact verification needed.</w:t>
      </w:r>
      <w:r>
        <w:rPr>
          <w:rFonts w:ascii="Calibri" w:eastAsia="Calibri"/>
          <w:b/>
          <w:bCs/>
          <w:color w:val="529286"/>
          <w:sz w:val="18"/>
          <w:szCs w:val="18"/>
        </w:rPr>
        <w:t xml:space="preserve">  INFERRED</w:t>
      </w:r>
    </w:p>
    <w:p>
      <w:pPr>
        <w:spacing w:after="60" w:line="312"/>
        <w:ind w:left="360"/>
      </w:pPr>
      <w:r>
        <w:rPr>
          <w:rFonts w:ascii="Calibri" w:eastAsia="Calibri"/>
          <w:b/>
          <w:bCs/>
          <w:color w:val="1A2B40"/>
          <w:sz w:val="22"/>
          <w:szCs w:val="22"/>
        </w:rPr>
        <w:t xml:space="preserve">SAFE_TO_DO_NOW: </w:t>
      </w:r>
      <w:r>
        <w:rPr>
          <w:rFonts w:ascii="Calibri" w:eastAsia="Calibri"/>
          <w:color w:val="1A2B40"/>
          <w:sz w:val="22"/>
          <w:szCs w:val="22"/>
        </w:rPr>
        <w:t xml:space="preserve">yes</w:t>
      </w:r>
    </w:p>
    <w:p>
      <w:pPr>
        <w:spacing w:after="60" w:line="312"/>
        <w:ind w:left="360"/>
      </w:pPr>
      <w:r>
        <w:rPr>
          <w:rFonts w:ascii="Calibri" w:eastAsia="Calibri"/>
          <w:b/>
          <w:bCs/>
          <w:color w:val="1A2B40"/>
          <w:sz w:val="22"/>
          <w:szCs w:val="22"/>
        </w:rPr>
        <w:t xml:space="preserve">SHOULD_WAIT_FOR_ARTIFACT_TRUTH: </w:t>
      </w:r>
      <w:r>
        <w:rPr>
          <w:rFonts w:ascii="Calibri" w:eastAsia="Calibri"/>
          <w:color w:val="1A2B40"/>
          <w:sz w:val="22"/>
          <w:szCs w:val="22"/>
        </w:rPr>
        <w:t xml:space="preserve">no</w:t>
      </w:r>
    </w:p>
    <w:p>
      <w:pPr>
        <w:spacing w:after="60" w:line="312"/>
        <w:ind w:left="360"/>
      </w:pPr>
      <w:r>
        <w:rPr>
          <w:rFonts w:ascii="Calibri" w:eastAsia="Calibri"/>
          <w:b/>
          <w:bCs/>
          <w:color w:val="1A2B40"/>
          <w:sz w:val="22"/>
          <w:szCs w:val="22"/>
        </w:rPr>
        <w:t xml:space="preserve">RECOMMENDED_PRIORITY: </w:t>
      </w:r>
      <w:r>
        <w:rPr>
          <w:rFonts w:ascii="Calibri" w:eastAsia="Calibri"/>
          <w:color w:val="1A2B40"/>
          <w:sz w:val="22"/>
          <w:szCs w:val="22"/>
        </w:rPr>
        <w:t xml:space="preserve">now</w:t>
      </w:r>
    </w:p>
    <w:p>
      <w:pPr>
        <w:pBdr>
          <w:bottom w:val="single" w:color="D0D8E0" w:sz="1" w:space="8"/>
        </w:pBdr>
        <w:spacing w:after="200" w:before="200"/>
      </w:pPr>
    </w:p>
    <w:p>
      <w:pPr>
        <w:pStyle w:val="Heading2"/>
        <w:spacing w:after="160" w:before="300" w:line="312"/>
      </w:pPr>
      <w:r>
        <w:rPr>
          <w:rFonts w:ascii="Times New Roman" w:eastAsia="Calibri"/>
          <w:b/>
          <w:bCs/>
          <w:color w:val="0B1C2C"/>
          <w:sz w:val="26"/>
          <w:szCs w:val="26"/>
        </w:rPr>
        <w:t xml:space="preserve">CHG-002: Add Non-Compensatory Harm Flag to Execution Results</w:t>
      </w:r>
    </w:p>
    <w:p>
      <w:pPr>
        <w:pBdr>
          <w:top w:val="single" w:color="529286" w:sz="2" w:space="8"/>
        </w:pBdr>
        <w:spacing w:after="80" w:before="200" w:line="312"/>
      </w:pPr>
      <w:r>
        <w:rPr>
          <w:rFonts w:ascii="Calibri" w:eastAsia="Calibri"/>
          <w:b/>
          <w:bCs/>
          <w:color w:val="1A2B40"/>
          <w:sz w:val="22"/>
          <w:szCs w:val="22"/>
        </w:rPr>
        <w:t xml:space="preserve">CHG-002</w:t>
      </w:r>
    </w:p>
    <w:p>
      <w:pPr>
        <w:spacing w:after="60" w:line="312"/>
        <w:ind w:left="360"/>
      </w:pPr>
      <w:r>
        <w:rPr>
          <w:rFonts w:ascii="Calibri" w:eastAsia="Calibri"/>
          <w:b/>
          <w:bCs/>
          <w:color w:val="1A2B40"/>
          <w:sz w:val="22"/>
          <w:szCs w:val="22"/>
        </w:rPr>
        <w:t xml:space="preserve">CHANGE_SCOPE: </w:t>
      </w:r>
      <w:r>
        <w:rPr>
          <w:rFonts w:ascii="Calibri" w:eastAsia="Calibri"/>
          <w:color w:val="1A2B40"/>
          <w:sz w:val="22"/>
          <w:szCs w:val="22"/>
        </w:rPr>
        <w:t xml:space="preserve">scoring hook</w:t>
      </w:r>
    </w:p>
    <w:p>
      <w:pPr>
        <w:spacing w:after="60" w:line="312"/>
        <w:ind w:left="360"/>
      </w:pPr>
      <w:r>
        <w:rPr>
          <w:rFonts w:ascii="Calibri" w:eastAsia="Calibri"/>
          <w:b/>
          <w:bCs/>
          <w:color w:val="1A2B40"/>
          <w:sz w:val="22"/>
          <w:szCs w:val="22"/>
        </w:rPr>
        <w:t xml:space="preserve">WHY IT HELPS: </w:t>
      </w:r>
      <w:r>
        <w:rPr>
          <w:rFonts w:ascii="Calibri" w:eastAsia="Calibri"/>
          <w:color w:val="1A2B40"/>
          <w:sz w:val="22"/>
          <w:szCs w:val="22"/>
        </w:rPr>
        <w:t xml:space="preserve">NexusOS uses a boolean hard_fail flag on ExecutionResult to distinguish between ordinary failures (weight 1.0) and non-compensable harm events (weight 2.0). This distinction matters because not all failures should impact trust equally. A transient timeout is fundamentally different from an agent returning fabricated data. If DoppelGround's execution results can carry a binary harm-severity flag, downstream trust scoring (whether in Nexus or any future consumer) can apply appropriate penalty weights without guessing severity from error text.</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DEPENDENCIES: </w:t>
      </w:r>
      <w:r>
        <w:rPr>
          <w:rFonts w:ascii="Calibri" w:eastAsia="Calibri"/>
          <w:color w:val="1A2B40"/>
          <w:sz w:val="22"/>
          <w:szCs w:val="22"/>
        </w:rPr>
        <w:t xml:space="preserve">None. This is an additive boolean field with a safe default (False = no hard failure). No existing behavior changes.</w:t>
      </w:r>
      <w:r>
        <w:rPr>
          <w:rFonts w:ascii="Calibri" w:eastAsia="Calibri"/>
          <w:b/>
          <w:bCs/>
          <w:color w:val="529286"/>
          <w:sz w:val="18"/>
          <w:szCs w:val="18"/>
        </w:rPr>
        <w:t xml:space="preserve">  INFERRED</w:t>
      </w:r>
    </w:p>
    <w:p>
      <w:pPr>
        <w:spacing w:after="60" w:line="312"/>
        <w:ind w:left="360"/>
      </w:pPr>
      <w:r>
        <w:rPr>
          <w:rFonts w:ascii="Calibri" w:eastAsia="Calibri"/>
          <w:b/>
          <w:bCs/>
          <w:color w:val="1A2B40"/>
          <w:sz w:val="22"/>
          <w:szCs w:val="22"/>
        </w:rPr>
        <w:t xml:space="preserve">SAFE_TO_DO_NOW: </w:t>
      </w:r>
      <w:r>
        <w:rPr>
          <w:rFonts w:ascii="Calibri" w:eastAsia="Calibri"/>
          <w:color w:val="1A2B40"/>
          <w:sz w:val="22"/>
          <w:szCs w:val="22"/>
        </w:rPr>
        <w:t xml:space="preserve">yes</w:t>
      </w:r>
    </w:p>
    <w:p>
      <w:pPr>
        <w:spacing w:after="60" w:line="312"/>
        <w:ind w:left="360"/>
      </w:pPr>
      <w:r>
        <w:rPr>
          <w:rFonts w:ascii="Calibri" w:eastAsia="Calibri"/>
          <w:b/>
          <w:bCs/>
          <w:color w:val="1A2B40"/>
          <w:sz w:val="22"/>
          <w:szCs w:val="22"/>
        </w:rPr>
        <w:t xml:space="preserve">SHOULD_WAIT_FOR_ARTIFACT_TRUTH: </w:t>
      </w:r>
      <w:r>
        <w:rPr>
          <w:rFonts w:ascii="Calibri" w:eastAsia="Calibri"/>
          <w:color w:val="1A2B40"/>
          <w:sz w:val="22"/>
          <w:szCs w:val="22"/>
        </w:rPr>
        <w:t xml:space="preserve">no</w:t>
      </w:r>
    </w:p>
    <w:p>
      <w:pPr>
        <w:spacing w:after="60" w:line="312"/>
        <w:ind w:left="360"/>
      </w:pPr>
      <w:r>
        <w:rPr>
          <w:rFonts w:ascii="Calibri" w:eastAsia="Calibri"/>
          <w:b/>
          <w:bCs/>
          <w:color w:val="1A2B40"/>
          <w:sz w:val="22"/>
          <w:szCs w:val="22"/>
        </w:rPr>
        <w:t xml:space="preserve">RECOMMENDED_PRIORITY: </w:t>
      </w:r>
      <w:r>
        <w:rPr>
          <w:rFonts w:ascii="Calibri" w:eastAsia="Calibri"/>
          <w:color w:val="1A2B40"/>
          <w:sz w:val="22"/>
          <w:szCs w:val="22"/>
        </w:rPr>
        <w:t xml:space="preserve">now</w:t>
      </w:r>
    </w:p>
    <w:p>
      <w:pPr>
        <w:pBdr>
          <w:bottom w:val="single" w:color="D0D8E0" w:sz="1" w:space="8"/>
        </w:pBdr>
        <w:spacing w:after="200" w:before="200"/>
      </w:pPr>
    </w:p>
    <w:p>
      <w:pPr>
        <w:pStyle w:val="Heading2"/>
        <w:spacing w:after="160" w:before="300" w:line="312"/>
      </w:pPr>
      <w:r>
        <w:rPr>
          <w:rFonts w:ascii="Times New Roman" w:eastAsia="Calibri"/>
          <w:b/>
          <w:bCs/>
          <w:color w:val="0B1C2C"/>
          <w:sz w:val="26"/>
          <w:szCs w:val="26"/>
        </w:rPr>
        <w:t xml:space="preserve">CHG-003: Define a Finding State Vocabulary</w:t>
      </w:r>
    </w:p>
    <w:p>
      <w:pPr>
        <w:pBdr>
          <w:top w:val="single" w:color="529286" w:sz="2" w:space="8"/>
        </w:pBdr>
        <w:spacing w:after="80" w:before="200" w:line="312"/>
      </w:pPr>
      <w:r>
        <w:rPr>
          <w:rFonts w:ascii="Calibri" w:eastAsia="Calibri"/>
          <w:b/>
          <w:bCs/>
          <w:color w:val="1A2B40"/>
          <w:sz w:val="22"/>
          <w:szCs w:val="22"/>
        </w:rPr>
        <w:t xml:space="preserve">CHG-003</w:t>
      </w:r>
    </w:p>
    <w:p>
      <w:pPr>
        <w:spacing w:after="60" w:line="312"/>
        <w:ind w:left="360"/>
      </w:pPr>
      <w:r>
        <w:rPr>
          <w:rFonts w:ascii="Calibri" w:eastAsia="Calibri"/>
          <w:b/>
          <w:bCs/>
          <w:color w:val="1A2B40"/>
          <w:sz w:val="22"/>
          <w:szCs w:val="22"/>
        </w:rPr>
        <w:t xml:space="preserve">CHANGE_SCOPE: </w:t>
      </w:r>
      <w:r>
        <w:rPr>
          <w:rFonts w:ascii="Calibri" w:eastAsia="Calibri"/>
          <w:color w:val="1A2B40"/>
          <w:sz w:val="22"/>
          <w:szCs w:val="22"/>
        </w:rPr>
        <w:t xml:space="preserve">documentation</w:t>
      </w:r>
    </w:p>
    <w:p>
      <w:pPr>
        <w:spacing w:after="60" w:line="312"/>
        <w:ind w:left="360"/>
      </w:pPr>
      <w:r>
        <w:rPr>
          <w:rFonts w:ascii="Calibri" w:eastAsia="Calibri"/>
          <w:b/>
          <w:bCs/>
          <w:color w:val="1A2B40"/>
          <w:sz w:val="22"/>
          <w:szCs w:val="22"/>
        </w:rPr>
        <w:t xml:space="preserve">WHY IT HELPS: </w:t>
      </w:r>
      <w:r>
        <w:rPr>
          <w:rFonts w:ascii="Calibri" w:eastAsia="Calibri"/>
          <w:color w:val="1A2B40"/>
          <w:sz w:val="22"/>
          <w:szCs w:val="22"/>
        </w:rPr>
        <w:t xml:space="preserve">NexusOS's scoring_events schema includes a finding_state column with six states. This concept is useful for any system that needs to track confidence progression in its observations (from suspected to confirmed, or from provisional to rejected). Defining a finding state vocabulary for DoppelGround's own outputs, even if it never crosses system boundaries, improves internal audit clarity. The six states from NexusOS (suspected, provisional, confirmed, rejected, held, escalated) are a reasonable starting point but need not be adopted verbatim.</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DEPENDENCIES: </w:t>
      </w:r>
      <w:r>
        <w:rPr>
          <w:rFonts w:ascii="Calibri" w:eastAsia="Calibri"/>
          <w:color w:val="1A2B40"/>
          <w:sz w:val="22"/>
          <w:szCs w:val="22"/>
        </w:rPr>
        <w:t xml:space="preserve">None. This is a documentation and internal convention change.</w:t>
      </w:r>
      <w:r>
        <w:rPr>
          <w:rFonts w:ascii="Calibri" w:eastAsia="Calibri"/>
          <w:b/>
          <w:bCs/>
          <w:color w:val="529286"/>
          <w:sz w:val="18"/>
          <w:szCs w:val="18"/>
        </w:rPr>
        <w:t xml:space="preserve">  INFERRED</w:t>
      </w:r>
    </w:p>
    <w:p>
      <w:pPr>
        <w:spacing w:after="60" w:line="312"/>
        <w:ind w:left="360"/>
      </w:pPr>
      <w:r>
        <w:rPr>
          <w:rFonts w:ascii="Calibri" w:eastAsia="Calibri"/>
          <w:b/>
          <w:bCs/>
          <w:color w:val="1A2B40"/>
          <w:sz w:val="22"/>
          <w:szCs w:val="22"/>
        </w:rPr>
        <w:t xml:space="preserve">SAFE_TO_DO_NOW: </w:t>
      </w:r>
      <w:r>
        <w:rPr>
          <w:rFonts w:ascii="Calibri" w:eastAsia="Calibri"/>
          <w:color w:val="1A2B40"/>
          <w:sz w:val="22"/>
          <w:szCs w:val="22"/>
        </w:rPr>
        <w:t xml:space="preserve">yes</w:t>
      </w:r>
    </w:p>
    <w:p>
      <w:pPr>
        <w:spacing w:after="60" w:line="312"/>
        <w:ind w:left="360"/>
      </w:pPr>
      <w:r>
        <w:rPr>
          <w:rFonts w:ascii="Calibri" w:eastAsia="Calibri"/>
          <w:b/>
          <w:bCs/>
          <w:color w:val="1A2B40"/>
          <w:sz w:val="22"/>
          <w:szCs w:val="22"/>
        </w:rPr>
        <w:t xml:space="preserve">SHOULD_WAIT_FOR_ARTIFACT_TRUTH: </w:t>
      </w:r>
      <w:r>
        <w:rPr>
          <w:rFonts w:ascii="Calibri" w:eastAsia="Calibri"/>
          <w:color w:val="1A2B40"/>
          <w:sz w:val="22"/>
          <w:szCs w:val="22"/>
        </w:rPr>
        <w:t xml:space="preserve">no</w:t>
      </w:r>
    </w:p>
    <w:p>
      <w:pPr>
        <w:spacing w:after="60" w:line="312"/>
        <w:ind w:left="360"/>
      </w:pPr>
      <w:r>
        <w:rPr>
          <w:rFonts w:ascii="Calibri" w:eastAsia="Calibri"/>
          <w:b/>
          <w:bCs/>
          <w:color w:val="1A2B40"/>
          <w:sz w:val="22"/>
          <w:szCs w:val="22"/>
        </w:rPr>
        <w:t xml:space="preserve">RECOMMENDED_PRIORITY: </w:t>
      </w:r>
      <w:r>
        <w:rPr>
          <w:rFonts w:ascii="Calibri" w:eastAsia="Calibri"/>
          <w:color w:val="1A2B40"/>
          <w:sz w:val="22"/>
          <w:szCs w:val="22"/>
        </w:rPr>
        <w:t xml:space="preserve">later</w:t>
      </w:r>
    </w:p>
    <w:p>
      <w:pPr>
        <w:pBdr>
          <w:bottom w:val="single" w:color="D0D8E0" w:sz="1" w:space="8"/>
        </w:pBdr>
        <w:spacing w:after="200" w:before="200"/>
      </w:pPr>
    </w:p>
    <w:p>
      <w:pPr>
        <w:pStyle w:val="Heading2"/>
        <w:spacing w:after="160" w:before="300" w:line="312"/>
      </w:pPr>
      <w:r>
        <w:rPr>
          <w:rFonts w:ascii="Times New Roman" w:eastAsia="Calibri"/>
          <w:b/>
          <w:bCs/>
          <w:color w:val="0B1C2C"/>
          <w:sz w:val="26"/>
          <w:szCs w:val="26"/>
        </w:rPr>
        <w:t xml:space="preserve">CHG-004: Maintain Separate Human and Machine Export Surfaces</w:t>
      </w:r>
    </w:p>
    <w:p>
      <w:pPr>
        <w:pBdr>
          <w:top w:val="single" w:color="529286" w:sz="2" w:space="8"/>
        </w:pBdr>
        <w:spacing w:after="80" w:before="200" w:line="312"/>
      </w:pPr>
      <w:r>
        <w:rPr>
          <w:rFonts w:ascii="Calibri" w:eastAsia="Calibri"/>
          <w:b/>
          <w:bCs/>
          <w:color w:val="1A2B40"/>
          <w:sz w:val="22"/>
          <w:szCs w:val="22"/>
        </w:rPr>
        <w:t xml:space="preserve">CHG-004</w:t>
      </w:r>
    </w:p>
    <w:p>
      <w:pPr>
        <w:spacing w:after="60" w:line="312"/>
        <w:ind w:left="360"/>
      </w:pPr>
      <w:r>
        <w:rPr>
          <w:rFonts w:ascii="Calibri" w:eastAsia="Calibri"/>
          <w:b/>
          <w:bCs/>
          <w:color w:val="1A2B40"/>
          <w:sz w:val="22"/>
          <w:szCs w:val="22"/>
        </w:rPr>
        <w:t xml:space="preserve">CHANGE_SCOPE: </w:t>
      </w:r>
      <w:r>
        <w:rPr>
          <w:rFonts w:ascii="Calibri" w:eastAsia="Calibri"/>
          <w:color w:val="1A2B40"/>
          <w:sz w:val="22"/>
          <w:szCs w:val="22"/>
        </w:rPr>
        <w:t xml:space="preserve">export contract</w:t>
      </w:r>
    </w:p>
    <w:p>
      <w:pPr>
        <w:spacing w:after="60" w:line="312"/>
        <w:ind w:left="360"/>
      </w:pPr>
      <w:r>
        <w:rPr>
          <w:rFonts w:ascii="Calibri" w:eastAsia="Calibri"/>
          <w:b/>
          <w:bCs/>
          <w:color w:val="1A2B40"/>
          <w:sz w:val="22"/>
          <w:szCs w:val="22"/>
        </w:rPr>
        <w:t xml:space="preserve">WHY IT HELPS: </w:t>
      </w:r>
      <w:r>
        <w:rPr>
          <w:rFonts w:ascii="Calibri" w:eastAsia="Calibri"/>
          <w:color w:val="1A2B40"/>
          <w:sz w:val="22"/>
          <w:szCs w:val="22"/>
        </w:rPr>
        <w:t xml:space="preserve">The proof-grade crossover analysis revealed a critical design principle: human-readable reports (like this packet) and machine-consumable exports (like structured scoring events) serve fundamentally different audiences and should not be derived from the same source via ad-hoc parsing. NexusOS implements this separation at the code level: human-readable status packets are document artifacts, while machine-consumable data flows through the scoring_events table. If DoppelGround maintains this separation by design, it avoids the fragility of Markdown parsing and the ambiguity of mixed-audience formats.</w:t>
      </w:r>
      <w:r>
        <w:rPr>
          <w:rFonts w:ascii="Calibri" w:eastAsia="Calibri"/>
          <w:b/>
          <w:bCs/>
          <w:color w:val="529286"/>
          <w:sz w:val="18"/>
          <w:szCs w:val="18"/>
        </w:rPr>
        <w:t xml:space="preserve">  DOCUMENT_CONFIRMED</w:t>
      </w:r>
    </w:p>
    <w:p>
      <w:pPr>
        <w:spacing w:after="60" w:line="312"/>
        <w:ind w:left="360"/>
      </w:pPr>
      <w:r>
        <w:rPr>
          <w:rFonts w:ascii="Calibri" w:eastAsia="Calibri"/>
          <w:b/>
          <w:bCs/>
          <w:color w:val="1A2B40"/>
          <w:sz w:val="22"/>
          <w:szCs w:val="22"/>
        </w:rPr>
        <w:t xml:space="preserve">DEPENDENCIES: </w:t>
      </w:r>
      <w:r>
        <w:rPr>
          <w:rFonts w:ascii="Calibri" w:eastAsia="Calibri"/>
          <w:color w:val="1A2B40"/>
          <w:sz w:val="22"/>
          <w:szCs w:val="22"/>
        </w:rPr>
        <w:t xml:space="preserve">None. This is an architectural principle, not a code change.</w:t>
      </w:r>
      <w:r>
        <w:rPr>
          <w:rFonts w:ascii="Calibri" w:eastAsia="Calibri"/>
          <w:b/>
          <w:bCs/>
          <w:color w:val="529286"/>
          <w:sz w:val="18"/>
          <w:szCs w:val="18"/>
        </w:rPr>
        <w:t xml:space="preserve">  INFERRED</w:t>
      </w:r>
    </w:p>
    <w:p>
      <w:pPr>
        <w:spacing w:after="60" w:line="312"/>
        <w:ind w:left="360"/>
      </w:pPr>
      <w:r>
        <w:rPr>
          <w:rFonts w:ascii="Calibri" w:eastAsia="Calibri"/>
          <w:b/>
          <w:bCs/>
          <w:color w:val="1A2B40"/>
          <w:sz w:val="22"/>
          <w:szCs w:val="22"/>
        </w:rPr>
        <w:t xml:space="preserve">SAFE_TO_DO_NOW: </w:t>
      </w:r>
      <w:r>
        <w:rPr>
          <w:rFonts w:ascii="Calibri" w:eastAsia="Calibri"/>
          <w:color w:val="1A2B40"/>
          <w:sz w:val="22"/>
          <w:szCs w:val="22"/>
        </w:rPr>
        <w:t xml:space="preserve">yes</w:t>
      </w:r>
    </w:p>
    <w:p>
      <w:pPr>
        <w:spacing w:after="60" w:line="312"/>
        <w:ind w:left="360"/>
      </w:pPr>
      <w:r>
        <w:rPr>
          <w:rFonts w:ascii="Calibri" w:eastAsia="Calibri"/>
          <w:b/>
          <w:bCs/>
          <w:color w:val="1A2B40"/>
          <w:sz w:val="22"/>
          <w:szCs w:val="22"/>
        </w:rPr>
        <w:t xml:space="preserve">SHOULD_WAIT_FOR_ARTIFACT_TRUTH: </w:t>
      </w:r>
      <w:r>
        <w:rPr>
          <w:rFonts w:ascii="Calibri" w:eastAsia="Calibri"/>
          <w:color w:val="1A2B40"/>
          <w:sz w:val="22"/>
          <w:szCs w:val="22"/>
        </w:rPr>
        <w:t xml:space="preserve">no</w:t>
      </w:r>
    </w:p>
    <w:p>
      <w:pPr>
        <w:spacing w:after="60" w:line="312"/>
        <w:ind w:left="360"/>
      </w:pPr>
      <w:r>
        <w:rPr>
          <w:rFonts w:ascii="Calibri" w:eastAsia="Calibri"/>
          <w:b/>
          <w:bCs/>
          <w:color w:val="1A2B40"/>
          <w:sz w:val="22"/>
          <w:szCs w:val="22"/>
        </w:rPr>
        <w:t xml:space="preserve">RECOMMENDED_PRIORITY: </w:t>
      </w:r>
      <w:r>
        <w:rPr>
          <w:rFonts w:ascii="Calibri" w:eastAsia="Calibri"/>
          <w:color w:val="1A2B40"/>
          <w:sz w:val="22"/>
          <w:szCs w:val="22"/>
        </w:rPr>
        <w:t xml:space="preserve">now</w:t>
      </w:r>
    </w:p>
    <w:p>
      <w:pPr>
        <w:pBdr>
          <w:bottom w:val="single" w:color="D0D8E0" w:sz="1" w:space="8"/>
        </w:pBdr>
        <w:spacing w:after="200" w:before="200"/>
      </w:pPr>
    </w:p>
    <w:p>
      <w:pPr>
        <w:pStyle w:val="Heading2"/>
        <w:spacing w:after="160" w:before="300" w:line="312"/>
      </w:pPr>
      <w:r>
        <w:rPr>
          <w:rFonts w:ascii="Times New Roman" w:eastAsia="Calibri"/>
          <w:b/>
          <w:bCs/>
          <w:color w:val="0B1C2C"/>
          <w:sz w:val="26"/>
          <w:szCs w:val="26"/>
        </w:rPr>
        <w:t xml:space="preserve">CHG-005: Enumerate Lane Labels in Agent Card Exports</w:t>
      </w:r>
    </w:p>
    <w:p>
      <w:pPr>
        <w:pBdr>
          <w:top w:val="single" w:color="529286" w:sz="2" w:space="8"/>
        </w:pBdr>
        <w:spacing w:after="80" w:before="200" w:line="312"/>
      </w:pPr>
      <w:r>
        <w:rPr>
          <w:rFonts w:ascii="Calibri" w:eastAsia="Calibri"/>
          <w:b/>
          <w:bCs/>
          <w:color w:val="1A2B40"/>
          <w:sz w:val="22"/>
          <w:szCs w:val="22"/>
        </w:rPr>
        <w:t xml:space="preserve">CHG-005</w:t>
      </w:r>
    </w:p>
    <w:p>
      <w:pPr>
        <w:spacing w:after="60" w:line="312"/>
        <w:ind w:left="360"/>
      </w:pPr>
      <w:r>
        <w:rPr>
          <w:rFonts w:ascii="Calibri" w:eastAsia="Calibri"/>
          <w:b/>
          <w:bCs/>
          <w:color w:val="1A2B40"/>
          <w:sz w:val="22"/>
          <w:szCs w:val="22"/>
        </w:rPr>
        <w:t xml:space="preserve">CHANGE_SCOPE: </w:t>
      </w:r>
      <w:r>
        <w:rPr>
          <w:rFonts w:ascii="Calibri" w:eastAsia="Calibri"/>
          <w:color w:val="1A2B40"/>
          <w:sz w:val="22"/>
          <w:szCs w:val="22"/>
        </w:rPr>
        <w:t xml:space="preserve">export contract</w:t>
      </w:r>
    </w:p>
    <w:p>
      <w:pPr>
        <w:spacing w:after="60" w:line="312"/>
        <w:ind w:left="360"/>
      </w:pPr>
      <w:r>
        <w:rPr>
          <w:rFonts w:ascii="Calibri" w:eastAsia="Calibri"/>
          <w:b/>
          <w:bCs/>
          <w:color w:val="1A2B40"/>
          <w:sz w:val="22"/>
          <w:szCs w:val="22"/>
        </w:rPr>
        <w:t xml:space="preserve">WHY IT HELPS: </w:t>
      </w:r>
      <w:r>
        <w:rPr>
          <w:rFonts w:ascii="Calibri" w:eastAsia="Calibri"/>
          <w:color w:val="1A2B40"/>
          <w:sz w:val="22"/>
          <w:szCs w:val="22"/>
        </w:rPr>
        <w:t xml:space="preserve">NexusOS resolves trust lanes from bridge method types via a static dictionary. If DoppelGround's agent card exports include an explicit lane label field, the mapping becomes explicit rather than inferred. This does not require adopting NexusOS's lane taxonomy; it only requires that DoppelGround's own lane concepts are visible in its exports. Without this, any future cross-system lane correlation requires human intervention to establish mappings.</w:t>
      </w:r>
      <w:r>
        <w:rPr>
          <w:rFonts w:ascii="Calibri" w:eastAsia="Calibri"/>
          <w:b/>
          <w:bCs/>
          <w:color w:val="529286"/>
          <w:sz w:val="18"/>
          <w:szCs w:val="18"/>
        </w:rPr>
        <w:t xml:space="preserve">  CODE_CONFIRMED</w:t>
      </w:r>
    </w:p>
    <w:p>
      <w:pPr>
        <w:spacing w:after="60" w:line="312"/>
        <w:ind w:left="360"/>
      </w:pPr>
      <w:r>
        <w:rPr>
          <w:rFonts w:ascii="Calibri" w:eastAsia="Calibri"/>
          <w:b/>
          <w:bCs/>
          <w:color w:val="1A2B40"/>
          <w:sz w:val="22"/>
          <w:szCs w:val="22"/>
        </w:rPr>
        <w:t xml:space="preserve">DEPENDENCIES: </w:t>
      </w:r>
      <w:r>
        <w:rPr>
          <w:rFonts w:ascii="Calibri" w:eastAsia="Calibri"/>
          <w:color w:val="1A2B40"/>
          <w:sz w:val="22"/>
          <w:szCs w:val="22"/>
        </w:rPr>
        <w:t xml:space="preserve">None for the export side. Consuming the lane labels requires DoppelGround artifact inspection to confirm the vocabulary (currently BLOCKED).</w:t>
      </w:r>
      <w:r>
        <w:rPr>
          <w:rFonts w:ascii="Calibri" w:eastAsia="Calibri"/>
          <w:b/>
          <w:bCs/>
          <w:color w:val="529286"/>
          <w:sz w:val="18"/>
          <w:szCs w:val="18"/>
        </w:rPr>
        <w:t xml:space="preserve">  BLOCKED</w:t>
      </w:r>
    </w:p>
    <w:p>
      <w:pPr>
        <w:spacing w:after="60" w:line="312"/>
        <w:ind w:left="360"/>
      </w:pPr>
      <w:r>
        <w:rPr>
          <w:rFonts w:ascii="Calibri" w:eastAsia="Calibri"/>
          <w:b/>
          <w:bCs/>
          <w:color w:val="1A2B40"/>
          <w:sz w:val="22"/>
          <w:szCs w:val="22"/>
        </w:rPr>
        <w:t xml:space="preserve">SAFE_TO_DO_NOW: </w:t>
      </w:r>
      <w:r>
        <w:rPr>
          <w:rFonts w:ascii="Calibri" w:eastAsia="Calibri"/>
          <w:color w:val="1A2B40"/>
          <w:sz w:val="22"/>
          <w:szCs w:val="22"/>
        </w:rPr>
        <w:t xml:space="preserve">Partially: adding lane labels to exports is safe. Consuming them in NexusOS mapping is blocked until artifact inspection.</w:t>
      </w:r>
      <w:r>
        <w:rPr>
          <w:rFonts w:ascii="Calibri" w:eastAsia="Calibri"/>
          <w:b/>
          <w:bCs/>
          <w:color w:val="529286"/>
          <w:sz w:val="18"/>
          <w:szCs w:val="18"/>
        </w:rPr>
        <w:t xml:space="preserve">  INFERRED</w:t>
      </w:r>
    </w:p>
    <w:p>
      <w:pPr>
        <w:spacing w:after="60" w:line="312"/>
        <w:ind w:left="360"/>
      </w:pPr>
      <w:r>
        <w:rPr>
          <w:rFonts w:ascii="Calibri" w:eastAsia="Calibri"/>
          <w:b/>
          <w:bCs/>
          <w:color w:val="1A2B40"/>
          <w:sz w:val="22"/>
          <w:szCs w:val="22"/>
        </w:rPr>
        <w:t xml:space="preserve">SHOULD_WAIT_FOR_ARTIFACT_TRUTH: </w:t>
      </w:r>
      <w:r>
        <w:rPr>
          <w:rFonts w:ascii="Calibri" w:eastAsia="Calibri"/>
          <w:color w:val="1A2B40"/>
          <w:sz w:val="22"/>
          <w:szCs w:val="22"/>
        </w:rPr>
        <w:t xml:space="preserve">yes (for consumption); no (for export addition)</w:t>
      </w:r>
    </w:p>
    <w:p>
      <w:pPr>
        <w:spacing w:after="60" w:line="312"/>
        <w:ind w:left="360"/>
      </w:pPr>
      <w:r>
        <w:rPr>
          <w:rFonts w:ascii="Calibri" w:eastAsia="Calibri"/>
          <w:b/>
          <w:bCs/>
          <w:color w:val="1A2B40"/>
          <w:sz w:val="22"/>
          <w:szCs w:val="22"/>
        </w:rPr>
        <w:t xml:space="preserve">RECOMMENDED_PRIORITY: </w:t>
      </w:r>
      <w:r>
        <w:rPr>
          <w:rFonts w:ascii="Calibri" w:eastAsia="Calibri"/>
          <w:color w:val="1A2B40"/>
          <w:sz w:val="22"/>
          <w:szCs w:val="22"/>
        </w:rPr>
        <w:t xml:space="preserve">later</w:t>
      </w:r>
    </w:p>
    <w:p>
      <w:pPr>
        <w:pBdr>
          <w:bottom w:val="single" w:color="D0D8E0" w:sz="1" w:space="8"/>
        </w:pBdr>
        <w:spacing w:after="200" w:before="200"/>
      </w:pPr>
    </w:p>
    <w:p>
      <w:pPr>
        <w:pStyle w:val="Heading1"/>
        <w:spacing w:after="200" w:before="400" w:line="312"/>
      </w:pPr>
      <w:r>
        <w:rPr>
          <w:rFonts w:ascii="Times New Roman" w:eastAsia="Calibri"/>
          <w:b/>
          <w:bCs/>
          <w:color w:val="0B1C2C"/>
          <w:sz w:val="32"/>
          <w:szCs w:val="32"/>
        </w:rPr>
        <w:t xml:space="preserve">Part D: Next Milestone Target</w:t>
      </w:r>
    </w:p>
    <w:p>
      <w:pPr>
        <w:pStyle w:val="Heading2"/>
        <w:spacing w:after="160" w:before="300" w:line="312"/>
      </w:pPr>
      <w:r>
        <w:rPr>
          <w:rFonts w:ascii="Times New Roman" w:eastAsia="Calibri"/>
          <w:b/>
          <w:bCs/>
          <w:color w:val="0B1C2C"/>
          <w:sz w:val="26"/>
          <w:szCs w:val="26"/>
        </w:rPr>
        <w:t xml:space="preserve">D.1: What NexusOS Will Do Next</w:t>
      </w:r>
    </w:p>
    <w:p>
      <w:pPr>
        <w:spacing w:after="120" w:line="312"/>
        <w:jc w:val="both"/>
      </w:pPr>
      <w:r>
        <w:rPr>
          <w:rFonts w:ascii="Calibri" w:eastAsia="Calibri"/>
          <w:color w:val="1A2B40"/>
          <w:sz w:val="22"/>
          <w:szCs w:val="22"/>
        </w:rPr>
        <w:t xml:space="preserve">The immediate next work item is closing the integration-test gap identified during the codebase audit. Specifically, three test coverage holes exist that should be resolved before the next milestone review. First, the bridge integration tests in test_bridge_integration.py wire a governor but do not inject a TrustScorer, meaning the trust_score and lane injection path through _authorize() has never been tested end-to-end. A new test class should construct BridgeServer with a mock TrustScorer, submit a request through _authorize(), and verify that the governor context contains the expected trust_score and lane values. Second, the executor's _append_scoring_event() method has no dedicated test coverage. A test should verify that a successful execution writes score=1.0 to scoring_events, a failed execution writes score=-1.0, and a hard_fail=True execution applies weight=2.0 to the trust scorer. Third, the heartbeat's trust penalty in _reclaim_stalled_tasks() has no test. A test should verify that reclaiming a stalled task triggers record_failure with weight=1.5 and lane='availability' on the injected TrustScorer. All three test additions are backward-compatible: they add new test classes and fixtures without modifying existing tests.</w:t>
      </w:r>
      <w:r>
        <w:rPr>
          <w:rFonts w:ascii="Calibri" w:eastAsia="Calibri"/>
          <w:b/>
          <w:bCs/>
          <w:color w:val="529286"/>
          <w:sz w:val="18"/>
          <w:szCs w:val="18"/>
        </w:rPr>
        <w:t xml:space="preserve">  PROPOSED</w:t>
      </w:r>
    </w:p>
    <w:p>
      <w:pPr>
        <w:spacing w:after="120" w:line="312"/>
        <w:jc w:val="both"/>
      </w:pPr>
      <w:r>
        <w:rPr>
          <w:rFonts w:ascii="Calibri" w:eastAsia="Calibri"/>
          <w:color w:val="1A2B40"/>
          <w:sz w:val="22"/>
          <w:szCs w:val="22"/>
        </w:rPr>
        <w:t xml:space="preserve">Additionally, the trust_after column in scoring_events should be populated. The current _append_scoring_event() method fetches trust_before but does not fetch the post-update score. After recording success or failure to the TrustScorer, the method should call get_lane_score() again to capture trust_after and write it to the event row. This is a small, safe change that closes a schema-content gap identified in the audit.</w:t>
      </w:r>
      <w:r>
        <w:rPr>
          <w:rFonts w:ascii="Calibri" w:eastAsia="Calibri"/>
          <w:b/>
          <w:bCs/>
          <w:color w:val="529286"/>
          <w:sz w:val="18"/>
          <w:szCs w:val="18"/>
        </w:rPr>
        <w:t xml:space="preserve">  CODE_CONFIRMED</w:t>
      </w:r>
    </w:p>
    <w:p>
      <w:pPr>
        <w:pStyle w:val="Heading2"/>
        <w:spacing w:after="160" w:before="300" w:line="312"/>
      </w:pPr>
      <w:r>
        <w:rPr>
          <w:rFonts w:ascii="Times New Roman" w:eastAsia="Calibri"/>
          <w:b/>
          <w:bCs/>
          <w:color w:val="0B1C2C"/>
          <w:sz w:val="26"/>
          <w:szCs w:val="26"/>
        </w:rPr>
        <w:t xml:space="preserve">D.2: What We Want You to Do Next</w:t>
      </w:r>
    </w:p>
    <w:p>
      <w:pPr>
        <w:spacing w:after="120" w:line="312"/>
        <w:jc w:val="both"/>
      </w:pPr>
      <w:r>
        <w:rPr>
          <w:rFonts w:ascii="Calibri" w:eastAsia="Calibri"/>
          <w:color w:val="1A2B40"/>
          <w:sz w:val="22"/>
          <w:szCs w:val="22"/>
        </w:rPr>
        <w:t xml:space="preserve">Two actions are requested for the next milestone cycle. First, respond to the three requests in Part A (REQ-001, REQ-002, REQ-003) at whatever level of precision is practical. Even informal answers (a Slack message, a sentence in a status file, a comment in a configuration file) are sufficient to unblock forward design work. The lane enumeration (REQ-001) is the highest priority because it affects the bridge mapping surface directly. Second, consider adopting CHG-001 (structured reason codes) and CHG-002 (non-compensatory harm flag) on your side. These are low-risk, additive changes that would make future cross-system failure correlation substantially easier without requiring any coordination or schema alignment.</w:t>
      </w:r>
      <w:r>
        <w:rPr>
          <w:rFonts w:ascii="Calibri" w:eastAsia="Calibri"/>
          <w:b/>
          <w:bCs/>
          <w:color w:val="529286"/>
          <w:sz w:val="18"/>
          <w:szCs w:val="18"/>
        </w:rPr>
        <w:t xml:space="preserve">  PROPOSED</w:t>
      </w:r>
    </w:p>
    <w:p>
      <w:pPr>
        <w:pStyle w:val="Heading2"/>
        <w:spacing w:after="160" w:before="300" w:line="312"/>
      </w:pPr>
      <w:r>
        <w:rPr>
          <w:rFonts w:ascii="Times New Roman" w:eastAsia="Calibri"/>
          <w:b/>
          <w:bCs/>
          <w:color w:val="0B1C2C"/>
          <w:sz w:val="26"/>
          <w:szCs w:val="26"/>
        </w:rPr>
        <w:t xml:space="preserve">D.3: What Stays Blocked</w:t>
      </w:r>
    </w:p>
    <w:p>
      <w:pPr>
        <w:spacing w:after="120" w:line="312"/>
        <w:jc w:val="both"/>
      </w:pPr>
      <w:r>
        <w:rPr>
          <w:rFonts w:ascii="Calibri" w:eastAsia="Calibri"/>
          <w:b/>
          <w:bCs/>
          <w:color w:val="1A2B40"/>
          <w:sz w:val="22"/>
          <w:szCs w:val="22"/>
        </w:rPr>
        <w:t xml:space="preserve">The following items remain explicitly blocked until DoppelGround artifact inspection occurs:</w:t>
      </w:r>
      <w:r>
        <w:rPr>
          <w:rFonts w:ascii="Calibri" w:eastAsia="Calibri"/>
          <w:b/>
          <w:bCs/>
          <w:color w:val="529286"/>
          <w:sz w:val="18"/>
          <w:szCs w:val="18"/>
        </w:rPr>
        <w:t xml:space="preserve">  BLOCKED</w:t>
      </w:r>
    </w:p>
    <w:p>
      <w:pPr>
        <w:spacing w:after="120" w:line="312"/>
        <w:jc w:val="both"/>
      </w:pPr>
      <w:r>
        <w:rPr>
          <w:rFonts w:ascii="Calibri" w:eastAsia="Calibri"/>
          <w:color w:val="1A2B40"/>
          <w:sz w:val="22"/>
          <w:szCs w:val="22"/>
        </w:rPr>
        <w:t xml:space="preserve">Nine DoppelGround output format claims from the crossover analysis (agent card field names, session output structure, evidence ranking format, scoring event format). Q-value calibration pilot. Final unified 22-field agent card. Any consumption of DoppelGround lane labels in the NexusOS bridge mapping. Any integration-complete claims between DoppelGround and NexusOS. Any machine-export parsing of DoppelGround output formats. These blocks were established in the prior authorization and remain in full effect.</w:t>
      </w:r>
      <w:r>
        <w:rPr>
          <w:rFonts w:ascii="Calibri" w:eastAsia="Calibri"/>
          <w:b/>
          <w:bCs/>
          <w:color w:val="529286"/>
          <w:sz w:val="18"/>
          <w:szCs w:val="18"/>
        </w:rPr>
        <w:t xml:space="preserve">  DOCUMENT_CONFIRMED</w:t>
      </w:r>
    </w:p>
    <w:p>
      <w:pPr>
        <w:pStyle w:val="Heading2"/>
        <w:spacing w:after="160" w:before="300" w:line="312"/>
      </w:pPr>
      <w:r>
        <w:rPr>
          <w:rFonts w:ascii="Times New Roman" w:eastAsia="Calibri"/>
          <w:b/>
          <w:bCs/>
          <w:color w:val="0B1C2C"/>
          <w:sz w:val="26"/>
          <w:szCs w:val="26"/>
        </w:rPr>
        <w:t xml:space="preserve">D.4: What Will Be Verified at Next Review</w:t>
      </w:r>
    </w:p>
    <w:p>
      <w:pPr>
        <w:spacing w:after="120" w:line="312"/>
        <w:jc w:val="both"/>
      </w:pPr>
      <w:r>
        <w:rPr>
          <w:rFonts w:ascii="Calibri" w:eastAsia="Calibri"/>
          <w:color w:val="1A2B40"/>
          <w:sz w:val="22"/>
          <w:szCs w:val="22"/>
        </w:rPr>
        <w:t xml:space="preserve">The following items will be verified at the next milestone review. First, the three integration-test coverage gaps (bridge trust injection, executor scoring event append, heartbeat trust penalty) will be closed, with passing tests confirmed via the test runner output. Second, the trust_after column in scoring_events will be populated by _append_scoring_event(). Third, all 22 existing trust scoring tests will continue to pass (backward compatibility preserved). Fourth, the test suite will show zero new failures attributable to Phase 1 work. Fifth, responses to REQ-001 through REQ-003 will be documented or acknowledged as deferred.</w:t>
      </w:r>
      <w:r>
        <w:rPr>
          <w:rFonts w:ascii="Calibri" w:eastAsia="Calibri"/>
          <w:b/>
          <w:bCs/>
          <w:color w:val="529286"/>
          <w:sz w:val="18"/>
          <w:szCs w:val="18"/>
        </w:rPr>
        <w:t xml:space="preserve">  PROPOSED</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olor w:val="808080"/>
        <w:sz w:val="16"/>
        <w:szCs w:val="16"/>
      </w:rPr>
      <w:t xml:space="preserve">NexusOS Phase 1  |  Bounded Milestone Packet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pPr>
    <w:rPr>
      <w:rFonts w:ascii="Times New Roman" w:eastAsia="Calibri"/>
      <w:b/>
      <w:bCs/>
      <w:color w:val="0B1C2C"/>
      <w:sz w:val="32"/>
      <w:szCs w:val="32"/>
    </w:rPr>
  </w:style>
  <w:style w:type="paragraph" w:styleId="Heading2">
    <w:name w:val="Heading 2"/>
    <w:basedOn w:val="Normal"/>
    <w:next w:val="Normal"/>
    <w:qFormat/>
    <w:pPr>
      <w:spacing w:after="160" w:before="300" w:line="312"/>
    </w:pPr>
    <w:rPr>
      <w:rFonts w:ascii="Times New Roman" w:eastAsia="Calibri"/>
      <w:b/>
      <w:bCs/>
      <w:color w:val="0B1C2C"/>
      <w:sz w:val="26"/>
      <w:szCs w:val="26"/>
    </w:rPr>
  </w:style>
  <w:style w:type="paragraph" w:styleId="Heading3">
    <w:name w:val="Heading 3"/>
    <w:basedOn w:val="Normal"/>
    <w:next w:val="Normal"/>
    <w:qFormat/>
    <w:pPr>
      <w:spacing w:after="120" w:before="240" w:line="312"/>
    </w:pPr>
    <w:rPr>
      <w:rFonts w:ascii="Times New Roman" w:eastAsia="Calibri"/>
      <w:b/>
      <w:bCs/>
      <w:color w:val="0B1C2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2026-04-13T20:13:22.087Z</dcterms:created>
  <dcterms:modified xsi:type="dcterms:W3CDTF">2026-04-13T20:13:22.087Z</dcterms:modified>
</cp:coreProperties>
</file>

<file path=docProps/custom.xml><?xml version="1.0" encoding="utf-8"?>
<Properties xmlns="http://schemas.openxmlformats.org/officeDocument/2006/custom-properties" xmlns:vt="http://schemas.openxmlformats.org/officeDocument/2006/docPropsVTypes"/>
</file>