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6603CB"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6603CB"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6603CB"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6603CB"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6603CB"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6603CB"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6603CB"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6603CB"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6603CB"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6603CB"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6603CB"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6603CB"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6603CB"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6603CB"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6603CB"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6603CB"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6603CB"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6603CB"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6603C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6603C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6603C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6603C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6603CB"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6603CB"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6603CB"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6603CB"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6603CB"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6603CB"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6603CB"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6603CB"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6603CB"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6603CB"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6603CB"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6603CB"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6603CB"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6603CB"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6"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r w:rsidRPr="0098014B">
        <w:rPr>
          <w:rFonts w:ascii="Menlo" w:hAnsi="Menlo" w:cs="Menlo"/>
          <w:color w:val="333333"/>
          <w:sz w:val="19"/>
          <w:szCs w:val="19"/>
          <w:shd w:val="clear" w:color="auto" w:fill="F9F2F4"/>
        </w:rPr>
        <w:t>angular.module(</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7"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bookmarkStart w:id="15" w:name="_GoBack"/>
      <w:bookmarkEnd w:id="15"/>
      <w:r>
        <w:rPr>
          <w:color w:val="E36C0A" w:themeColor="accent6" w:themeShade="BF"/>
        </w:rPr>
        <w:t>.</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8"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9"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300"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 single module the order of execution is as follows:</w:t>
      </w:r>
    </w:p>
    <w:p w14:paraId="1C688C9E"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hyperlink r:id="rId301" w:anchor="provider" w:history="1">
        <w:r w:rsidRPr="0098014B">
          <w:rPr>
            <w:rFonts w:ascii="Helvetica Neue" w:hAnsi="Helvetica Neue"/>
            <w:color w:val="428BCA"/>
            <w:sz w:val="21"/>
            <w:szCs w:val="21"/>
            <w:u w:val="single"/>
          </w:rPr>
          <w:t>provider</w:t>
        </w:r>
      </w:hyperlink>
      <w:r w:rsidRPr="0098014B">
        <w:rPr>
          <w:rFonts w:ascii="Helvetica Neue" w:hAnsi="Helvetica Neue"/>
          <w:color w:val="333333"/>
          <w:sz w:val="21"/>
          <w:szCs w:val="21"/>
        </w:rPr>
        <w:t> functions are executed, so they and the services they define can be made available to the </w:t>
      </w:r>
      <w:hyperlink r:id="rId302" w:history="1">
        <w:r w:rsidRPr="0098014B">
          <w:rPr>
            <w:rFonts w:ascii="Helvetica Neue" w:hAnsi="Helvetica Neue"/>
            <w:color w:val="428BCA"/>
            <w:sz w:val="21"/>
            <w:szCs w:val="21"/>
            <w:u w:val="single"/>
          </w:rPr>
          <w:t>$injector</w:t>
        </w:r>
      </w:hyperlink>
      <w:r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3"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4"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5"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6"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w:t>
      </w:r>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config(function($provide,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var myModule = angular.module(</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Each module can only be loaded once per injector. Usually an AngularJS app has only one injector and modules are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$window.alert(text);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value(</w:t>
      </w:r>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describe(</w:t>
      </w:r>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`window.alert()`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beforeEach(module(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inject()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expect($window.alert).toHaveBeenCalledWith(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2F5F3D27" w14:textId="77777777" w:rsidR="00294F0C" w:rsidRPr="00294F0C" w:rsidRDefault="00294F0C" w:rsidP="00294F0C">
      <w:pPr>
        <w:tabs>
          <w:tab w:val="left" w:pos="2100"/>
        </w:tabs>
      </w:pPr>
    </w:p>
    <w:sectPr w:rsidR="00294F0C"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6"/>
  </w:num>
  <w:num w:numId="3">
    <w:abstractNumId w:val="15"/>
  </w:num>
  <w:num w:numId="4">
    <w:abstractNumId w:val="5"/>
  </w:num>
  <w:num w:numId="5">
    <w:abstractNumId w:val="6"/>
  </w:num>
  <w:num w:numId="6">
    <w:abstractNumId w:val="4"/>
  </w:num>
  <w:num w:numId="7">
    <w:abstractNumId w:val="41"/>
  </w:num>
  <w:num w:numId="8">
    <w:abstractNumId w:val="44"/>
  </w:num>
  <w:num w:numId="9">
    <w:abstractNumId w:val="34"/>
  </w:num>
  <w:num w:numId="10">
    <w:abstractNumId w:val="25"/>
  </w:num>
  <w:num w:numId="11">
    <w:abstractNumId w:val="22"/>
  </w:num>
  <w:num w:numId="12">
    <w:abstractNumId w:val="32"/>
  </w:num>
  <w:num w:numId="13">
    <w:abstractNumId w:val="20"/>
  </w:num>
  <w:num w:numId="14">
    <w:abstractNumId w:val="38"/>
  </w:num>
  <w:num w:numId="15">
    <w:abstractNumId w:val="23"/>
  </w:num>
  <w:num w:numId="16">
    <w:abstractNumId w:val="7"/>
  </w:num>
  <w:num w:numId="17">
    <w:abstractNumId w:val="45"/>
  </w:num>
  <w:num w:numId="18">
    <w:abstractNumId w:val="17"/>
  </w:num>
  <w:num w:numId="19">
    <w:abstractNumId w:val="16"/>
  </w:num>
  <w:num w:numId="20">
    <w:abstractNumId w:val="0"/>
  </w:num>
  <w:num w:numId="21">
    <w:abstractNumId w:val="27"/>
  </w:num>
  <w:num w:numId="22">
    <w:abstractNumId w:val="10"/>
  </w:num>
  <w:num w:numId="23">
    <w:abstractNumId w:val="43"/>
  </w:num>
  <w:num w:numId="24">
    <w:abstractNumId w:val="47"/>
  </w:num>
  <w:num w:numId="25">
    <w:abstractNumId w:val="8"/>
  </w:num>
  <w:num w:numId="26">
    <w:abstractNumId w:val="21"/>
  </w:num>
  <w:num w:numId="27">
    <w:abstractNumId w:val="26"/>
  </w:num>
  <w:num w:numId="28">
    <w:abstractNumId w:val="3"/>
  </w:num>
  <w:num w:numId="29">
    <w:abstractNumId w:val="24"/>
  </w:num>
  <w:num w:numId="30">
    <w:abstractNumId w:val="18"/>
  </w:num>
  <w:num w:numId="31">
    <w:abstractNumId w:val="46"/>
  </w:num>
  <w:num w:numId="32">
    <w:abstractNumId w:val="1"/>
  </w:num>
  <w:num w:numId="33">
    <w:abstractNumId w:val="33"/>
  </w:num>
  <w:num w:numId="34">
    <w:abstractNumId w:val="9"/>
  </w:num>
  <w:num w:numId="35">
    <w:abstractNumId w:val="37"/>
  </w:num>
  <w:num w:numId="36">
    <w:abstractNumId w:val="29"/>
  </w:num>
  <w:num w:numId="37">
    <w:abstractNumId w:val="19"/>
  </w:num>
  <w:num w:numId="38">
    <w:abstractNumId w:val="39"/>
  </w:num>
  <w:num w:numId="39">
    <w:abstractNumId w:val="31"/>
  </w:num>
  <w:num w:numId="40">
    <w:abstractNumId w:val="30"/>
  </w:num>
  <w:num w:numId="41">
    <w:abstractNumId w:val="2"/>
  </w:num>
  <w:num w:numId="42">
    <w:abstractNumId w:val="14"/>
  </w:num>
  <w:num w:numId="43">
    <w:abstractNumId w:val="28"/>
  </w:num>
  <w:num w:numId="44">
    <w:abstractNumId w:val="40"/>
  </w:num>
  <w:num w:numId="45">
    <w:abstractNumId w:val="35"/>
  </w:num>
  <w:num w:numId="46">
    <w:abstractNumId w:val="11"/>
  </w:num>
  <w:num w:numId="47">
    <w:abstractNumId w:val="13"/>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2829"/>
    <w:rsid w:val="003769F9"/>
    <w:rsid w:val="003A13E4"/>
    <w:rsid w:val="003E2506"/>
    <w:rsid w:val="00400501"/>
    <w:rsid w:val="004066BF"/>
    <w:rsid w:val="004117E2"/>
    <w:rsid w:val="00423BCA"/>
    <w:rsid w:val="004346FB"/>
    <w:rsid w:val="00436A0C"/>
    <w:rsid w:val="00445A7C"/>
    <w:rsid w:val="00461C65"/>
    <w:rsid w:val="004C2138"/>
    <w:rsid w:val="00514C23"/>
    <w:rsid w:val="005405C1"/>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14B"/>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A4759"/>
    <w:rsid w:val="00DB7D96"/>
    <w:rsid w:val="00DE0A5D"/>
    <w:rsid w:val="00E11D17"/>
    <w:rsid w:val="00E461FC"/>
    <w:rsid w:val="00E90D42"/>
    <w:rsid w:val="00EA2349"/>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014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api/ngAnimat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api/ng/directive/ngHid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300" Type="http://schemas.openxmlformats.org/officeDocument/2006/relationships/hyperlink" Target="https://docs.angularjs.org/guide/di" TargetMode="External"/><Relationship Id="rId301" Type="http://schemas.openxmlformats.org/officeDocument/2006/relationships/hyperlink" Target="https://docs.angularjs.org/api/ng/type/angular.Module" TargetMode="External"/><Relationship Id="rId302" Type="http://schemas.openxmlformats.org/officeDocument/2006/relationships/hyperlink" Target="https://docs.angularjs.org/api/auto/service/$injector"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ng/type/angular.Module" TargetMode="External"/><Relationship Id="rId306" Type="http://schemas.openxmlformats.org/officeDocument/2006/relationships/hyperlink" Target="https://docs.angularjs.org/api/auto/service/$provide" TargetMode="External"/><Relationship Id="rId307" Type="http://schemas.openxmlformats.org/officeDocument/2006/relationships/fontTable" Target="fontTable.xml"/><Relationship Id="rId308" Type="http://schemas.openxmlformats.org/officeDocument/2006/relationships/theme" Target="theme/theme1.xm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80" Type="http://schemas.openxmlformats.org/officeDocument/2006/relationships/hyperlink" Target="https://docs.angularjs.org/api/ng/type/$rootScope.Scope"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hyperlink" Target="https://docs.angularjs.org/api/ng/type/angular.Module"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297" Type="http://schemas.openxmlformats.org/officeDocument/2006/relationships/hyperlink" Target="https://github.com/johnpapa/angular-styleguid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api/ng/type/angular.Modul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76</Pages>
  <Words>22644</Words>
  <Characters>129077</Characters>
  <Application>Microsoft Macintosh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89</cp:revision>
  <dcterms:created xsi:type="dcterms:W3CDTF">2015-02-09T16:16:00Z</dcterms:created>
  <dcterms:modified xsi:type="dcterms:W3CDTF">2018-04-27T22:12:00Z</dcterms:modified>
</cp:coreProperties>
</file>