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color w:val="595959"/>
          <w:sz w:val="28"/>
          <w:szCs w:val="28"/>
        </w:rPr>
        <w:t xml:space="preserve">Projet d'intégration 2</w:t>
      </w:r>
    </w:p>
    <w:p>
      <w:pPr>
        <w:jc w:val="center"/>
      </w:pPr>
      <w:r>
        <w:rPr>
          <w:color w:val="595959"/>
          <w:sz w:val="24"/>
          <w:szCs w:val="24"/>
        </w:rPr>
        <w:t xml:space="preserve">420-AP2-MA</w:t>
      </w:r>
    </w:p>
    <w:p>
      <w:pPr>
        <w:spacing w:after="200" w:before="600"/>
        <w:jc w:val="center"/>
      </w:pPr>
      <w:r>
        <w:rPr>
          <w:b/>
          <w:bCs/>
          <w:color w:val="1F4E79"/>
          <w:sz w:val="56"/>
          <w:szCs w:val="56"/>
        </w:rPr>
        <w:t xml:space="preserve">RAPPORT FINAL</w:t>
      </w:r>
    </w:p>
    <w:p>
      <w:pPr>
        <w:jc w:val="center"/>
      </w:pPr>
      <w:r>
        <w:rPr>
          <w:sz w:val="32"/>
          <w:szCs w:val="32"/>
        </w:rPr>
        <w:t xml:space="preserve">Infrastructure virtualisée de VIREXON Technologies</w:t>
      </w:r>
    </w:p>
    <w:p>
      <w:pPr>
        <w:spacing w:after="900"/>
        <w:jc w:val="center"/>
      </w:pPr>
      <w:r>
        <w:rPr>
          <w:color w:val="595959"/>
          <w:sz w:val="26"/>
          <w:szCs w:val="26"/>
        </w:rPr>
        <w:t xml:space="preserve">Équipe 04 — Automne 2026</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shd w:fill="DCE6F1" w:color="auto" w:val="clear"/>
            <w:tcMar>
              <w:top w:type="dxa" w:w="80"/>
              <w:left w:type="dxa" w:w="120"/>
              <w:bottom w:type="dxa" w:w="80"/>
              <w:right w:type="dxa" w:w="120"/>
            </w:tcMar>
          </w:tcPr>
          <w:p>
            <w:r>
              <w:rPr>
                <w:b/>
                <w:bCs/>
              </w:rPr>
              <w:t xml:space="preserve">Représentant de l'équipe</w:t>
            </w:r>
          </w:p>
        </w:tc>
        <w:tc>
          <w:tcPr>
            <w:tcW w:type="dxa" w:w="4400"/>
            <w:tcMar>
              <w:top w:type="dxa" w:w="80"/>
              <w:left w:type="dxa" w:w="120"/>
              <w:bottom w:type="dxa" w:w="80"/>
              <w:right w:type="dxa" w:w="120"/>
            </w:tcMar>
          </w:tcPr>
          <w:p>
            <w:r>
              <w:t xml:space="preserve">[Nom]</w:t>
            </w:r>
          </w:p>
        </w:tc>
      </w:tr>
      <w:tr>
        <w:tc>
          <w:tcPr>
            <w:tcW w:type="dxa" w:w="2800"/>
            <w:shd w:fill="DCE6F1" w:color="auto" w:val="clear"/>
            <w:tcMar>
              <w:top w:type="dxa" w:w="80"/>
              <w:left w:type="dxa" w:w="120"/>
              <w:bottom w:type="dxa" w:w="80"/>
              <w:right w:type="dxa" w:w="120"/>
            </w:tcMar>
          </w:tcPr>
          <w:p>
            <w:r>
              <w:rPr>
                <w:b/>
                <w:bCs/>
              </w:rPr>
              <w:t xml:space="preserve">Membres de l'équipe</w:t>
            </w:r>
          </w:p>
        </w:tc>
        <w:tc>
          <w:tcPr>
            <w:tcW w:type="dxa" w:w="4400"/>
            <w:tcMar>
              <w:top w:type="dxa" w:w="80"/>
              <w:left w:type="dxa" w:w="120"/>
              <w:bottom w:type="dxa" w:w="80"/>
              <w:right w:type="dxa" w:w="120"/>
            </w:tcMar>
          </w:tcPr>
          <w:p>
            <w:r>
              <w:t xml:space="preserve">[Nom 1], [Nom 2], [Nom 3], [Nom 4]</w:t>
            </w:r>
          </w:p>
        </w:tc>
      </w:tr>
      <w:tr>
        <w:tc>
          <w:tcPr>
            <w:tcW w:type="dxa" w:w="2800"/>
            <w:shd w:fill="DCE6F1" w:color="auto" w:val="clear"/>
            <w:tcMar>
              <w:top w:type="dxa" w:w="80"/>
              <w:left w:type="dxa" w:w="120"/>
              <w:bottom w:type="dxa" w:w="80"/>
              <w:right w:type="dxa" w:w="120"/>
            </w:tcMar>
          </w:tcPr>
          <w:p>
            <w:r>
              <w:rPr>
                <w:b/>
                <w:bCs/>
              </w:rPr>
              <w:t xml:space="preserve">Numéro d'équipe</w:t>
            </w:r>
          </w:p>
        </w:tc>
        <w:tc>
          <w:tcPr>
            <w:tcW w:type="dxa" w:w="4400"/>
            <w:tcMar>
              <w:top w:type="dxa" w:w="80"/>
              <w:left w:type="dxa" w:w="120"/>
              <w:bottom w:type="dxa" w:w="80"/>
              <w:right w:type="dxa" w:w="120"/>
            </w:tcMar>
          </w:tcPr>
          <w:p>
            <w:r>
              <w:t xml:space="preserve">04</w:t>
            </w:r>
          </w:p>
        </w:tc>
      </w:tr>
      <w:tr>
        <w:tc>
          <w:tcPr>
            <w:tcW w:type="dxa" w:w="2800"/>
            <w:shd w:fill="DCE6F1" w:color="auto" w:val="clear"/>
            <w:tcMar>
              <w:top w:type="dxa" w:w="80"/>
              <w:left w:type="dxa" w:w="120"/>
              <w:bottom w:type="dxa" w:w="80"/>
              <w:right w:type="dxa" w:w="120"/>
            </w:tcMar>
          </w:tcPr>
          <w:p>
            <w:r>
              <w:rPr>
                <w:b/>
                <w:bCs/>
              </w:rPr>
              <w:t xml:space="preserve">Enseignant</w:t>
            </w:r>
          </w:p>
        </w:tc>
        <w:tc>
          <w:tcPr>
            <w:tcW w:type="dxa" w:w="4400"/>
            <w:tcMar>
              <w:top w:type="dxa" w:w="80"/>
              <w:left w:type="dxa" w:w="120"/>
              <w:bottom w:type="dxa" w:w="80"/>
              <w:right w:type="dxa" w:w="120"/>
            </w:tcMar>
          </w:tcPr>
          <w:p>
            <w:r>
              <w:t xml:space="preserve">[Nom de l'enseignant]</w:t>
            </w:r>
          </w:p>
        </w:tc>
      </w:tr>
      <w:tr>
        <w:tc>
          <w:tcPr>
            <w:tcW w:type="dxa" w:w="2800"/>
            <w:shd w:fill="DCE6F1" w:color="auto" w:val="clear"/>
            <w:tcMar>
              <w:top w:type="dxa" w:w="80"/>
              <w:left w:type="dxa" w:w="120"/>
              <w:bottom w:type="dxa" w:w="80"/>
              <w:right w:type="dxa" w:w="120"/>
            </w:tcMar>
          </w:tcPr>
          <w:p>
            <w:r>
              <w:rPr>
                <w:b/>
                <w:bCs/>
              </w:rPr>
              <w:t xml:space="preserve">Date de remise</w:t>
            </w:r>
          </w:p>
        </w:tc>
        <w:tc>
          <w:tcPr>
            <w:tcW w:type="dxa" w:w="4400"/>
            <w:tcMar>
              <w:top w:type="dxa" w:w="80"/>
              <w:left w:type="dxa" w:w="120"/>
              <w:bottom w:type="dxa" w:w="80"/>
              <w:right w:type="dxa" w:w="120"/>
            </w:tcMar>
          </w:tcPr>
          <w:p>
            <w:r>
              <w:t xml:space="preserve">[Date indiquée sur Léa]</w:t>
            </w:r>
          </w:p>
        </w:tc>
      </w:tr>
    </w:tbl>
    <w:p>
      <w:pPr>
        <w:spacing w:before="800"/>
        <w:jc w:val="center"/>
      </w:pPr>
      <w:r>
        <w:rPr>
          <w:color w:val="808080"/>
        </w:rPr>
        <w:t xml:space="preserve">Cégep — Techniques de l'informatique</w:t>
      </w:r>
    </w:p>
    <w:p>
      <w:pPr>
        <w:pageBreakBefore/>
      </w:pPr>
      <w:r>
        <w:rPr>
          <w:b/>
          <w:bCs/>
          <w:color w:val="1F4E79"/>
          <w:sz w:val="32"/>
          <w:szCs w:val="32"/>
        </w:rPr>
        <w:t xml:space="preserve">Table des matières</w:t>
      </w:r>
    </w:p>
    <w:p>
      <w:pPr>
        <w:tabs>
          <w:tab w:val="right" w:pos="9360" w:leader="dot"/>
        </w:tabs>
        <w:spacing w:after="20" w:before="140"/>
        <w:ind w:left="0"/>
      </w:pPr>
      <w:hyperlink w:history="1" w:anchor="h0">
        <w:r>
          <w:rPr>
            <w:b/>
            <w:bCs/>
            <w:sz w:val="22"/>
            <w:szCs w:val="22"/>
          </w:rPr>
          <w:t xml:space="preserve">1. Introduction</w:t>
        </w:r>
        <w:r>
          <w:rPr>
            <w:b/>
            <w:bCs/>
            <w:sz w:val="22"/>
            <w:szCs w:val="22"/>
          </w:rPr>
          <w:tab/>
          <w:t xml:space="preserve">4</w:t>
        </w:r>
      </w:hyperlink>
    </w:p>
    <w:p>
      <w:pPr>
        <w:tabs>
          <w:tab w:val="right" w:pos="9360" w:leader="dot"/>
        </w:tabs>
        <w:spacing w:after="20" w:before="140"/>
        <w:ind w:left="0"/>
      </w:pPr>
      <w:hyperlink w:history="1" w:anchor="h1">
        <w:r>
          <w:rPr>
            <w:b/>
            <w:bCs/>
            <w:sz w:val="22"/>
            <w:szCs w:val="22"/>
          </w:rPr>
          <w:t xml:space="preserve">2. Architecture et plan d'adressage</w:t>
        </w:r>
        <w:r>
          <w:rPr>
            <w:b/>
            <w:bCs/>
            <w:sz w:val="22"/>
            <w:szCs w:val="22"/>
          </w:rPr>
          <w:tab/>
          <w:t xml:space="preserve">5</w:t>
        </w:r>
      </w:hyperlink>
    </w:p>
    <w:p>
      <w:pPr>
        <w:tabs>
          <w:tab w:val="right" w:pos="9360" w:leader="dot"/>
        </w:tabs>
        <w:spacing w:after="20" w:before="20"/>
        <w:ind w:left="360"/>
      </w:pPr>
      <w:hyperlink w:history="1" w:anchor="h2">
        <w:r>
          <w:rPr>
            <w:b w:val="false"/>
            <w:bCs w:val="false"/>
            <w:sz w:val="20"/>
            <w:szCs w:val="20"/>
          </w:rPr>
          <w:t xml:space="preserve">2.1 Équipements physiques</w:t>
        </w:r>
        <w:r>
          <w:rPr>
            <w:b w:val="false"/>
            <w:bCs w:val="false"/>
            <w:sz w:val="20"/>
            <w:szCs w:val="20"/>
          </w:rPr>
          <w:tab/>
          <w:t xml:space="preserve">5</w:t>
        </w:r>
      </w:hyperlink>
    </w:p>
    <w:p>
      <w:pPr>
        <w:tabs>
          <w:tab w:val="right" w:pos="9360" w:leader="dot"/>
        </w:tabs>
        <w:spacing w:after="20" w:before="20"/>
        <w:ind w:left="360"/>
      </w:pPr>
      <w:hyperlink w:history="1" w:anchor="h3">
        <w:r>
          <w:rPr>
            <w:b w:val="false"/>
            <w:bCs w:val="false"/>
            <w:sz w:val="20"/>
            <w:szCs w:val="20"/>
          </w:rPr>
          <w:t xml:space="preserve">2.2 Plan d'adressage global</w:t>
        </w:r>
        <w:r>
          <w:rPr>
            <w:b w:val="false"/>
            <w:bCs w:val="false"/>
            <w:sz w:val="20"/>
            <w:szCs w:val="20"/>
          </w:rPr>
          <w:tab/>
          <w:t xml:space="preserve">6</w:t>
        </w:r>
      </w:hyperlink>
    </w:p>
    <w:p>
      <w:pPr>
        <w:tabs>
          <w:tab w:val="right" w:pos="9360" w:leader="dot"/>
        </w:tabs>
        <w:spacing w:after="20" w:before="20"/>
        <w:ind w:left="360"/>
      </w:pPr>
      <w:hyperlink w:history="1" w:anchor="h4">
        <w:r>
          <w:rPr>
            <w:b w:val="false"/>
            <w:bCs w:val="false"/>
            <w:sz w:val="20"/>
            <w:szCs w:val="20"/>
          </w:rPr>
          <w:t xml:space="preserve">2.3 Machines virtuelles et services</w:t>
        </w:r>
        <w:r>
          <w:rPr>
            <w:b w:val="false"/>
            <w:bCs w:val="false"/>
            <w:sz w:val="20"/>
            <w:szCs w:val="20"/>
          </w:rPr>
          <w:tab/>
          <w:t xml:space="preserve">6</w:t>
        </w:r>
      </w:hyperlink>
    </w:p>
    <w:p>
      <w:pPr>
        <w:tabs>
          <w:tab w:val="right" w:pos="9360" w:leader="dot"/>
        </w:tabs>
        <w:spacing w:after="20" w:before="140"/>
        <w:ind w:left="0"/>
      </w:pPr>
      <w:hyperlink w:history="1" w:anchor="h5">
        <w:r>
          <w:rPr>
            <w:b/>
            <w:bCs/>
            <w:sz w:val="22"/>
            <w:szCs w:val="22"/>
          </w:rPr>
          <w:t xml:space="preserve">3. Démonstration 1 — Virtualisation, sauvegardes et réseau</w:t>
        </w:r>
        <w:r>
          <w:rPr>
            <w:b/>
            <w:bCs/>
            <w:sz w:val="22"/>
            <w:szCs w:val="22"/>
          </w:rPr>
          <w:tab/>
          <w:t xml:space="preserve">7</w:t>
        </w:r>
      </w:hyperlink>
    </w:p>
    <w:p>
      <w:pPr>
        <w:tabs>
          <w:tab w:val="right" w:pos="9360" w:leader="dot"/>
        </w:tabs>
        <w:spacing w:after="20" w:before="20"/>
        <w:ind w:left="360"/>
      </w:pPr>
      <w:hyperlink w:history="1" w:anchor="h6">
        <w:r>
          <w:rPr>
            <w:b w:val="false"/>
            <w:bCs w:val="false"/>
            <w:sz w:val="20"/>
            <w:szCs w:val="20"/>
          </w:rPr>
          <w:t xml:space="preserve">Étape 1 — Inventaire matériel et câblage</w:t>
        </w:r>
        <w:r>
          <w:rPr>
            <w:b w:val="false"/>
            <w:bCs w:val="false"/>
            <w:sz w:val="20"/>
            <w:szCs w:val="20"/>
          </w:rPr>
          <w:tab/>
          <w:t xml:space="preserve">7</w:t>
        </w:r>
      </w:hyperlink>
    </w:p>
    <w:p>
      <w:pPr>
        <w:tabs>
          <w:tab w:val="right" w:pos="9360" w:leader="dot"/>
        </w:tabs>
        <w:spacing w:after="20" w:before="20"/>
        <w:ind w:left="360"/>
      </w:pPr>
      <w:hyperlink w:history="1" w:anchor="h7">
        <w:r>
          <w:rPr>
            <w:b w:val="false"/>
            <w:bCs w:val="false"/>
            <w:sz w:val="20"/>
            <w:szCs w:val="20"/>
          </w:rPr>
          <w:t xml:space="preserve">Étape 2 — Installation de Proxmox VE (VIR-QC-PVE-01)</w:t>
        </w:r>
        <w:r>
          <w:rPr>
            <w:b w:val="false"/>
            <w:bCs w:val="false"/>
            <w:sz w:val="20"/>
            <w:szCs w:val="20"/>
          </w:rPr>
          <w:tab/>
          <w:t xml:space="preserve">8</w:t>
        </w:r>
      </w:hyperlink>
    </w:p>
    <w:p>
      <w:pPr>
        <w:tabs>
          <w:tab w:val="right" w:pos="9360" w:leader="dot"/>
        </w:tabs>
        <w:spacing w:after="20" w:before="20"/>
        <w:ind w:left="360"/>
      </w:pPr>
      <w:hyperlink w:history="1" w:anchor="h8">
        <w:r>
          <w:rPr>
            <w:b w:val="false"/>
            <w:bCs w:val="false"/>
            <w:sz w:val="20"/>
            <w:szCs w:val="20"/>
          </w:rPr>
          <w:t xml:space="preserve">Étape 3 — Proxmox Backup Server (VIR-QC-PBS-01) et console unique</w:t>
        </w:r>
        <w:r>
          <w:rPr>
            <w:b w:val="false"/>
            <w:bCs w:val="false"/>
            <w:sz w:val="20"/>
            <w:szCs w:val="20"/>
          </w:rPr>
          <w:tab/>
          <w:t xml:space="preserve">9</w:t>
        </w:r>
      </w:hyperlink>
    </w:p>
    <w:p>
      <w:pPr>
        <w:tabs>
          <w:tab w:val="right" w:pos="9360" w:leader="dot"/>
        </w:tabs>
        <w:spacing w:after="20" w:before="20"/>
        <w:ind w:left="360"/>
      </w:pPr>
      <w:hyperlink w:history="1" w:anchor="h9">
        <w:r>
          <w:rPr>
            <w:b w:val="false"/>
            <w:bCs w:val="false"/>
            <w:sz w:val="20"/>
            <w:szCs w:val="20"/>
          </w:rPr>
          <w:t xml:space="preserve">Étape 4 — Modèles de machines virtuelles et clones liés</w:t>
        </w:r>
        <w:r>
          <w:rPr>
            <w:b w:val="false"/>
            <w:bCs w:val="false"/>
            <w:sz w:val="20"/>
            <w:szCs w:val="20"/>
          </w:rPr>
          <w:tab/>
          <w:t xml:space="preserve">11</w:t>
        </w:r>
      </w:hyperlink>
    </w:p>
    <w:p>
      <w:pPr>
        <w:tabs>
          <w:tab w:val="right" w:pos="9360" w:leader="dot"/>
        </w:tabs>
        <w:spacing w:after="20" w:before="20"/>
        <w:ind w:left="360"/>
      </w:pPr>
      <w:hyperlink w:history="1" w:anchor="h10">
        <w:r>
          <w:rPr>
            <w:b w:val="false"/>
            <w:bCs w:val="false"/>
            <w:sz w:val="20"/>
            <w:szCs w:val="20"/>
          </w:rPr>
          <w:t xml:space="preserve">Étape 5 — Script de création de machine virtuelle</w:t>
        </w:r>
        <w:r>
          <w:rPr>
            <w:b w:val="false"/>
            <w:bCs w:val="false"/>
            <w:sz w:val="20"/>
            <w:szCs w:val="20"/>
          </w:rPr>
          <w:tab/>
          <w:t xml:space="preserve">11</w:t>
        </w:r>
      </w:hyperlink>
    </w:p>
    <w:p>
      <w:pPr>
        <w:tabs>
          <w:tab w:val="right" w:pos="9360" w:leader="dot"/>
        </w:tabs>
        <w:spacing w:after="20" w:before="20"/>
        <w:ind w:left="360"/>
      </w:pPr>
      <w:hyperlink w:history="1" w:anchor="h11">
        <w:r>
          <w:rPr>
            <w:b w:val="false"/>
            <w:bCs w:val="false"/>
            <w:sz w:val="20"/>
            <w:szCs w:val="20"/>
          </w:rPr>
          <w:t xml:space="preserve">Étape 6 — Sauvegardes planifiées</w:t>
        </w:r>
        <w:r>
          <w:rPr>
            <w:b w:val="false"/>
            <w:bCs w:val="false"/>
            <w:sz w:val="20"/>
            <w:szCs w:val="20"/>
          </w:rPr>
          <w:tab/>
          <w:t xml:space="preserve">12</w:t>
        </w:r>
      </w:hyperlink>
    </w:p>
    <w:p>
      <w:pPr>
        <w:tabs>
          <w:tab w:val="right" w:pos="9360" w:leader="dot"/>
        </w:tabs>
        <w:spacing w:after="20" w:before="20"/>
        <w:ind w:left="360"/>
      </w:pPr>
      <w:hyperlink w:history="1" w:anchor="h12">
        <w:r>
          <w:rPr>
            <w:b w:val="false"/>
            <w:bCs w:val="false"/>
            <w:sz w:val="20"/>
            <w:szCs w:val="20"/>
          </w:rPr>
          <w:t xml:space="preserve">Étape 7 — pfSense : routeur et pare-feu (VIR-QC-FW-01)</w:t>
        </w:r>
        <w:r>
          <w:rPr>
            <w:b w:val="false"/>
            <w:bCs w:val="false"/>
            <w:sz w:val="20"/>
            <w:szCs w:val="20"/>
          </w:rPr>
          <w:tab/>
          <w:t xml:space="preserve">14</w:t>
        </w:r>
      </w:hyperlink>
    </w:p>
    <w:p>
      <w:pPr>
        <w:tabs>
          <w:tab w:val="right" w:pos="9360" w:leader="dot"/>
        </w:tabs>
        <w:spacing w:after="20" w:before="20"/>
        <w:ind w:left="360"/>
      </w:pPr>
      <w:hyperlink w:history="1" w:anchor="h13">
        <w:r>
          <w:rPr>
            <w:b w:val="false"/>
            <w:bCs w:val="false"/>
            <w:sz w:val="20"/>
            <w:szCs w:val="20"/>
          </w:rPr>
          <w:t xml:space="preserve">Étape 8 — Service DHCP</w:t>
        </w:r>
        <w:r>
          <w:rPr>
            <w:b w:val="false"/>
            <w:bCs w:val="false"/>
            <w:sz w:val="20"/>
            <w:szCs w:val="20"/>
          </w:rPr>
          <w:tab/>
          <w:t xml:space="preserve">15</w:t>
        </w:r>
      </w:hyperlink>
    </w:p>
    <w:p>
      <w:pPr>
        <w:tabs>
          <w:tab w:val="right" w:pos="9360" w:leader="dot"/>
        </w:tabs>
        <w:spacing w:after="20" w:before="20"/>
        <w:ind w:left="360"/>
      </w:pPr>
      <w:hyperlink w:history="1" w:anchor="h14">
        <w:r>
          <w:rPr>
            <w:b w:val="false"/>
            <w:bCs w:val="false"/>
            <w:sz w:val="20"/>
            <w:szCs w:val="20"/>
          </w:rPr>
          <w:t xml:space="preserve">Étape 9 — VPN entre le siège et les succursales</w:t>
        </w:r>
        <w:r>
          <w:rPr>
            <w:b w:val="false"/>
            <w:bCs w:val="false"/>
            <w:sz w:val="20"/>
            <w:szCs w:val="20"/>
          </w:rPr>
          <w:tab/>
          <w:t xml:space="preserve">16</w:t>
        </w:r>
      </w:hyperlink>
    </w:p>
    <w:p>
      <w:pPr>
        <w:tabs>
          <w:tab w:val="right" w:pos="9360" w:leader="dot"/>
        </w:tabs>
        <w:spacing w:after="20" w:before="140"/>
        <w:ind w:left="0"/>
      </w:pPr>
      <w:hyperlink w:history="1" w:anchor="h15">
        <w:r>
          <w:rPr>
            <w:b/>
            <w:bCs/>
            <w:sz w:val="22"/>
            <w:szCs w:val="22"/>
          </w:rPr>
          <w:t xml:space="preserve">4. Démonstration 2 — Active Directory, GPO, partages et DNS</w:t>
        </w:r>
        <w:r>
          <w:rPr>
            <w:b/>
            <w:bCs/>
            <w:sz w:val="22"/>
            <w:szCs w:val="22"/>
          </w:rPr>
          <w:tab/>
          <w:t xml:space="preserve">18</w:t>
        </w:r>
      </w:hyperlink>
    </w:p>
    <w:p>
      <w:pPr>
        <w:tabs>
          <w:tab w:val="right" w:pos="9360" w:leader="dot"/>
        </w:tabs>
        <w:spacing w:after="20" w:before="20"/>
        <w:ind w:left="360"/>
      </w:pPr>
      <w:hyperlink w:history="1" w:anchor="h16">
        <w:r>
          <w:rPr>
            <w:b w:val="false"/>
            <w:bCs w:val="false"/>
            <w:sz w:val="20"/>
            <w:szCs w:val="20"/>
          </w:rPr>
          <w:t xml:space="preserve">Étape 10 — Contrôleur de domaine principal (VIR-QC-DC-01)</w:t>
        </w:r>
        <w:r>
          <w:rPr>
            <w:b w:val="false"/>
            <w:bCs w:val="false"/>
            <w:sz w:val="20"/>
            <w:szCs w:val="20"/>
          </w:rPr>
          <w:tab/>
          <w:t xml:space="preserve">18</w:t>
        </w:r>
      </w:hyperlink>
    </w:p>
    <w:p>
      <w:pPr>
        <w:tabs>
          <w:tab w:val="right" w:pos="9360" w:leader="dot"/>
        </w:tabs>
        <w:spacing w:after="20" w:before="20"/>
        <w:ind w:left="360"/>
      </w:pPr>
      <w:hyperlink w:history="1" w:anchor="h17">
        <w:r>
          <w:rPr>
            <w:b w:val="false"/>
            <w:bCs w:val="false"/>
            <w:sz w:val="20"/>
            <w:szCs w:val="20"/>
          </w:rPr>
          <w:t xml:space="preserve">Étape 11 — Contrôleurs en lecture seule des succursales (RODC)</w:t>
        </w:r>
        <w:r>
          <w:rPr>
            <w:b w:val="false"/>
            <w:bCs w:val="false"/>
            <w:sz w:val="20"/>
            <w:szCs w:val="20"/>
          </w:rPr>
          <w:tab/>
          <w:t xml:space="preserve">18</w:t>
        </w:r>
      </w:hyperlink>
    </w:p>
    <w:p>
      <w:pPr>
        <w:tabs>
          <w:tab w:val="right" w:pos="9360" w:leader="dot"/>
        </w:tabs>
        <w:spacing w:after="20" w:before="20"/>
        <w:ind w:left="360"/>
      </w:pPr>
      <w:hyperlink w:history="1" w:anchor="h18">
        <w:r>
          <w:rPr>
            <w:b w:val="false"/>
            <w:bCs w:val="false"/>
            <w:sz w:val="20"/>
            <w:szCs w:val="20"/>
          </w:rPr>
          <w:t xml:space="preserve">Étape 12 — Création des utilisateurs et des groupes</w:t>
        </w:r>
        <w:r>
          <w:rPr>
            <w:b w:val="false"/>
            <w:bCs w:val="false"/>
            <w:sz w:val="20"/>
            <w:szCs w:val="20"/>
          </w:rPr>
          <w:tab/>
          <w:t xml:space="preserve">20</w:t>
        </w:r>
      </w:hyperlink>
    </w:p>
    <w:p>
      <w:pPr>
        <w:tabs>
          <w:tab w:val="right" w:pos="9360" w:leader="dot"/>
        </w:tabs>
        <w:spacing w:after="20" w:before="20"/>
        <w:ind w:left="360"/>
      </w:pPr>
      <w:hyperlink w:history="1" w:anchor="h19">
        <w:r>
          <w:rPr>
            <w:b w:val="false"/>
            <w:bCs w:val="false"/>
            <w:sz w:val="20"/>
            <w:szCs w:val="20"/>
          </w:rPr>
          <w:t xml:space="preserve">Étape 13 — Stratégies de groupe (GPO)</w:t>
        </w:r>
        <w:r>
          <w:rPr>
            <w:b w:val="false"/>
            <w:bCs w:val="false"/>
            <w:sz w:val="20"/>
            <w:szCs w:val="20"/>
          </w:rPr>
          <w:tab/>
          <w:t xml:space="preserve">21</w:t>
        </w:r>
      </w:hyperlink>
    </w:p>
    <w:p>
      <w:pPr>
        <w:tabs>
          <w:tab w:val="right" w:pos="9360" w:leader="dot"/>
        </w:tabs>
        <w:spacing w:after="20" w:before="20"/>
        <w:ind w:left="360"/>
      </w:pPr>
      <w:hyperlink w:history="1" w:anchor="h20">
        <w:r>
          <w:rPr>
            <w:b w:val="false"/>
            <w:bCs w:val="false"/>
            <w:sz w:val="20"/>
            <w:szCs w:val="20"/>
          </w:rPr>
          <w:t xml:space="preserve">Étape 14 — Partages et lecteurs réseau</w:t>
        </w:r>
        <w:r>
          <w:rPr>
            <w:b w:val="false"/>
            <w:bCs w:val="false"/>
            <w:sz w:val="20"/>
            <w:szCs w:val="20"/>
          </w:rPr>
          <w:tab/>
          <w:t xml:space="preserve">22</w:t>
        </w:r>
      </w:hyperlink>
    </w:p>
    <w:p>
      <w:pPr>
        <w:tabs>
          <w:tab w:val="right" w:pos="9360" w:leader="dot"/>
        </w:tabs>
        <w:spacing w:after="20" w:before="20"/>
        <w:ind w:left="360"/>
      </w:pPr>
      <w:hyperlink w:history="1" w:anchor="h21">
        <w:r>
          <w:rPr>
            <w:b w:val="false"/>
            <w:bCs w:val="false"/>
            <w:sz w:val="20"/>
            <w:szCs w:val="20"/>
          </w:rPr>
          <w:t xml:space="preserve">Étape 15 — Service DNS principal et secondaire</w:t>
        </w:r>
        <w:r>
          <w:rPr>
            <w:b w:val="false"/>
            <w:bCs w:val="false"/>
            <w:sz w:val="20"/>
            <w:szCs w:val="20"/>
          </w:rPr>
          <w:tab/>
          <w:t xml:space="preserve">24</w:t>
        </w:r>
      </w:hyperlink>
    </w:p>
    <w:p>
      <w:pPr>
        <w:tabs>
          <w:tab w:val="right" w:pos="9360" w:leader="dot"/>
        </w:tabs>
        <w:spacing w:after="20" w:before="20"/>
        <w:ind w:left="360"/>
      </w:pPr>
      <w:hyperlink w:history="1" w:anchor="h22">
        <w:r>
          <w:rPr>
            <w:b w:val="false"/>
            <w:bCs w:val="false"/>
            <w:sz w:val="20"/>
            <w:szCs w:val="20"/>
          </w:rPr>
          <w:t xml:space="preserve">Étape 16 — Poste de travail Windows 11 (VIR-QC-WS-01)</w:t>
        </w:r>
        <w:r>
          <w:rPr>
            <w:b w:val="false"/>
            <w:bCs w:val="false"/>
            <w:sz w:val="20"/>
            <w:szCs w:val="20"/>
          </w:rPr>
          <w:tab/>
          <w:t xml:space="preserve">25</w:t>
        </w:r>
      </w:hyperlink>
    </w:p>
    <w:p>
      <w:pPr>
        <w:tabs>
          <w:tab w:val="right" w:pos="9360" w:leader="dot"/>
        </w:tabs>
        <w:spacing w:after="20" w:before="140"/>
        <w:ind w:left="0"/>
      </w:pPr>
      <w:hyperlink w:history="1" w:anchor="h23">
        <w:r>
          <w:rPr>
            <w:b/>
            <w:bCs/>
            <w:sz w:val="22"/>
            <w:szCs w:val="22"/>
          </w:rPr>
          <w:t xml:space="preserve">5. Démonstration 3 — Stockage TrueNAS</w:t>
        </w:r>
        <w:r>
          <w:rPr>
            <w:b/>
            <w:bCs/>
            <w:sz w:val="22"/>
            <w:szCs w:val="22"/>
          </w:rPr>
          <w:tab/>
          <w:t xml:space="preserve">28</w:t>
        </w:r>
      </w:hyperlink>
    </w:p>
    <w:p>
      <w:pPr>
        <w:tabs>
          <w:tab w:val="right" w:pos="9360" w:leader="dot"/>
        </w:tabs>
        <w:spacing w:after="20" w:before="20"/>
        <w:ind w:left="360"/>
      </w:pPr>
      <w:hyperlink w:history="1" w:anchor="h24">
        <w:r>
          <w:rPr>
            <w:b w:val="false"/>
            <w:bCs w:val="false"/>
            <w:sz w:val="20"/>
            <w:szCs w:val="20"/>
          </w:rPr>
          <w:t xml:space="preserve">Étape 17 — Installation de TrueNAS (VIR-QC-NAS-01)</w:t>
        </w:r>
        <w:r>
          <w:rPr>
            <w:b w:val="false"/>
            <w:bCs w:val="false"/>
            <w:sz w:val="20"/>
            <w:szCs w:val="20"/>
          </w:rPr>
          <w:tab/>
          <w:t xml:space="preserve">28</w:t>
        </w:r>
      </w:hyperlink>
    </w:p>
    <w:p>
      <w:pPr>
        <w:tabs>
          <w:tab w:val="right" w:pos="9360" w:leader="dot"/>
        </w:tabs>
        <w:spacing w:after="20" w:before="20"/>
        <w:ind w:left="360"/>
      </w:pPr>
      <w:hyperlink w:history="1" w:anchor="h25">
        <w:r>
          <w:rPr>
            <w:b w:val="false"/>
            <w:bCs w:val="false"/>
            <w:sz w:val="20"/>
            <w:szCs w:val="20"/>
          </w:rPr>
          <w:t xml:space="preserve">Étape 18 — Volumes redondants : RAID 1, RAID 5 et LVM</w:t>
        </w:r>
        <w:r>
          <w:rPr>
            <w:b w:val="false"/>
            <w:bCs w:val="false"/>
            <w:sz w:val="20"/>
            <w:szCs w:val="20"/>
          </w:rPr>
          <w:tab/>
          <w:t xml:space="preserve">28</w:t>
        </w:r>
      </w:hyperlink>
    </w:p>
    <w:p>
      <w:pPr>
        <w:tabs>
          <w:tab w:val="right" w:pos="9360" w:leader="dot"/>
        </w:tabs>
        <w:spacing w:after="20" w:before="20"/>
        <w:ind w:left="360"/>
      </w:pPr>
      <w:hyperlink w:history="1" w:anchor="h26">
        <w:r>
          <w:rPr>
            <w:b w:val="false"/>
            <w:bCs w:val="false"/>
            <w:sz w:val="20"/>
            <w:szCs w:val="20"/>
          </w:rPr>
          <w:t xml:space="preserve">Étape 19 — Partages NFS et SMB2</w:t>
        </w:r>
        <w:r>
          <w:rPr>
            <w:b w:val="false"/>
            <w:bCs w:val="false"/>
            <w:sz w:val="20"/>
            <w:szCs w:val="20"/>
          </w:rPr>
          <w:tab/>
          <w:t xml:space="preserve">29</w:t>
        </w:r>
      </w:hyperlink>
    </w:p>
    <w:p>
      <w:pPr>
        <w:tabs>
          <w:tab w:val="right" w:pos="9360" w:leader="dot"/>
        </w:tabs>
        <w:spacing w:after="20" w:before="140"/>
        <w:ind w:left="0"/>
      </w:pPr>
      <w:hyperlink w:history="1" w:anchor="h27">
        <w:r>
          <w:rPr>
            <w:b/>
            <w:bCs/>
            <w:sz w:val="22"/>
            <w:szCs w:val="22"/>
          </w:rPr>
          <w:t xml:space="preserve">6. Démonstration 4 — NextCloud et supervision</w:t>
        </w:r>
        <w:r>
          <w:rPr>
            <w:b/>
            <w:bCs/>
            <w:sz w:val="22"/>
            <w:szCs w:val="22"/>
          </w:rPr>
          <w:tab/>
          <w:t xml:space="preserve">31</w:t>
        </w:r>
      </w:hyperlink>
    </w:p>
    <w:p>
      <w:pPr>
        <w:tabs>
          <w:tab w:val="right" w:pos="9360" w:leader="dot"/>
        </w:tabs>
        <w:spacing w:after="20" w:before="20"/>
        <w:ind w:left="360"/>
      </w:pPr>
      <w:hyperlink w:history="1" w:anchor="h28">
        <w:r>
          <w:rPr>
            <w:b w:val="false"/>
            <w:bCs w:val="false"/>
            <w:sz w:val="20"/>
            <w:szCs w:val="20"/>
          </w:rPr>
          <w:t xml:space="preserve">Étape 20 — NextCloud en conteneur (VIR-QC-NC-01)</w:t>
        </w:r>
        <w:r>
          <w:rPr>
            <w:b w:val="false"/>
            <w:bCs w:val="false"/>
            <w:sz w:val="20"/>
            <w:szCs w:val="20"/>
          </w:rPr>
          <w:tab/>
          <w:t xml:space="preserve">31</w:t>
        </w:r>
      </w:hyperlink>
    </w:p>
    <w:p>
      <w:pPr>
        <w:tabs>
          <w:tab w:val="right" w:pos="9360" w:leader="dot"/>
        </w:tabs>
        <w:spacing w:after="20" w:before="20"/>
        <w:ind w:left="360"/>
      </w:pPr>
      <w:hyperlink w:history="1" w:anchor="h29">
        <w:r>
          <w:rPr>
            <w:b w:val="false"/>
            <w:bCs w:val="false"/>
            <w:sz w:val="20"/>
            <w:szCs w:val="20"/>
          </w:rPr>
          <w:t xml:space="preserve">Étape 21 — Service de supervision (VIR-QC-MON-01)</w:t>
        </w:r>
        <w:r>
          <w:rPr>
            <w:b w:val="false"/>
            <w:bCs w:val="false"/>
            <w:sz w:val="20"/>
            <w:szCs w:val="20"/>
          </w:rPr>
          <w:tab/>
          <w:t xml:space="preserve">32</w:t>
        </w:r>
      </w:hyperlink>
    </w:p>
    <w:p>
      <w:pPr>
        <w:tabs>
          <w:tab w:val="right" w:pos="9360" w:leader="dot"/>
        </w:tabs>
        <w:spacing w:after="20" w:before="20"/>
        <w:ind w:left="360"/>
      </w:pPr>
      <w:hyperlink w:history="1" w:anchor="h30">
        <w:r>
          <w:rPr>
            <w:b w:val="false"/>
            <w:bCs w:val="false"/>
            <w:sz w:val="20"/>
            <w:szCs w:val="20"/>
          </w:rPr>
          <w:t xml:space="preserve">Étape 22 — Gestion des conteneurs avec Dockhand</w:t>
        </w:r>
        <w:r>
          <w:rPr>
            <w:b w:val="false"/>
            <w:bCs w:val="false"/>
            <w:sz w:val="20"/>
            <w:szCs w:val="20"/>
          </w:rPr>
          <w:tab/>
          <w:t xml:space="preserve">33</w:t>
        </w:r>
      </w:hyperlink>
    </w:p>
    <w:p>
      <w:pPr>
        <w:tabs>
          <w:tab w:val="right" w:pos="9360" w:leader="dot"/>
        </w:tabs>
        <w:spacing w:after="20" w:before="140"/>
        <w:ind w:left="0"/>
      </w:pPr>
      <w:hyperlink w:history="1" w:anchor="h31">
        <w:r>
          <w:rPr>
            <w:b/>
            <w:bCs/>
            <w:sz w:val="22"/>
            <w:szCs w:val="22"/>
          </w:rPr>
          <w:t xml:space="preserve">7. Démonstration 5 — Site Web, supervision et pare-feux</w:t>
        </w:r>
        <w:r>
          <w:rPr>
            <w:b/>
            <w:bCs/>
            <w:sz w:val="22"/>
            <w:szCs w:val="22"/>
          </w:rPr>
          <w:tab/>
          <w:t xml:space="preserve">34</w:t>
        </w:r>
      </w:hyperlink>
    </w:p>
    <w:p>
      <w:pPr>
        <w:tabs>
          <w:tab w:val="right" w:pos="9360" w:leader="dot"/>
        </w:tabs>
        <w:spacing w:after="20" w:before="20"/>
        <w:ind w:left="360"/>
      </w:pPr>
      <w:hyperlink w:history="1" w:anchor="h32">
        <w:r>
          <w:rPr>
            <w:b w:val="false"/>
            <w:bCs w:val="false"/>
            <w:sz w:val="20"/>
            <w:szCs w:val="20"/>
          </w:rPr>
          <w:t xml:space="preserve">Étape 23 — Site Web sécurisé HTTPS (VIR-QC-WEB-01)</w:t>
        </w:r>
        <w:r>
          <w:rPr>
            <w:b w:val="false"/>
            <w:bCs w:val="false"/>
            <w:sz w:val="20"/>
            <w:szCs w:val="20"/>
          </w:rPr>
          <w:tab/>
          <w:t xml:space="preserve">34</w:t>
        </w:r>
      </w:hyperlink>
    </w:p>
    <w:p>
      <w:pPr>
        <w:tabs>
          <w:tab w:val="right" w:pos="9360" w:leader="dot"/>
        </w:tabs>
        <w:spacing w:after="20" w:before="20"/>
        <w:ind w:left="360"/>
      </w:pPr>
      <w:hyperlink w:history="1" w:anchor="h33">
        <w:r>
          <w:rPr>
            <w:b w:val="false"/>
            <w:bCs w:val="false"/>
            <w:sz w:val="20"/>
            <w:szCs w:val="20"/>
          </w:rPr>
          <w:t xml:space="preserve">Étape 24 — Supervision d'un serveur Windows et d'un serveur Linux</w:t>
        </w:r>
        <w:r>
          <w:rPr>
            <w:b w:val="false"/>
            <w:bCs w:val="false"/>
            <w:sz w:val="20"/>
            <w:szCs w:val="20"/>
          </w:rPr>
          <w:tab/>
          <w:t xml:space="preserve">35</w:t>
        </w:r>
      </w:hyperlink>
    </w:p>
    <w:p>
      <w:pPr>
        <w:tabs>
          <w:tab w:val="right" w:pos="9360" w:leader="dot"/>
        </w:tabs>
        <w:spacing w:after="20" w:before="20"/>
        <w:ind w:left="360"/>
      </w:pPr>
      <w:hyperlink w:history="1" w:anchor="h34">
        <w:r>
          <w:rPr>
            <w:b w:val="false"/>
            <w:bCs w:val="false"/>
            <w:sz w:val="20"/>
            <w:szCs w:val="20"/>
          </w:rPr>
          <w:t xml:space="preserve">Étape 25 — Pare-feux d'hôtes</w:t>
        </w:r>
        <w:r>
          <w:rPr>
            <w:b w:val="false"/>
            <w:bCs w:val="false"/>
            <w:sz w:val="20"/>
            <w:szCs w:val="20"/>
          </w:rPr>
          <w:tab/>
          <w:t xml:space="preserve">36</w:t>
        </w:r>
      </w:hyperlink>
    </w:p>
    <w:p>
      <w:pPr>
        <w:tabs>
          <w:tab w:val="right" w:pos="9360" w:leader="dot"/>
        </w:tabs>
        <w:spacing w:after="20" w:before="20"/>
        <w:ind w:left="360"/>
      </w:pPr>
      <w:hyperlink w:history="1" w:anchor="h35">
        <w:r>
          <w:rPr>
            <w:b w:val="false"/>
            <w:bCs w:val="false"/>
            <w:sz w:val="20"/>
            <w:szCs w:val="20"/>
          </w:rPr>
          <w:t xml:space="preserve">Étape 26 — Automatisation avec Ansible (VIR-QC-ANS-01)</w:t>
        </w:r>
        <w:r>
          <w:rPr>
            <w:b w:val="false"/>
            <w:bCs w:val="false"/>
            <w:sz w:val="20"/>
            <w:szCs w:val="20"/>
          </w:rPr>
          <w:tab/>
          <w:t xml:space="preserve">37</w:t>
        </w:r>
      </w:hyperlink>
    </w:p>
    <w:p>
      <w:pPr>
        <w:tabs>
          <w:tab w:val="right" w:pos="9360" w:leader="dot"/>
        </w:tabs>
        <w:spacing w:after="20" w:before="140"/>
        <w:ind w:left="0"/>
      </w:pPr>
      <w:hyperlink w:history="1" w:anchor="h36">
        <w:r>
          <w:rPr>
            <w:b/>
            <w:bCs/>
            <w:sz w:val="22"/>
            <w:szCs w:val="22"/>
          </w:rPr>
          <w:t xml:space="preserve">8. Synthèse de la sécurité de l'infrastructure</w:t>
        </w:r>
        <w:r>
          <w:rPr>
            <w:b/>
            <w:bCs/>
            <w:sz w:val="22"/>
            <w:szCs w:val="22"/>
          </w:rPr>
          <w:tab/>
          <w:t xml:space="preserve">39</w:t>
        </w:r>
      </w:hyperlink>
    </w:p>
    <w:p>
      <w:pPr>
        <w:tabs>
          <w:tab w:val="right" w:pos="9360" w:leader="dot"/>
        </w:tabs>
        <w:spacing w:after="20" w:before="140"/>
        <w:ind w:left="0"/>
      </w:pPr>
      <w:hyperlink w:history="1" w:anchor="h37">
        <w:r>
          <w:rPr>
            <w:b/>
            <w:bCs/>
            <w:sz w:val="22"/>
            <w:szCs w:val="22"/>
          </w:rPr>
          <w:t xml:space="preserve">9. Conclusions</w:t>
        </w:r>
        <w:r>
          <w:rPr>
            <w:b/>
            <w:bCs/>
            <w:sz w:val="22"/>
            <w:szCs w:val="22"/>
          </w:rPr>
          <w:tab/>
          <w:t xml:space="preserve">40</w:t>
        </w:r>
      </w:hyperlink>
    </w:p>
    <w:p>
      <w:pPr>
        <w:tabs>
          <w:tab w:val="right" w:pos="9360" w:leader="dot"/>
        </w:tabs>
        <w:spacing w:after="20" w:before="20"/>
        <w:ind w:left="360"/>
      </w:pPr>
      <w:hyperlink w:history="1" w:anchor="h38">
        <w:r>
          <w:rPr>
            <w:b w:val="false"/>
            <w:bCs w:val="false"/>
            <w:sz w:val="20"/>
            <w:szCs w:val="20"/>
          </w:rPr>
          <w:t xml:space="preserve">Conclusion de [Nom 1]</w:t>
        </w:r>
        <w:r>
          <w:rPr>
            <w:b w:val="false"/>
            <w:bCs w:val="false"/>
            <w:sz w:val="20"/>
            <w:szCs w:val="20"/>
          </w:rPr>
          <w:tab/>
          <w:t xml:space="preserve">40</w:t>
        </w:r>
      </w:hyperlink>
    </w:p>
    <w:p>
      <w:pPr>
        <w:tabs>
          <w:tab w:val="right" w:pos="9360" w:leader="dot"/>
        </w:tabs>
        <w:spacing w:after="20" w:before="20"/>
        <w:ind w:left="360"/>
      </w:pPr>
      <w:hyperlink w:history="1" w:anchor="h39">
        <w:r>
          <w:rPr>
            <w:b w:val="false"/>
            <w:bCs w:val="false"/>
            <w:sz w:val="20"/>
            <w:szCs w:val="20"/>
          </w:rPr>
          <w:t xml:space="preserve">Conclusion de [Nom 2]</w:t>
        </w:r>
        <w:r>
          <w:rPr>
            <w:b w:val="false"/>
            <w:bCs w:val="false"/>
            <w:sz w:val="20"/>
            <w:szCs w:val="20"/>
          </w:rPr>
          <w:tab/>
          <w:t xml:space="preserve">40</w:t>
        </w:r>
      </w:hyperlink>
    </w:p>
    <w:p>
      <w:pPr>
        <w:tabs>
          <w:tab w:val="right" w:pos="9360" w:leader="dot"/>
        </w:tabs>
        <w:spacing w:after="20" w:before="20"/>
        <w:ind w:left="360"/>
      </w:pPr>
      <w:hyperlink w:history="1" w:anchor="h40">
        <w:r>
          <w:rPr>
            <w:b w:val="false"/>
            <w:bCs w:val="false"/>
            <w:sz w:val="20"/>
            <w:szCs w:val="20"/>
          </w:rPr>
          <w:t xml:space="preserve">Conclusion de [Nom 3]</w:t>
        </w:r>
        <w:r>
          <w:rPr>
            <w:b w:val="false"/>
            <w:bCs w:val="false"/>
            <w:sz w:val="20"/>
            <w:szCs w:val="20"/>
          </w:rPr>
          <w:tab/>
          <w:t xml:space="preserve">40</w:t>
        </w:r>
      </w:hyperlink>
    </w:p>
    <w:p>
      <w:pPr>
        <w:tabs>
          <w:tab w:val="right" w:pos="9360" w:leader="dot"/>
        </w:tabs>
        <w:spacing w:after="20" w:before="20"/>
        <w:ind w:left="360"/>
      </w:pPr>
      <w:hyperlink w:history="1" w:anchor="h41">
        <w:r>
          <w:rPr>
            <w:b w:val="false"/>
            <w:bCs w:val="false"/>
            <w:sz w:val="20"/>
            <w:szCs w:val="20"/>
          </w:rPr>
          <w:t xml:space="preserve">Conclusion de [Nom 4]</w:t>
        </w:r>
        <w:r>
          <w:rPr>
            <w:b w:val="false"/>
            <w:bCs w:val="false"/>
            <w:sz w:val="20"/>
            <w:szCs w:val="20"/>
          </w:rPr>
          <w:tab/>
          <w:t xml:space="preserve">40</w:t>
        </w:r>
      </w:hyperlink>
    </w:p>
    <w:p>
      <w:pPr>
        <w:tabs>
          <w:tab w:val="right" w:pos="9360" w:leader="dot"/>
        </w:tabs>
        <w:spacing w:after="20" w:before="140"/>
        <w:ind w:left="0"/>
      </w:pPr>
      <w:hyperlink w:history="1" w:anchor="h42">
        <w:r>
          <w:rPr>
            <w:b/>
            <w:bCs/>
            <w:sz w:val="22"/>
            <w:szCs w:val="22"/>
          </w:rPr>
          <w:t xml:space="preserve">10. Webographie</w:t>
        </w:r>
        <w:r>
          <w:rPr>
            <w:b/>
            <w:bCs/>
            <w:sz w:val="22"/>
            <w:szCs w:val="22"/>
          </w:rPr>
          <w:tab/>
          <w:t xml:space="preserve">41</w:t>
        </w:r>
      </w:hyperlink>
    </w:p>
    <w:p>
      <w:pPr>
        <w:tabs>
          <w:tab w:val="right" w:pos="9360" w:leader="dot"/>
        </w:tabs>
        <w:spacing w:after="20" w:before="140"/>
        <w:ind w:left="0"/>
      </w:pPr>
      <w:hyperlink w:history="1" w:anchor="h43">
        <w:r>
          <w:rPr>
            <w:b/>
            <w:bCs/>
            <w:sz w:val="22"/>
            <w:szCs w:val="22"/>
          </w:rPr>
          <w:t xml:space="preserve">11. Annexe — Scripts utilisés</w:t>
        </w:r>
        <w:r>
          <w:rPr>
            <w:b/>
            <w:bCs/>
            <w:sz w:val="22"/>
            <w:szCs w:val="22"/>
          </w:rPr>
          <w:tab/>
          <w:t xml:space="preserve">42</w:t>
        </w:r>
      </w:hyperlink>
    </w:p>
    <w:p>
      <w:pPr>
        <w:pStyle w:val="Heading1"/>
        <w:pageBreakBefore/>
      </w:pPr>
      <w:bookmarkStart w:name="h0" w:id="1"/>
      <w:r>
        <w:t xml:space="preserve">1. Introduction</w:t>
      </w:r>
      <w:bookmarkEnd w:id="1"/>
    </w:p>
    <w:p>
      <w:pPr>
        <w:spacing w:after="120"/>
      </w:pPr>
      <w:r>
        <w:t xml:space="preserve">VIREXON Technologies est une PME dont le siège social est à Québec et qui compte trois succursales (Montréal, Sherbrooke et Trois-Rivières). Ses 200 employés sont répartis dans sept départements : Informatique, Marketing, Direction générale, Production, Ventes, Ressources humaines et Finances.</w:t>
      </w:r>
    </w:p>
    <w:p>
      <w:pPr>
        <w:spacing w:after="120"/>
      </w:pPr>
      <w:r>
        <w:t xml:space="preserve">Le mandat de l'équipe 04 était de concevoir et de mettre en place toute l'infrastructure informatique de l'entreprise, entièrement virtualisée sur Proxmox : virtualisation et sauvegardes, routage et sécurité, annuaire et DNS, stockage, services en conteneurs, site Web sécurisé, supervision et automatisation.</w:t>
      </w:r>
    </w:p>
    <w:p>
      <w:pPr>
        <w:spacing w:after="120"/>
      </w:pPr>
      <w:r>
        <w:t xml:space="preserve">Ce rapport présente chaque étape réalisée dans l'ordre des cinq démonstrations : la manipulation effectuée, la réponse du système et les captures d'écran commentées qui en font la preuve. Il se termine par la conclusion de chaque membre de l'équipe et par la webographie.</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Ajoutez au besoin un paragraphe sur l'organisation de l'équipe (répartition des tâches, outils de suivi).</w:t>
      </w:r>
    </w:p>
    <w:p>
      <w:pPr>
        <w:pStyle w:val="Heading1"/>
        <w:pageBreakBefore/>
      </w:pPr>
      <w:bookmarkStart w:name="h1" w:id="2"/>
      <w:r>
        <w:t xml:space="preserve">2. Architecture et plan d'adressage</w:t>
      </w:r>
      <w:bookmarkEnd w:id="2"/>
    </w:p>
    <w:p>
      <w:pPr>
        <w:spacing w:after="120"/>
      </w:pPr>
      <w:r>
        <w:t xml:space="preserve">L'infrastructure couvre quatre sites : le siège de Québec, entièrement déployé, la succursale de Montréal, partiellement déployée, et celles de Sherbrooke et de Trois-Rivières, planifiées. Chaque succursale est reliée au siège par un tunnel VPN IPsec.</w:t>
      </w:r>
    </w:p>
    <w:p>
      <w:pPr>
        <w:spacing w:before="120"/>
        <w:jc w:val="center"/>
      </w:pPr>
      <w:r>
        <w:drawing>
          <wp:inline distT="0" distB="0" distL="0" distR="0">
            <wp:extent cx="5943600" cy="3962400"/>
            <wp:effectExtent t="0" r="0" b="0" l="0"/>
            <wp:docPr id="1" name="topologie" descr="Topologie physique de VIREXON Technologies" title="Topologie phys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62400"/>
                    </a:xfrm>
                    <a:prstGeom prst="rect">
                      <a:avLst/>
                    </a:prstGeom>
                  </pic:spPr>
                </pic:pic>
              </a:graphicData>
            </a:graphic>
          </wp:inline>
        </w:drawing>
      </w:r>
    </w:p>
    <w:p>
      <w:pPr>
        <w:spacing w:after="60" w:before="80"/>
        <w:jc w:val="center"/>
      </w:pPr>
      <w:r>
        <w:rPr>
          <w:i/>
          <w:iCs/>
          <w:sz w:val="20"/>
          <w:szCs w:val="20"/>
        </w:rPr>
        <w:t xml:space="preserve">Figure 1 — Topologie physique de VIREXON Technologies</w:t>
      </w:r>
    </w:p>
    <w:p>
      <w:pPr>
        <w:spacing w:after="120"/>
      </w:pPr>
      <w:r>
        <w:rPr>
          <w:b/>
          <w:bCs/>
        </w:rPr>
        <w:t xml:space="preserve">Commentaire : </w:t>
      </w:r>
      <w:r>
        <w:t xml:space="preserve">au siège, le réseau de gestion (vmbr0, 192.168.160.0/24) relie Proxmox VE, PBS et le poste d'administration VIR-QC-ADM-01. Les machines virtuelles sont sur vmbr1 (192.168.161.0/24), derrière le pare-feu VIR-QC-FW-01, qui sort vers le réseau de l'école (10.70.0.0/16) et porte les tunnels IPsec vers les succursales.</w:t>
      </w:r>
    </w:p>
    <w:p>
      <w:pPr>
        <w:pStyle w:val="Heading2"/>
      </w:pPr>
      <w:bookmarkStart w:name="h2" w:id="3"/>
      <w:r>
        <w:t xml:space="preserve">2.1 Équipements physiques</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160"/>
        <w:gridCol w:w="2400"/>
      </w:tblGrid>
      <w:tr>
        <w:trPr>
          <w:tblHeader/>
        </w:trPr>
        <w:tc>
          <w:tcPr>
            <w:tcW w:type="dxa" w:w="1600"/>
            <w:shd w:fill="1F4E79" w:color="auto" w:val="clear"/>
            <w:tcMar>
              <w:top w:type="dxa" w:w="60"/>
              <w:left w:type="dxa" w:w="100"/>
              <w:bottom w:type="dxa" w:w="60"/>
              <w:right w:type="dxa" w:w="100"/>
            </w:tcMar>
          </w:tcPr>
          <w:p>
            <w:r>
              <w:rPr>
                <w:b/>
                <w:bCs/>
                <w:color w:val="FFFFFF"/>
                <w:sz w:val="20"/>
                <w:szCs w:val="20"/>
              </w:rPr>
              <w:t xml:space="preserve">Serveur</w:t>
            </w:r>
          </w:p>
        </w:tc>
        <w:tc>
          <w:tcPr>
            <w:tcW w:type="dxa" w:w="2200"/>
            <w:shd w:fill="1F4E79" w:color="auto" w:val="clear"/>
            <w:tcMar>
              <w:top w:type="dxa" w:w="60"/>
              <w:left w:type="dxa" w:w="100"/>
              <w:bottom w:type="dxa" w:w="60"/>
              <w:right w:type="dxa" w:w="100"/>
            </w:tcMar>
          </w:tcPr>
          <w:p>
            <w:r>
              <w:rPr>
                <w:b/>
                <w:bCs/>
                <w:color w:val="FFFFFF"/>
                <w:sz w:val="20"/>
                <w:szCs w:val="20"/>
              </w:rPr>
              <w:t xml:space="preserve">Nom d'hôte</w:t>
            </w:r>
          </w:p>
        </w:tc>
        <w:tc>
          <w:tcPr>
            <w:tcW w:type="dxa" w:w="3160"/>
            <w:shd w:fill="1F4E79" w:color="auto" w:val="clear"/>
            <w:tcMar>
              <w:top w:type="dxa" w:w="60"/>
              <w:left w:type="dxa" w:w="100"/>
              <w:bottom w:type="dxa" w:w="60"/>
              <w:right w:type="dxa" w:w="100"/>
            </w:tcMar>
          </w:tcPr>
          <w:p>
            <w:r>
              <w:rPr>
                <w:b/>
                <w:bCs/>
                <w:color w:val="FFFFFF"/>
                <w:sz w:val="20"/>
                <w:szCs w:val="20"/>
              </w:rPr>
              <w:t xml:space="preserve">Rôle</w:t>
            </w:r>
          </w:p>
        </w:tc>
        <w:tc>
          <w:tcPr>
            <w:tcW w:type="dxa" w:w="2400"/>
            <w:shd w:fill="1F4E79" w:color="auto" w:val="clear"/>
            <w:tcMar>
              <w:top w:type="dxa" w:w="60"/>
              <w:left w:type="dxa" w:w="100"/>
              <w:bottom w:type="dxa" w:w="60"/>
              <w:right w:type="dxa" w:w="100"/>
            </w:tcMar>
          </w:tcPr>
          <w:p>
            <w:r>
              <w:rPr>
                <w:b/>
                <w:bCs/>
                <w:color w:val="FFFFFF"/>
                <w:sz w:val="20"/>
                <w:szCs w:val="20"/>
              </w:rPr>
              <w:t xml:space="preserve">Adresse IP</w:t>
            </w:r>
          </w:p>
        </w:tc>
      </w:tr>
      <w:tr>
        <w:trPr>
          <w:tblHeader w:val="off"/>
        </w:trPr>
        <w:tc>
          <w:tcPr>
            <w:tcW w:type="dxa" w:w="1600"/>
            <w:tcMar>
              <w:top w:type="dxa" w:w="60"/>
              <w:left w:type="dxa" w:w="100"/>
              <w:bottom w:type="dxa" w:w="60"/>
              <w:right w:type="dxa" w:w="100"/>
            </w:tcMar>
          </w:tcPr>
          <w:p>
            <w:r>
              <w:rPr>
                <w:b w:val="false"/>
                <w:bCs w:val="false"/>
                <w:sz w:val="20"/>
                <w:szCs w:val="20"/>
              </w:rPr>
              <w:t xml:space="preserve">Serveur 07</w:t>
            </w:r>
          </w:p>
        </w:tc>
        <w:tc>
          <w:tcPr>
            <w:tcW w:type="dxa" w:w="2200"/>
            <w:tcMar>
              <w:top w:type="dxa" w:w="60"/>
              <w:left w:type="dxa" w:w="100"/>
              <w:bottom w:type="dxa" w:w="60"/>
              <w:right w:type="dxa" w:w="100"/>
            </w:tcMar>
          </w:tcPr>
          <w:p>
            <w:r>
              <w:rPr>
                <w:b w:val="false"/>
                <w:bCs w:val="false"/>
                <w:sz w:val="20"/>
                <w:szCs w:val="20"/>
              </w:rPr>
              <w:t xml:space="preserve">VIR-QC-PVE-01</w:t>
            </w:r>
          </w:p>
        </w:tc>
        <w:tc>
          <w:tcPr>
            <w:tcW w:type="dxa" w:w="3160"/>
            <w:tcMar>
              <w:top w:type="dxa" w:w="60"/>
              <w:left w:type="dxa" w:w="100"/>
              <w:bottom w:type="dxa" w:w="60"/>
              <w:right w:type="dxa" w:w="100"/>
            </w:tcMar>
          </w:tcPr>
          <w:p>
            <w:r>
              <w:rPr>
                <w:b w:val="false"/>
                <w:bCs w:val="false"/>
                <w:sz w:val="20"/>
                <w:szCs w:val="20"/>
              </w:rPr>
              <w:t xml:space="preserve">Hyperviseur Proxmox VE</w:t>
            </w:r>
          </w:p>
        </w:tc>
        <w:tc>
          <w:tcPr>
            <w:tcW w:type="dxa" w:w="2400"/>
            <w:tcMar>
              <w:top w:type="dxa" w:w="60"/>
              <w:left w:type="dxa" w:w="100"/>
              <w:bottom w:type="dxa" w:w="60"/>
              <w:right w:type="dxa" w:w="100"/>
            </w:tcMar>
          </w:tcPr>
          <w:p>
            <w:r>
              <w:rPr>
                <w:b w:val="false"/>
                <w:bCs w:val="false"/>
                <w:sz w:val="20"/>
                <w:szCs w:val="20"/>
              </w:rPr>
              <w:t xml:space="preserve">192.168.160.2/24</w:t>
            </w:r>
          </w:p>
        </w:tc>
      </w:tr>
      <w:tr>
        <w:trPr>
          <w:tblHeader w:val="off"/>
        </w:trPr>
        <w:tc>
          <w:tcPr>
            <w:tcW w:type="dxa" w:w="1600"/>
            <w:shd w:fill="F3F6FA" w:color="auto" w:val="clear"/>
            <w:tcMar>
              <w:top w:type="dxa" w:w="60"/>
              <w:left w:type="dxa" w:w="100"/>
              <w:bottom w:type="dxa" w:w="60"/>
              <w:right w:type="dxa" w:w="100"/>
            </w:tcMar>
          </w:tcPr>
          <w:p>
            <w:r>
              <w:rPr>
                <w:b w:val="false"/>
                <w:bCs w:val="false"/>
                <w:sz w:val="20"/>
                <w:szCs w:val="20"/>
              </w:rPr>
              <w:t xml:space="preserve">Serveur 08</w:t>
            </w:r>
          </w:p>
        </w:tc>
        <w:tc>
          <w:tcPr>
            <w:tcW w:type="dxa" w:w="2200"/>
            <w:shd w:fill="F3F6FA" w:color="auto" w:val="clear"/>
            <w:tcMar>
              <w:top w:type="dxa" w:w="60"/>
              <w:left w:type="dxa" w:w="100"/>
              <w:bottom w:type="dxa" w:w="60"/>
              <w:right w:type="dxa" w:w="100"/>
            </w:tcMar>
          </w:tcPr>
          <w:p>
            <w:r>
              <w:rPr>
                <w:b w:val="false"/>
                <w:bCs w:val="false"/>
                <w:sz w:val="20"/>
                <w:szCs w:val="20"/>
              </w:rPr>
              <w:t xml:space="preserve">VIR-QC-PBS-01</w:t>
            </w:r>
          </w:p>
        </w:tc>
        <w:tc>
          <w:tcPr>
            <w:tcW w:type="dxa" w:w="3160"/>
            <w:shd w:fill="F3F6FA" w:color="auto" w:val="clear"/>
            <w:tcMar>
              <w:top w:type="dxa" w:w="60"/>
              <w:left w:type="dxa" w:w="100"/>
              <w:bottom w:type="dxa" w:w="60"/>
              <w:right w:type="dxa" w:w="100"/>
            </w:tcMar>
          </w:tcPr>
          <w:p>
            <w:r>
              <w:rPr>
                <w:b w:val="false"/>
                <w:bCs w:val="false"/>
                <w:sz w:val="20"/>
                <w:szCs w:val="20"/>
              </w:rPr>
              <w:t xml:space="preserve">Proxmox Backup Server</w:t>
            </w:r>
          </w:p>
        </w:tc>
        <w:tc>
          <w:tcPr>
            <w:tcW w:type="dxa" w:w="2400"/>
            <w:shd w:fill="F3F6FA" w:color="auto" w:val="clear"/>
            <w:tcMar>
              <w:top w:type="dxa" w:w="60"/>
              <w:left w:type="dxa" w:w="100"/>
              <w:bottom w:type="dxa" w:w="60"/>
              <w:right w:type="dxa" w:w="100"/>
            </w:tcMar>
          </w:tcPr>
          <w:p>
            <w:r>
              <w:rPr>
                <w:b w:val="false"/>
                <w:bCs w:val="false"/>
                <w:sz w:val="20"/>
                <w:szCs w:val="20"/>
              </w:rPr>
              <w:t xml:space="preserve">192.168.160.3/24</w:t>
            </w:r>
          </w:p>
        </w:tc>
      </w:tr>
      <w:tr>
        <w:trPr>
          <w:tblHeader w:val="off"/>
        </w:trPr>
        <w:tc>
          <w:tcPr>
            <w:tcW w:type="dxa" w:w="1600"/>
            <w:tcMar>
              <w:top w:type="dxa" w:w="60"/>
              <w:left w:type="dxa" w:w="100"/>
              <w:bottom w:type="dxa" w:w="60"/>
              <w:right w:type="dxa" w:w="100"/>
            </w:tcMar>
          </w:tcPr>
          <w:p>
            <w:r>
              <w:rPr>
                <w:b w:val="false"/>
                <w:bCs w:val="false"/>
                <w:sz w:val="20"/>
                <w:szCs w:val="20"/>
              </w:rPr>
              <w:t xml:space="preserve">Commutateur</w:t>
            </w:r>
          </w:p>
        </w:tc>
        <w:tc>
          <w:tcPr>
            <w:tcW w:type="dxa" w:w="2200"/>
            <w:tcMar>
              <w:top w:type="dxa" w:w="60"/>
              <w:left w:type="dxa" w:w="100"/>
              <w:bottom w:type="dxa" w:w="60"/>
              <w:right w:type="dxa" w:w="100"/>
            </w:tcMar>
          </w:tcPr>
          <w:p>
            <w:r>
              <w:rPr>
                <w:b w:val="false"/>
                <w:bCs w:val="false"/>
                <w:sz w:val="20"/>
                <w:szCs w:val="20"/>
              </w:rPr>
              <w:t xml:space="preserve">VIR-QC-SW-01</w:t>
            </w:r>
          </w:p>
        </w:tc>
        <w:tc>
          <w:tcPr>
            <w:tcW w:type="dxa" w:w="3160"/>
            <w:tcMar>
              <w:top w:type="dxa" w:w="60"/>
              <w:left w:type="dxa" w:w="100"/>
              <w:bottom w:type="dxa" w:w="60"/>
              <w:right w:type="dxa" w:w="100"/>
            </w:tcMar>
          </w:tcPr>
          <w:p>
            <w:r>
              <w:rPr>
                <w:b w:val="false"/>
                <w:bCs w:val="false"/>
                <w:sz w:val="20"/>
                <w:szCs w:val="20"/>
              </w:rPr>
              <w:t xml:space="preserve">Commutateur de gestion (vmbr0)</w:t>
            </w:r>
          </w:p>
        </w:tc>
        <w:tc>
          <w:tcPr>
            <w:tcW w:type="dxa" w:w="2400"/>
            <w:tcMar>
              <w:top w:type="dxa" w:w="60"/>
              <w:left w:type="dxa" w:w="100"/>
              <w:bottom w:type="dxa" w:w="60"/>
              <w:right w:type="dxa" w:w="100"/>
            </w:tcMar>
          </w:tcPr>
          <w:p>
            <w:r>
              <w:rPr>
                <w:b w:val="false"/>
                <w:bCs w:val="false"/>
                <w:sz w:val="20"/>
                <w:szCs w:val="20"/>
              </w:rPr>
              <w:t xml:space="preserve">192.168.160.4</w:t>
            </w:r>
          </w:p>
        </w:tc>
      </w:tr>
      <w:tr>
        <w:trPr>
          <w:tblHeader w:val="off"/>
        </w:trPr>
        <w:tc>
          <w:tcPr>
            <w:tcW w:type="dxa" w:w="1600"/>
            <w:shd w:fill="F3F6FA" w:color="auto" w:val="clear"/>
            <w:tcMar>
              <w:top w:type="dxa" w:w="60"/>
              <w:left w:type="dxa" w:w="100"/>
              <w:bottom w:type="dxa" w:w="60"/>
              <w:right w:type="dxa" w:w="100"/>
            </w:tcMar>
          </w:tcPr>
          <w:p>
            <w:r>
              <w:rPr>
                <w:b w:val="false"/>
                <w:bCs w:val="false"/>
                <w:sz w:val="20"/>
                <w:szCs w:val="20"/>
              </w:rPr>
              <w:t xml:space="preserve">Commutateur</w:t>
            </w:r>
          </w:p>
        </w:tc>
        <w:tc>
          <w:tcPr>
            <w:tcW w:type="dxa" w:w="2200"/>
            <w:shd w:fill="F3F6FA" w:color="auto" w:val="clear"/>
            <w:tcMar>
              <w:top w:type="dxa" w:w="60"/>
              <w:left w:type="dxa" w:w="100"/>
              <w:bottom w:type="dxa" w:w="60"/>
              <w:right w:type="dxa" w:w="100"/>
            </w:tcMar>
          </w:tcPr>
          <w:p>
            <w:r>
              <w:rPr>
                <w:b w:val="false"/>
                <w:bCs w:val="false"/>
                <w:sz w:val="20"/>
                <w:szCs w:val="20"/>
              </w:rPr>
              <w:t xml:space="preserve">VIR-QC-SW-02</w:t>
            </w:r>
          </w:p>
        </w:tc>
        <w:tc>
          <w:tcPr>
            <w:tcW w:type="dxa" w:w="3160"/>
            <w:shd w:fill="F3F6FA" w:color="auto" w:val="clear"/>
            <w:tcMar>
              <w:top w:type="dxa" w:w="60"/>
              <w:left w:type="dxa" w:w="100"/>
              <w:bottom w:type="dxa" w:w="60"/>
              <w:right w:type="dxa" w:w="100"/>
            </w:tcMar>
          </w:tcPr>
          <w:p>
            <w:r>
              <w:rPr>
                <w:b w:val="false"/>
                <w:bCs w:val="false"/>
                <w:sz w:val="20"/>
                <w:szCs w:val="20"/>
              </w:rPr>
              <w:t xml:space="preserve">Commutateur du réseau des VM (vmbr1)</w:t>
            </w:r>
          </w:p>
        </w:tc>
        <w:tc>
          <w:tcPr>
            <w:tcW w:type="dxa" w:w="2400"/>
            <w:shd w:fill="F3F6FA" w:color="auto" w:val="clear"/>
            <w:tcMar>
              <w:top w:type="dxa" w:w="60"/>
              <w:left w:type="dxa" w:w="100"/>
              <w:bottom w:type="dxa" w:w="60"/>
              <w:right w:type="dxa" w:w="100"/>
            </w:tcMar>
          </w:tcPr>
          <w:p>
            <w:r>
              <w:rPr>
                <w:b w:val="false"/>
                <w:bCs w:val="false"/>
                <w:sz w:val="20"/>
                <w:szCs w:val="20"/>
              </w:rPr>
              <w:t xml:space="preserve">192.168.161.2</w:t>
            </w:r>
          </w:p>
        </w:tc>
      </w:tr>
      <w:tr>
        <w:trPr>
          <w:tblHeader w:val="off"/>
        </w:trPr>
        <w:tc>
          <w:tcPr>
            <w:tcW w:type="dxa" w:w="1600"/>
            <w:tcMar>
              <w:top w:type="dxa" w:w="60"/>
              <w:left w:type="dxa" w:w="100"/>
              <w:bottom w:type="dxa" w:w="60"/>
              <w:right w:type="dxa" w:w="100"/>
            </w:tcMar>
          </w:tcPr>
          <w:p>
            <w:r>
              <w:rPr>
                <w:b w:val="false"/>
                <w:bCs w:val="false"/>
                <w:sz w:val="20"/>
                <w:szCs w:val="20"/>
              </w:rPr>
              <w:t xml:space="preserve">Poste</w:t>
            </w:r>
          </w:p>
        </w:tc>
        <w:tc>
          <w:tcPr>
            <w:tcW w:type="dxa" w:w="2200"/>
            <w:tcMar>
              <w:top w:type="dxa" w:w="60"/>
              <w:left w:type="dxa" w:w="100"/>
              <w:bottom w:type="dxa" w:w="60"/>
              <w:right w:type="dxa" w:w="100"/>
            </w:tcMar>
          </w:tcPr>
          <w:p>
            <w:r>
              <w:rPr>
                <w:b w:val="false"/>
                <w:bCs w:val="false"/>
                <w:sz w:val="20"/>
                <w:szCs w:val="20"/>
              </w:rPr>
              <w:t xml:space="preserve">VIR-QC-ADM-01</w:t>
            </w:r>
          </w:p>
        </w:tc>
        <w:tc>
          <w:tcPr>
            <w:tcW w:type="dxa" w:w="3160"/>
            <w:tcMar>
              <w:top w:type="dxa" w:w="60"/>
              <w:left w:type="dxa" w:w="100"/>
              <w:bottom w:type="dxa" w:w="60"/>
              <w:right w:type="dxa" w:w="100"/>
            </w:tcMar>
          </w:tcPr>
          <w:p>
            <w:r>
              <w:rPr>
                <w:b w:val="false"/>
                <w:bCs w:val="false"/>
                <w:sz w:val="20"/>
                <w:szCs w:val="20"/>
              </w:rPr>
              <w:t xml:space="preserve">Poste d'administration</w:t>
            </w:r>
          </w:p>
        </w:tc>
        <w:tc>
          <w:tcPr>
            <w:tcW w:type="dxa" w:w="2400"/>
            <w:tcMar>
              <w:top w:type="dxa" w:w="60"/>
              <w:left w:type="dxa" w:w="100"/>
              <w:bottom w:type="dxa" w:w="60"/>
              <w:right w:type="dxa" w:w="100"/>
            </w:tcMar>
          </w:tcPr>
          <w:p>
            <w:r>
              <w:rPr>
                <w:b w:val="false"/>
                <w:bCs w:val="false"/>
                <w:sz w:val="20"/>
                <w:szCs w:val="20"/>
              </w:rPr>
              <w:t xml:space="preserve">192.168.160.10</w:t>
            </w:r>
          </w:p>
        </w:tc>
      </w:tr>
    </w:tbl>
    <w:p>
      <w:pPr>
        <w:pStyle w:val="Heading2"/>
      </w:pPr>
      <w:bookmarkStart w:name="h3" w:id="4"/>
      <w:r>
        <w:t xml:space="preserve">2.2 Plan d'adressage global</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2000"/>
        <w:gridCol w:w="1850"/>
        <w:gridCol w:w="1610"/>
        <w:gridCol w:w="1950"/>
      </w:tblGrid>
      <w:tr>
        <w:trPr>
          <w:tblHeader/>
        </w:trPr>
        <w:tc>
          <w:tcPr>
            <w:tcW w:type="dxa" w:w="1950"/>
            <w:shd w:fill="1F4E79" w:color="auto" w:val="clear"/>
            <w:tcMar>
              <w:top w:type="dxa" w:w="60"/>
              <w:left w:type="dxa" w:w="100"/>
              <w:bottom w:type="dxa" w:w="60"/>
              <w:right w:type="dxa" w:w="100"/>
            </w:tcMar>
          </w:tcPr>
          <w:p>
            <w:r>
              <w:rPr>
                <w:b/>
                <w:bCs/>
                <w:color w:val="FFFFFF"/>
                <w:sz w:val="20"/>
                <w:szCs w:val="20"/>
              </w:rPr>
              <w:t xml:space="preserve">Site</w:t>
            </w:r>
          </w:p>
        </w:tc>
        <w:tc>
          <w:tcPr>
            <w:tcW w:type="dxa" w:w="2000"/>
            <w:shd w:fill="1F4E79" w:color="auto" w:val="clear"/>
            <w:tcMar>
              <w:top w:type="dxa" w:w="60"/>
              <w:left w:type="dxa" w:w="100"/>
              <w:bottom w:type="dxa" w:w="60"/>
              <w:right w:type="dxa" w:w="100"/>
            </w:tcMar>
          </w:tcPr>
          <w:p>
            <w:r>
              <w:rPr>
                <w:b/>
                <w:bCs/>
                <w:color w:val="FFFFFF"/>
                <w:sz w:val="20"/>
                <w:szCs w:val="20"/>
              </w:rPr>
              <w:t xml:space="preserve">Sous-réseau</w:t>
            </w:r>
          </w:p>
        </w:tc>
        <w:tc>
          <w:tcPr>
            <w:tcW w:type="dxa" w:w="1850"/>
            <w:shd w:fill="1F4E79" w:color="auto" w:val="clear"/>
            <w:tcMar>
              <w:top w:type="dxa" w:w="60"/>
              <w:left w:type="dxa" w:w="100"/>
              <w:bottom w:type="dxa" w:w="60"/>
              <w:right w:type="dxa" w:w="100"/>
            </w:tcMar>
          </w:tcPr>
          <w:p>
            <w:r>
              <w:rPr>
                <w:b/>
                <w:bCs/>
                <w:color w:val="FFFFFF"/>
                <w:sz w:val="20"/>
                <w:szCs w:val="20"/>
              </w:rPr>
              <w:t xml:space="preserve">Masque</w:t>
            </w:r>
          </w:p>
        </w:tc>
        <w:tc>
          <w:tcPr>
            <w:tcW w:type="dxa" w:w="1610"/>
            <w:shd w:fill="1F4E79" w:color="auto" w:val="clear"/>
            <w:tcMar>
              <w:top w:type="dxa" w:w="60"/>
              <w:left w:type="dxa" w:w="100"/>
              <w:bottom w:type="dxa" w:w="60"/>
              <w:right w:type="dxa" w:w="100"/>
            </w:tcMar>
          </w:tcPr>
          <w:p>
            <w:r>
              <w:rPr>
                <w:b/>
                <w:bCs/>
                <w:color w:val="FFFFFF"/>
                <w:sz w:val="20"/>
                <w:szCs w:val="20"/>
              </w:rPr>
              <w:t xml:space="preserve">Hôtes utilisables</w:t>
            </w:r>
          </w:p>
        </w:tc>
        <w:tc>
          <w:tcPr>
            <w:tcW w:type="dxa" w:w="1950"/>
            <w:shd w:fill="1F4E79" w:color="auto" w:val="clear"/>
            <w:tcMar>
              <w:top w:type="dxa" w:w="60"/>
              <w:left w:type="dxa" w:w="100"/>
              <w:bottom w:type="dxa" w:w="60"/>
              <w:right w:type="dxa" w:w="100"/>
            </w:tcMar>
          </w:tcPr>
          <w:p>
            <w:r>
              <w:rPr>
                <w:b/>
                <w:bCs/>
                <w:color w:val="FFFFFF"/>
                <w:sz w:val="20"/>
                <w:szCs w:val="20"/>
              </w:rPr>
              <w:t xml:space="preserve">Passerelle</w:t>
            </w:r>
          </w:p>
        </w:tc>
      </w:tr>
      <w:tr>
        <w:trPr>
          <w:tblHeader w:val="off"/>
        </w:trPr>
        <w:tc>
          <w:tcPr>
            <w:tcW w:type="dxa" w:w="1950"/>
            <w:tcMar>
              <w:top w:type="dxa" w:w="60"/>
              <w:left w:type="dxa" w:w="100"/>
              <w:bottom w:type="dxa" w:w="60"/>
              <w:right w:type="dxa" w:w="100"/>
            </w:tcMar>
          </w:tcPr>
          <w:p>
            <w:r>
              <w:rPr>
                <w:b w:val="false"/>
                <w:bCs w:val="false"/>
                <w:sz w:val="20"/>
                <w:szCs w:val="20"/>
              </w:rPr>
              <w:t xml:space="preserve">Gestion (vmbr0)</w:t>
            </w:r>
          </w:p>
        </w:tc>
        <w:tc>
          <w:tcPr>
            <w:tcW w:type="dxa" w:w="2000"/>
            <w:tcMar>
              <w:top w:type="dxa" w:w="60"/>
              <w:left w:type="dxa" w:w="100"/>
              <w:bottom w:type="dxa" w:w="60"/>
              <w:right w:type="dxa" w:w="100"/>
            </w:tcMar>
          </w:tcPr>
          <w:p>
            <w:r>
              <w:rPr>
                <w:b w:val="false"/>
                <w:bCs w:val="false"/>
                <w:sz w:val="20"/>
                <w:szCs w:val="20"/>
              </w:rPr>
              <w:t xml:space="preserve">192.168.160.0/24</w:t>
            </w:r>
          </w:p>
        </w:tc>
        <w:tc>
          <w:tcPr>
            <w:tcW w:type="dxa" w:w="1850"/>
            <w:tcMar>
              <w:top w:type="dxa" w:w="60"/>
              <w:left w:type="dxa" w:w="100"/>
              <w:bottom w:type="dxa" w:w="60"/>
              <w:right w:type="dxa" w:w="100"/>
            </w:tcMar>
          </w:tcPr>
          <w:p>
            <w:r>
              <w:rPr>
                <w:b w:val="false"/>
                <w:bCs w:val="false"/>
                <w:sz w:val="20"/>
                <w:szCs w:val="20"/>
              </w:rPr>
              <w:t xml:space="preserve">255.255.255.0</w:t>
            </w:r>
          </w:p>
        </w:tc>
        <w:tc>
          <w:tcPr>
            <w:tcW w:type="dxa" w:w="1610"/>
            <w:tcMar>
              <w:top w:type="dxa" w:w="60"/>
              <w:left w:type="dxa" w:w="100"/>
              <w:bottom w:type="dxa" w:w="60"/>
              <w:right w:type="dxa" w:w="100"/>
            </w:tcMar>
          </w:tcPr>
          <w:p>
            <w:r>
              <w:rPr>
                <w:b w:val="false"/>
                <w:bCs w:val="false"/>
                <w:sz w:val="20"/>
                <w:szCs w:val="20"/>
              </w:rPr>
              <w:t xml:space="preserve">.1 à .254</w:t>
            </w:r>
          </w:p>
        </w:tc>
        <w:tc>
          <w:tcPr>
            <w:tcW w:type="dxa" w:w="1950"/>
            <w:tcMar>
              <w:top w:type="dxa" w:w="60"/>
              <w:left w:type="dxa" w:w="100"/>
              <w:bottom w:type="dxa" w:w="60"/>
              <w:right w:type="dxa" w:w="100"/>
            </w:tcMar>
          </w:tcPr>
          <w:p>
            <w:r>
              <w:rPr>
                <w:b w:val="false"/>
                <w:bCs w:val="false"/>
                <w:sz w:val="20"/>
                <w:szCs w:val="20"/>
              </w:rPr>
              <w:t xml:space="preserve">192.168.160.1</w:t>
            </w:r>
          </w:p>
        </w:tc>
      </w:tr>
      <w:tr>
        <w:trPr>
          <w:tblHeader w:val="off"/>
        </w:trPr>
        <w:tc>
          <w:tcPr>
            <w:tcW w:type="dxa" w:w="1950"/>
            <w:shd w:fill="F3F6FA" w:color="auto" w:val="clear"/>
            <w:tcMar>
              <w:top w:type="dxa" w:w="60"/>
              <w:left w:type="dxa" w:w="100"/>
              <w:bottom w:type="dxa" w:w="60"/>
              <w:right w:type="dxa" w:w="100"/>
            </w:tcMar>
          </w:tcPr>
          <w:p>
            <w:r>
              <w:rPr>
                <w:b w:val="false"/>
                <w:bCs w:val="false"/>
                <w:sz w:val="20"/>
                <w:szCs w:val="20"/>
              </w:rPr>
              <w:t xml:space="preserve">Québec (VIR-QC)</w:t>
            </w:r>
          </w:p>
        </w:tc>
        <w:tc>
          <w:tcPr>
            <w:tcW w:type="dxa" w:w="2000"/>
            <w:shd w:fill="F3F6FA" w:color="auto" w:val="clear"/>
            <w:tcMar>
              <w:top w:type="dxa" w:w="60"/>
              <w:left w:type="dxa" w:w="100"/>
              <w:bottom w:type="dxa" w:w="60"/>
              <w:right w:type="dxa" w:w="100"/>
            </w:tcMar>
          </w:tcPr>
          <w:p>
            <w:r>
              <w:rPr>
                <w:b w:val="false"/>
                <w:bCs w:val="false"/>
                <w:sz w:val="20"/>
                <w:szCs w:val="20"/>
              </w:rPr>
              <w:t xml:space="preserve">192.168.161.0/24</w:t>
            </w:r>
          </w:p>
        </w:tc>
        <w:tc>
          <w:tcPr>
            <w:tcW w:type="dxa" w:w="1850"/>
            <w:shd w:fill="F3F6FA" w:color="auto" w:val="clear"/>
            <w:tcMar>
              <w:top w:type="dxa" w:w="60"/>
              <w:left w:type="dxa" w:w="100"/>
              <w:bottom w:type="dxa" w:w="60"/>
              <w:right w:type="dxa" w:w="100"/>
            </w:tcMar>
          </w:tcPr>
          <w:p>
            <w:r>
              <w:rPr>
                <w:b w:val="false"/>
                <w:bCs w:val="false"/>
                <w:sz w:val="20"/>
                <w:szCs w:val="20"/>
              </w:rPr>
              <w:t xml:space="preserve">255.255.255.0</w:t>
            </w:r>
          </w:p>
        </w:tc>
        <w:tc>
          <w:tcPr>
            <w:tcW w:type="dxa" w:w="1610"/>
            <w:shd w:fill="F3F6FA" w:color="auto" w:val="clear"/>
            <w:tcMar>
              <w:top w:type="dxa" w:w="60"/>
              <w:left w:type="dxa" w:w="100"/>
              <w:bottom w:type="dxa" w:w="60"/>
              <w:right w:type="dxa" w:w="100"/>
            </w:tcMar>
          </w:tcPr>
          <w:p>
            <w:r>
              <w:rPr>
                <w:b w:val="false"/>
                <w:bCs w:val="false"/>
                <w:sz w:val="20"/>
                <w:szCs w:val="20"/>
              </w:rPr>
              <w:t xml:space="preserve">.1 à .254</w:t>
            </w:r>
          </w:p>
        </w:tc>
        <w:tc>
          <w:tcPr>
            <w:tcW w:type="dxa" w:w="1950"/>
            <w:shd w:fill="F3F6FA" w:color="auto" w:val="clear"/>
            <w:tcMar>
              <w:top w:type="dxa" w:w="60"/>
              <w:left w:type="dxa" w:w="100"/>
              <w:bottom w:type="dxa" w:w="60"/>
              <w:right w:type="dxa" w:w="100"/>
            </w:tcMar>
          </w:tcPr>
          <w:p>
            <w:r>
              <w:rPr>
                <w:b w:val="false"/>
                <w:bCs w:val="false"/>
                <w:sz w:val="20"/>
                <w:szCs w:val="20"/>
              </w:rPr>
              <w:t xml:space="preserve">192.168.161.1</w:t>
            </w:r>
          </w:p>
        </w:tc>
      </w:tr>
      <w:tr>
        <w:trPr>
          <w:tblHeader w:val="off"/>
        </w:trPr>
        <w:tc>
          <w:tcPr>
            <w:tcW w:type="dxa" w:w="1950"/>
            <w:tcMar>
              <w:top w:type="dxa" w:w="60"/>
              <w:left w:type="dxa" w:w="100"/>
              <w:bottom w:type="dxa" w:w="60"/>
              <w:right w:type="dxa" w:w="100"/>
            </w:tcMar>
          </w:tcPr>
          <w:p>
            <w:r>
              <w:rPr>
                <w:b w:val="false"/>
                <w:bCs w:val="false"/>
                <w:sz w:val="20"/>
                <w:szCs w:val="20"/>
              </w:rPr>
              <w:t xml:space="preserve">Montréal (VIR-MTL)</w:t>
            </w:r>
          </w:p>
        </w:tc>
        <w:tc>
          <w:tcPr>
            <w:tcW w:type="dxa" w:w="2000"/>
            <w:tcMar>
              <w:top w:type="dxa" w:w="60"/>
              <w:left w:type="dxa" w:w="100"/>
              <w:bottom w:type="dxa" w:w="60"/>
              <w:right w:type="dxa" w:w="100"/>
            </w:tcMar>
          </w:tcPr>
          <w:p>
            <w:r>
              <w:rPr>
                <w:b w:val="false"/>
                <w:bCs w:val="false"/>
                <w:sz w:val="20"/>
                <w:szCs w:val="20"/>
              </w:rPr>
              <w:t xml:space="preserve">192.168.162.0/24</w:t>
            </w:r>
          </w:p>
        </w:tc>
        <w:tc>
          <w:tcPr>
            <w:tcW w:type="dxa" w:w="1850"/>
            <w:tcMar>
              <w:top w:type="dxa" w:w="60"/>
              <w:left w:type="dxa" w:w="100"/>
              <w:bottom w:type="dxa" w:w="60"/>
              <w:right w:type="dxa" w:w="100"/>
            </w:tcMar>
          </w:tcPr>
          <w:p>
            <w:r>
              <w:rPr>
                <w:b w:val="false"/>
                <w:bCs w:val="false"/>
                <w:sz w:val="20"/>
                <w:szCs w:val="20"/>
              </w:rPr>
              <w:t xml:space="preserve">255.255.255.0</w:t>
            </w:r>
          </w:p>
        </w:tc>
        <w:tc>
          <w:tcPr>
            <w:tcW w:type="dxa" w:w="1610"/>
            <w:tcMar>
              <w:top w:type="dxa" w:w="60"/>
              <w:left w:type="dxa" w:w="100"/>
              <w:bottom w:type="dxa" w:w="60"/>
              <w:right w:type="dxa" w:w="100"/>
            </w:tcMar>
          </w:tcPr>
          <w:p>
            <w:r>
              <w:rPr>
                <w:b w:val="false"/>
                <w:bCs w:val="false"/>
                <w:sz w:val="20"/>
                <w:szCs w:val="20"/>
              </w:rPr>
              <w:t xml:space="preserve">.1 à .254</w:t>
            </w:r>
          </w:p>
        </w:tc>
        <w:tc>
          <w:tcPr>
            <w:tcW w:type="dxa" w:w="1950"/>
            <w:tcMar>
              <w:top w:type="dxa" w:w="60"/>
              <w:left w:type="dxa" w:w="100"/>
              <w:bottom w:type="dxa" w:w="60"/>
              <w:right w:type="dxa" w:w="100"/>
            </w:tcMar>
          </w:tcPr>
          <w:p>
            <w:r>
              <w:rPr>
                <w:b w:val="false"/>
                <w:bCs w:val="false"/>
                <w:sz w:val="20"/>
                <w:szCs w:val="20"/>
              </w:rPr>
              <w:t xml:space="preserve">192.168.162.1</w:t>
            </w:r>
          </w:p>
        </w:tc>
      </w:tr>
      <w:tr>
        <w:trPr>
          <w:tblHeader w:val="off"/>
        </w:trPr>
        <w:tc>
          <w:tcPr>
            <w:tcW w:type="dxa" w:w="1950"/>
            <w:shd w:fill="F3F6FA" w:color="auto" w:val="clear"/>
            <w:tcMar>
              <w:top w:type="dxa" w:w="60"/>
              <w:left w:type="dxa" w:w="100"/>
              <w:bottom w:type="dxa" w:w="60"/>
              <w:right w:type="dxa" w:w="100"/>
            </w:tcMar>
          </w:tcPr>
          <w:p>
            <w:r>
              <w:rPr>
                <w:b w:val="false"/>
                <w:bCs w:val="false"/>
                <w:sz w:val="20"/>
                <w:szCs w:val="20"/>
              </w:rPr>
              <w:t xml:space="preserve">Sherbrooke (VIR-SHE)</w:t>
            </w:r>
          </w:p>
        </w:tc>
        <w:tc>
          <w:tcPr>
            <w:tcW w:type="dxa" w:w="2000"/>
            <w:shd w:fill="F3F6FA" w:color="auto" w:val="clear"/>
            <w:tcMar>
              <w:top w:type="dxa" w:w="60"/>
              <w:left w:type="dxa" w:w="100"/>
              <w:bottom w:type="dxa" w:w="60"/>
              <w:right w:type="dxa" w:w="100"/>
            </w:tcMar>
          </w:tcPr>
          <w:p>
            <w:r>
              <w:rPr>
                <w:b w:val="false"/>
                <w:bCs w:val="false"/>
                <w:sz w:val="20"/>
                <w:szCs w:val="20"/>
              </w:rPr>
              <w:t xml:space="preserve">192.168.163.0/24</w:t>
            </w:r>
          </w:p>
        </w:tc>
        <w:tc>
          <w:tcPr>
            <w:tcW w:type="dxa" w:w="1850"/>
            <w:shd w:fill="F3F6FA" w:color="auto" w:val="clear"/>
            <w:tcMar>
              <w:top w:type="dxa" w:w="60"/>
              <w:left w:type="dxa" w:w="100"/>
              <w:bottom w:type="dxa" w:w="60"/>
              <w:right w:type="dxa" w:w="100"/>
            </w:tcMar>
          </w:tcPr>
          <w:p>
            <w:r>
              <w:rPr>
                <w:b w:val="false"/>
                <w:bCs w:val="false"/>
                <w:sz w:val="20"/>
                <w:szCs w:val="20"/>
              </w:rPr>
              <w:t xml:space="preserve">255.255.255.0</w:t>
            </w:r>
          </w:p>
        </w:tc>
        <w:tc>
          <w:tcPr>
            <w:tcW w:type="dxa" w:w="1610"/>
            <w:shd w:fill="F3F6FA" w:color="auto" w:val="clear"/>
            <w:tcMar>
              <w:top w:type="dxa" w:w="60"/>
              <w:left w:type="dxa" w:w="100"/>
              <w:bottom w:type="dxa" w:w="60"/>
              <w:right w:type="dxa" w:w="100"/>
            </w:tcMar>
          </w:tcPr>
          <w:p>
            <w:r>
              <w:rPr>
                <w:b w:val="false"/>
                <w:bCs w:val="false"/>
                <w:sz w:val="20"/>
                <w:szCs w:val="20"/>
              </w:rPr>
              <w:t xml:space="preserve">.1 à .254</w:t>
            </w:r>
          </w:p>
        </w:tc>
        <w:tc>
          <w:tcPr>
            <w:tcW w:type="dxa" w:w="1950"/>
            <w:shd w:fill="F3F6FA" w:color="auto" w:val="clear"/>
            <w:tcMar>
              <w:top w:type="dxa" w:w="60"/>
              <w:left w:type="dxa" w:w="100"/>
              <w:bottom w:type="dxa" w:w="60"/>
              <w:right w:type="dxa" w:w="100"/>
            </w:tcMar>
          </w:tcPr>
          <w:p>
            <w:r>
              <w:rPr>
                <w:b w:val="false"/>
                <w:bCs w:val="false"/>
                <w:sz w:val="20"/>
                <w:szCs w:val="20"/>
              </w:rPr>
              <w:t xml:space="preserve">192.168.163.1</w:t>
            </w:r>
          </w:p>
        </w:tc>
      </w:tr>
      <w:tr>
        <w:trPr>
          <w:tblHeader w:val="off"/>
        </w:trPr>
        <w:tc>
          <w:tcPr>
            <w:tcW w:type="dxa" w:w="1950"/>
            <w:tcMar>
              <w:top w:type="dxa" w:w="60"/>
              <w:left w:type="dxa" w:w="100"/>
              <w:bottom w:type="dxa" w:w="60"/>
              <w:right w:type="dxa" w:w="100"/>
            </w:tcMar>
          </w:tcPr>
          <w:p>
            <w:r>
              <w:rPr>
                <w:b w:val="false"/>
                <w:bCs w:val="false"/>
                <w:sz w:val="20"/>
                <w:szCs w:val="20"/>
              </w:rPr>
              <w:t xml:space="preserve">Trois-Rivières (VIR-TR)</w:t>
            </w:r>
          </w:p>
        </w:tc>
        <w:tc>
          <w:tcPr>
            <w:tcW w:type="dxa" w:w="2000"/>
            <w:tcMar>
              <w:top w:type="dxa" w:w="60"/>
              <w:left w:type="dxa" w:w="100"/>
              <w:bottom w:type="dxa" w:w="60"/>
              <w:right w:type="dxa" w:w="100"/>
            </w:tcMar>
          </w:tcPr>
          <w:p>
            <w:r>
              <w:rPr>
                <w:b w:val="false"/>
                <w:bCs w:val="false"/>
                <w:sz w:val="20"/>
                <w:szCs w:val="20"/>
              </w:rPr>
              <w:t xml:space="preserve">192.168.164.0/24</w:t>
            </w:r>
          </w:p>
        </w:tc>
        <w:tc>
          <w:tcPr>
            <w:tcW w:type="dxa" w:w="1850"/>
            <w:tcMar>
              <w:top w:type="dxa" w:w="60"/>
              <w:left w:type="dxa" w:w="100"/>
              <w:bottom w:type="dxa" w:w="60"/>
              <w:right w:type="dxa" w:w="100"/>
            </w:tcMar>
          </w:tcPr>
          <w:p>
            <w:r>
              <w:rPr>
                <w:b w:val="false"/>
                <w:bCs w:val="false"/>
                <w:sz w:val="20"/>
                <w:szCs w:val="20"/>
              </w:rPr>
              <w:t xml:space="preserve">255.255.255.0</w:t>
            </w:r>
          </w:p>
        </w:tc>
        <w:tc>
          <w:tcPr>
            <w:tcW w:type="dxa" w:w="1610"/>
            <w:tcMar>
              <w:top w:type="dxa" w:w="60"/>
              <w:left w:type="dxa" w:w="100"/>
              <w:bottom w:type="dxa" w:w="60"/>
              <w:right w:type="dxa" w:w="100"/>
            </w:tcMar>
          </w:tcPr>
          <w:p>
            <w:r>
              <w:rPr>
                <w:b w:val="false"/>
                <w:bCs w:val="false"/>
                <w:sz w:val="20"/>
                <w:szCs w:val="20"/>
              </w:rPr>
              <w:t xml:space="preserve">.1 à .254</w:t>
            </w:r>
          </w:p>
        </w:tc>
        <w:tc>
          <w:tcPr>
            <w:tcW w:type="dxa" w:w="1950"/>
            <w:tcMar>
              <w:top w:type="dxa" w:w="60"/>
              <w:left w:type="dxa" w:w="100"/>
              <w:bottom w:type="dxa" w:w="60"/>
              <w:right w:type="dxa" w:w="100"/>
            </w:tcMar>
          </w:tcPr>
          <w:p>
            <w:r>
              <w:rPr>
                <w:b w:val="false"/>
                <w:bCs w:val="false"/>
                <w:sz w:val="20"/>
                <w:szCs w:val="20"/>
              </w:rPr>
              <w:t xml:space="preserve">192.168.164.1</w:t>
            </w:r>
          </w:p>
        </w:tc>
      </w:tr>
      <w:tr>
        <w:trPr>
          <w:tblHeader w:val="off"/>
        </w:trPr>
        <w:tc>
          <w:tcPr>
            <w:tcW w:type="dxa" w:w="1950"/>
            <w:shd w:fill="F3F6FA" w:color="auto" w:val="clear"/>
            <w:tcMar>
              <w:top w:type="dxa" w:w="60"/>
              <w:left w:type="dxa" w:w="100"/>
              <w:bottom w:type="dxa" w:w="60"/>
              <w:right w:type="dxa" w:w="100"/>
            </w:tcMar>
          </w:tcPr>
          <w:p>
            <w:r>
              <w:rPr>
                <w:b w:val="false"/>
                <w:bCs w:val="false"/>
                <w:sz w:val="20"/>
                <w:szCs w:val="20"/>
              </w:rPr>
              <w:t xml:space="preserve">WAN (réseau de l'école)</w:t>
            </w:r>
          </w:p>
        </w:tc>
        <w:tc>
          <w:tcPr>
            <w:tcW w:type="dxa" w:w="2000"/>
            <w:shd w:fill="F3F6FA" w:color="auto" w:val="clear"/>
            <w:tcMar>
              <w:top w:type="dxa" w:w="60"/>
              <w:left w:type="dxa" w:w="100"/>
              <w:bottom w:type="dxa" w:w="60"/>
              <w:right w:type="dxa" w:w="100"/>
            </w:tcMar>
          </w:tcPr>
          <w:p>
            <w:r>
              <w:rPr>
                <w:b w:val="false"/>
                <w:bCs w:val="false"/>
                <w:sz w:val="20"/>
                <w:szCs w:val="20"/>
              </w:rPr>
              <w:t xml:space="preserve">10.70.0.0/16</w:t>
            </w:r>
          </w:p>
        </w:tc>
        <w:tc>
          <w:tcPr>
            <w:tcW w:type="dxa" w:w="1850"/>
            <w:shd w:fill="F3F6FA" w:color="auto" w:val="clear"/>
            <w:tcMar>
              <w:top w:type="dxa" w:w="60"/>
              <w:left w:type="dxa" w:w="100"/>
              <w:bottom w:type="dxa" w:w="60"/>
              <w:right w:type="dxa" w:w="100"/>
            </w:tcMar>
          </w:tcPr>
          <w:p>
            <w:r>
              <w:rPr>
                <w:b w:val="false"/>
                <w:bCs w:val="false"/>
                <w:sz w:val="20"/>
                <w:szCs w:val="20"/>
              </w:rPr>
              <w:t xml:space="preserve">255.255.0.0</w:t>
            </w:r>
          </w:p>
        </w:tc>
        <w:tc>
          <w:tcPr>
            <w:tcW w:type="dxa" w:w="1610"/>
            <w:shd w:fill="F3F6FA" w:color="auto" w:val="clear"/>
            <w:tcMar>
              <w:top w:type="dxa" w:w="60"/>
              <w:left w:type="dxa" w:w="100"/>
              <w:bottom w:type="dxa" w:w="60"/>
              <w:right w:type="dxa" w:w="100"/>
            </w:tcMar>
          </w:tcPr>
          <w:p>
            <w:r>
              <w:rPr>
                <w:b w:val="false"/>
                <w:bCs w:val="false"/>
                <w:sz w:val="20"/>
                <w:szCs w:val="20"/>
              </w:rPr>
              <w:t xml:space="preserve">10.70.0.1 à .255.254</w:t>
            </w:r>
          </w:p>
        </w:tc>
        <w:tc>
          <w:tcPr>
            <w:tcW w:type="dxa" w:w="1950"/>
            <w:shd w:fill="F3F6FA" w:color="auto" w:val="clear"/>
            <w:tcMar>
              <w:top w:type="dxa" w:w="60"/>
              <w:left w:type="dxa" w:w="100"/>
              <w:bottom w:type="dxa" w:w="60"/>
              <w:right w:type="dxa" w:w="100"/>
            </w:tcMar>
          </w:tcPr>
          <w:p>
            <w:r>
              <w:rPr>
                <w:b w:val="false"/>
                <w:bCs w:val="false"/>
                <w:sz w:val="20"/>
                <w:szCs w:val="20"/>
              </w:rPr>
              <w:t xml:space="preserve">DHCP de l'école</w:t>
            </w:r>
          </w:p>
        </w:tc>
      </w:tr>
    </w:tbl>
    <w:p>
      <w:pPr>
        <w:spacing w:before="120"/>
      </w:pPr>
      <w:r>
        <w:t xml:space="preserve">Le DHCP de pfSense distribue 192.168.161.50 à 192.168.161.200 aux postes de travail du siège.</w:t>
      </w:r>
    </w:p>
    <w:p>
      <w:pPr>
        <w:pStyle w:val="Heading2"/>
      </w:pPr>
      <w:bookmarkStart w:name="h4" w:id="5"/>
      <w:r>
        <w:t xml:space="preserve">2.3 Machines virtuelles et services</w:t>
      </w:r>
      <w:bookmarkEnd w:id="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shd w:fill="1F4E79" w:color="auto" w:val="clear"/>
            <w:tcMar>
              <w:top w:type="dxa" w:w="60"/>
              <w:left w:type="dxa" w:w="100"/>
              <w:bottom w:type="dxa" w:w="60"/>
              <w:right w:type="dxa" w:w="100"/>
            </w:tcMar>
          </w:tcPr>
          <w:p>
            <w:r>
              <w:rPr>
                <w:b/>
                <w:bCs/>
                <w:color w:val="FFFFFF"/>
                <w:sz w:val="20"/>
                <w:szCs w:val="20"/>
              </w:rPr>
              <w:t xml:space="preserve">Nom d'hôte</w:t>
            </w:r>
          </w:p>
        </w:tc>
        <w:tc>
          <w:tcPr>
            <w:tcW w:type="dxa" w:w="4360"/>
            <w:shd w:fill="1F4E79" w:color="auto" w:val="clear"/>
            <w:tcMar>
              <w:top w:type="dxa" w:w="60"/>
              <w:left w:type="dxa" w:w="100"/>
              <w:bottom w:type="dxa" w:w="60"/>
              <w:right w:type="dxa" w:w="100"/>
            </w:tcMar>
          </w:tcPr>
          <w:p>
            <w:r>
              <w:rPr>
                <w:b/>
                <w:bCs/>
                <w:color w:val="FFFFFF"/>
                <w:sz w:val="20"/>
                <w:szCs w:val="20"/>
              </w:rPr>
              <w:t xml:space="preserve">Service</w:t>
            </w:r>
          </w:p>
        </w:tc>
        <w:tc>
          <w:tcPr>
            <w:tcW w:type="dxa" w:w="2400"/>
            <w:shd w:fill="1F4E79" w:color="auto" w:val="clear"/>
            <w:tcMar>
              <w:top w:type="dxa" w:w="60"/>
              <w:left w:type="dxa" w:w="100"/>
              <w:bottom w:type="dxa" w:w="60"/>
              <w:right w:type="dxa" w:w="100"/>
            </w:tcMar>
          </w:tcPr>
          <w:p>
            <w:r>
              <w:rPr>
                <w:b/>
                <w:bCs/>
                <w:color w:val="FFFFFF"/>
                <w:sz w:val="20"/>
                <w:szCs w:val="20"/>
              </w:rPr>
              <w:t xml:space="preserve">Adresse IP</w:t>
            </w:r>
          </w:p>
        </w:tc>
      </w:tr>
      <w:tr>
        <w:trPr>
          <w:tblHeader w:val="off"/>
        </w:trPr>
        <w:tc>
          <w:tcPr>
            <w:tcW w:type="dxa" w:w="2600"/>
            <w:tcMar>
              <w:top w:type="dxa" w:w="60"/>
              <w:left w:type="dxa" w:w="100"/>
              <w:bottom w:type="dxa" w:w="60"/>
              <w:right w:type="dxa" w:w="100"/>
            </w:tcMar>
          </w:tcPr>
          <w:p>
            <w:r>
              <w:rPr>
                <w:b w:val="false"/>
                <w:bCs w:val="false"/>
                <w:sz w:val="20"/>
                <w:szCs w:val="20"/>
              </w:rPr>
              <w:t xml:space="preserve">VIR-QC-FW-01</w:t>
            </w:r>
          </w:p>
        </w:tc>
        <w:tc>
          <w:tcPr>
            <w:tcW w:type="dxa" w:w="4360"/>
            <w:tcMar>
              <w:top w:type="dxa" w:w="60"/>
              <w:left w:type="dxa" w:w="100"/>
              <w:bottom w:type="dxa" w:w="60"/>
              <w:right w:type="dxa" w:w="100"/>
            </w:tcMar>
          </w:tcPr>
          <w:p>
            <w:r>
              <w:rPr>
                <w:b w:val="false"/>
                <w:bCs w:val="false"/>
                <w:sz w:val="20"/>
                <w:szCs w:val="20"/>
              </w:rPr>
              <w:t xml:space="preserve">pfSense : routeur, pare-feu, DHCP, VPN IPsec</w:t>
            </w:r>
          </w:p>
        </w:tc>
        <w:tc>
          <w:tcPr>
            <w:tcW w:type="dxa" w:w="2400"/>
            <w:tcMar>
              <w:top w:type="dxa" w:w="60"/>
              <w:left w:type="dxa" w:w="100"/>
              <w:bottom w:type="dxa" w:w="60"/>
              <w:right w:type="dxa" w:w="100"/>
            </w:tcMar>
          </w:tcPr>
          <w:p>
            <w:r>
              <w:rPr>
                <w:b w:val="false"/>
                <w:bCs w:val="false"/>
                <w:sz w:val="20"/>
                <w:szCs w:val="20"/>
              </w:rPr>
              <w:t xml:space="preserve">LAN 192.168.161.1 · WAN DHCP 10.70.x.x</w:t>
            </w:r>
          </w:p>
        </w:tc>
      </w:tr>
      <w:tr>
        <w:trPr>
          <w:tblHeader w:val="off"/>
        </w:trPr>
        <w:tc>
          <w:tcPr>
            <w:tcW w:type="dxa" w:w="2600"/>
            <w:shd w:fill="F3F6FA" w:color="auto" w:val="clear"/>
            <w:tcMar>
              <w:top w:type="dxa" w:w="60"/>
              <w:left w:type="dxa" w:w="100"/>
              <w:bottom w:type="dxa" w:w="60"/>
              <w:right w:type="dxa" w:w="100"/>
            </w:tcMar>
          </w:tcPr>
          <w:p>
            <w:r>
              <w:rPr>
                <w:b w:val="false"/>
                <w:bCs w:val="false"/>
                <w:sz w:val="20"/>
                <w:szCs w:val="20"/>
              </w:rPr>
              <w:t xml:space="preserve">VIR-QC-DC-01</w:t>
            </w:r>
          </w:p>
        </w:tc>
        <w:tc>
          <w:tcPr>
            <w:tcW w:type="dxa" w:w="4360"/>
            <w:shd w:fill="F3F6FA" w:color="auto" w:val="clear"/>
            <w:tcMar>
              <w:top w:type="dxa" w:w="60"/>
              <w:left w:type="dxa" w:w="100"/>
              <w:bottom w:type="dxa" w:w="60"/>
              <w:right w:type="dxa" w:w="100"/>
            </w:tcMar>
          </w:tcPr>
          <w:p>
            <w:r>
              <w:rPr>
                <w:b w:val="false"/>
                <w:bCs w:val="false"/>
                <w:sz w:val="20"/>
                <w:szCs w:val="20"/>
              </w:rPr>
              <w:t xml:space="preserve">Active Directory, DNS principal</w:t>
            </w:r>
          </w:p>
        </w:tc>
        <w:tc>
          <w:tcPr>
            <w:tcW w:type="dxa" w:w="2400"/>
            <w:shd w:fill="F3F6FA" w:color="auto" w:val="clear"/>
            <w:tcMar>
              <w:top w:type="dxa" w:w="60"/>
              <w:left w:type="dxa" w:w="100"/>
              <w:bottom w:type="dxa" w:w="60"/>
              <w:right w:type="dxa" w:w="100"/>
            </w:tcMar>
          </w:tcPr>
          <w:p>
            <w:r>
              <w:rPr>
                <w:b w:val="false"/>
                <w:bCs w:val="false"/>
                <w:sz w:val="20"/>
                <w:szCs w:val="20"/>
              </w:rPr>
              <w:t xml:space="preserve">192.168.161.10</w:t>
            </w:r>
          </w:p>
        </w:tc>
      </w:tr>
      <w:tr>
        <w:trPr>
          <w:tblHeader w:val="off"/>
        </w:trPr>
        <w:tc>
          <w:tcPr>
            <w:tcW w:type="dxa" w:w="2600"/>
            <w:tcMar>
              <w:top w:type="dxa" w:w="60"/>
              <w:left w:type="dxa" w:w="100"/>
              <w:bottom w:type="dxa" w:w="60"/>
              <w:right w:type="dxa" w:w="100"/>
            </w:tcMar>
          </w:tcPr>
          <w:p>
            <w:r>
              <w:rPr>
                <w:b w:val="false"/>
                <w:bCs w:val="false"/>
                <w:sz w:val="20"/>
                <w:szCs w:val="20"/>
              </w:rPr>
              <w:t xml:space="preserve">VIR-QC-DNS-01</w:t>
            </w:r>
          </w:p>
        </w:tc>
        <w:tc>
          <w:tcPr>
            <w:tcW w:type="dxa" w:w="4360"/>
            <w:tcMar>
              <w:top w:type="dxa" w:w="60"/>
              <w:left w:type="dxa" w:w="100"/>
              <w:bottom w:type="dxa" w:w="60"/>
              <w:right w:type="dxa" w:w="100"/>
            </w:tcMar>
          </w:tcPr>
          <w:p>
            <w:r>
              <w:rPr>
                <w:b w:val="false"/>
                <w:bCs w:val="false"/>
                <w:sz w:val="20"/>
                <w:szCs w:val="20"/>
              </w:rPr>
              <w:t xml:space="preserve">DNS secondaire (BIND9)</w:t>
            </w:r>
          </w:p>
        </w:tc>
        <w:tc>
          <w:tcPr>
            <w:tcW w:type="dxa" w:w="2400"/>
            <w:tcMar>
              <w:top w:type="dxa" w:w="60"/>
              <w:left w:type="dxa" w:w="100"/>
              <w:bottom w:type="dxa" w:w="60"/>
              <w:right w:type="dxa" w:w="100"/>
            </w:tcMar>
          </w:tcPr>
          <w:p>
            <w:r>
              <w:rPr>
                <w:b w:val="false"/>
                <w:bCs w:val="false"/>
                <w:sz w:val="20"/>
                <w:szCs w:val="20"/>
              </w:rPr>
              <w:t xml:space="preserve">192.168.161.11</w:t>
            </w:r>
          </w:p>
        </w:tc>
      </w:tr>
      <w:tr>
        <w:trPr>
          <w:tblHeader w:val="off"/>
        </w:trPr>
        <w:tc>
          <w:tcPr>
            <w:tcW w:type="dxa" w:w="2600"/>
            <w:shd w:fill="F3F6FA" w:color="auto" w:val="clear"/>
            <w:tcMar>
              <w:top w:type="dxa" w:w="60"/>
              <w:left w:type="dxa" w:w="100"/>
              <w:bottom w:type="dxa" w:w="60"/>
              <w:right w:type="dxa" w:w="100"/>
            </w:tcMar>
          </w:tcPr>
          <w:p>
            <w:r>
              <w:rPr>
                <w:b w:val="false"/>
                <w:bCs w:val="false"/>
                <w:sz w:val="20"/>
                <w:szCs w:val="20"/>
              </w:rPr>
              <w:t xml:space="preserve">VIR-QC-NAS-01</w:t>
            </w:r>
          </w:p>
        </w:tc>
        <w:tc>
          <w:tcPr>
            <w:tcW w:type="dxa" w:w="4360"/>
            <w:shd w:fill="F3F6FA" w:color="auto" w:val="clear"/>
            <w:tcMar>
              <w:top w:type="dxa" w:w="60"/>
              <w:left w:type="dxa" w:w="100"/>
              <w:bottom w:type="dxa" w:w="60"/>
              <w:right w:type="dxa" w:w="100"/>
            </w:tcMar>
          </w:tcPr>
          <w:p>
            <w:r>
              <w:rPr>
                <w:b w:val="false"/>
                <w:bCs w:val="false"/>
                <w:sz w:val="20"/>
                <w:szCs w:val="20"/>
              </w:rPr>
              <w:t xml:space="preserve">TrueNAS : stockage NFS / SMB</w:t>
            </w:r>
          </w:p>
        </w:tc>
        <w:tc>
          <w:tcPr>
            <w:tcW w:type="dxa" w:w="2400"/>
            <w:shd w:fill="F3F6FA" w:color="auto" w:val="clear"/>
            <w:tcMar>
              <w:top w:type="dxa" w:w="60"/>
              <w:left w:type="dxa" w:w="100"/>
              <w:bottom w:type="dxa" w:w="60"/>
              <w:right w:type="dxa" w:w="100"/>
            </w:tcMar>
          </w:tcPr>
          <w:p>
            <w:r>
              <w:rPr>
                <w:b w:val="false"/>
                <w:bCs w:val="false"/>
                <w:sz w:val="20"/>
                <w:szCs w:val="20"/>
              </w:rPr>
              <w:t xml:space="preserve">192.168.161.12</w:t>
            </w:r>
          </w:p>
        </w:tc>
      </w:tr>
      <w:tr>
        <w:trPr>
          <w:tblHeader w:val="off"/>
        </w:trPr>
        <w:tc>
          <w:tcPr>
            <w:tcW w:type="dxa" w:w="2600"/>
            <w:tcMar>
              <w:top w:type="dxa" w:w="60"/>
              <w:left w:type="dxa" w:w="100"/>
              <w:bottom w:type="dxa" w:w="60"/>
              <w:right w:type="dxa" w:w="100"/>
            </w:tcMar>
          </w:tcPr>
          <w:p>
            <w:r>
              <w:rPr>
                <w:b w:val="false"/>
                <w:bCs w:val="false"/>
                <w:sz w:val="20"/>
                <w:szCs w:val="20"/>
              </w:rPr>
              <w:t xml:space="preserve">VIR-QC-WEB-01</w:t>
            </w:r>
          </w:p>
        </w:tc>
        <w:tc>
          <w:tcPr>
            <w:tcW w:type="dxa" w:w="4360"/>
            <w:tcMar>
              <w:top w:type="dxa" w:w="60"/>
              <w:left w:type="dxa" w:w="100"/>
              <w:bottom w:type="dxa" w:w="60"/>
              <w:right w:type="dxa" w:w="100"/>
            </w:tcMar>
          </w:tcPr>
          <w:p>
            <w:r>
              <w:rPr>
                <w:b w:val="false"/>
                <w:bCs w:val="false"/>
                <w:sz w:val="20"/>
                <w:szCs w:val="20"/>
              </w:rPr>
              <w:t xml:space="preserve">Site Web (nginx + HTTPS)</w:t>
            </w:r>
          </w:p>
        </w:tc>
        <w:tc>
          <w:tcPr>
            <w:tcW w:type="dxa" w:w="2400"/>
            <w:tcMar>
              <w:top w:type="dxa" w:w="60"/>
              <w:left w:type="dxa" w:w="100"/>
              <w:bottom w:type="dxa" w:w="60"/>
              <w:right w:type="dxa" w:w="100"/>
            </w:tcMar>
          </w:tcPr>
          <w:p>
            <w:r>
              <w:rPr>
                <w:b w:val="false"/>
                <w:bCs w:val="false"/>
                <w:sz w:val="20"/>
                <w:szCs w:val="20"/>
              </w:rPr>
              <w:t xml:space="preserve">192.168.161.13</w:t>
            </w:r>
          </w:p>
        </w:tc>
      </w:tr>
      <w:tr>
        <w:trPr>
          <w:tblHeader w:val="off"/>
        </w:trPr>
        <w:tc>
          <w:tcPr>
            <w:tcW w:type="dxa" w:w="2600"/>
            <w:shd w:fill="F3F6FA" w:color="auto" w:val="clear"/>
            <w:tcMar>
              <w:top w:type="dxa" w:w="60"/>
              <w:left w:type="dxa" w:w="100"/>
              <w:bottom w:type="dxa" w:w="60"/>
              <w:right w:type="dxa" w:w="100"/>
            </w:tcMar>
          </w:tcPr>
          <w:p>
            <w:r>
              <w:rPr>
                <w:b w:val="false"/>
                <w:bCs w:val="false"/>
                <w:sz w:val="20"/>
                <w:szCs w:val="20"/>
              </w:rPr>
              <w:t xml:space="preserve">VIR-QC-MON-01</w:t>
            </w:r>
          </w:p>
        </w:tc>
        <w:tc>
          <w:tcPr>
            <w:tcW w:type="dxa" w:w="4360"/>
            <w:shd w:fill="F3F6FA" w:color="auto" w:val="clear"/>
            <w:tcMar>
              <w:top w:type="dxa" w:w="60"/>
              <w:left w:type="dxa" w:w="100"/>
              <w:bottom w:type="dxa" w:w="60"/>
              <w:right w:type="dxa" w:w="100"/>
            </w:tcMar>
          </w:tcPr>
          <w:p>
            <w:r>
              <w:rPr>
                <w:b w:val="false"/>
                <w:bCs w:val="false"/>
                <w:sz w:val="20"/>
                <w:szCs w:val="20"/>
              </w:rPr>
              <w:t xml:space="preserve">Supervision</w:t>
            </w:r>
          </w:p>
        </w:tc>
        <w:tc>
          <w:tcPr>
            <w:tcW w:type="dxa" w:w="2400"/>
            <w:shd w:fill="F3F6FA" w:color="auto" w:val="clear"/>
            <w:tcMar>
              <w:top w:type="dxa" w:w="60"/>
              <w:left w:type="dxa" w:w="100"/>
              <w:bottom w:type="dxa" w:w="60"/>
              <w:right w:type="dxa" w:w="100"/>
            </w:tcMar>
          </w:tcPr>
          <w:p>
            <w:r>
              <w:rPr>
                <w:b w:val="false"/>
                <w:bCs w:val="false"/>
                <w:sz w:val="20"/>
                <w:szCs w:val="20"/>
              </w:rPr>
              <w:t xml:space="preserve">192.168.161.14</w:t>
            </w:r>
          </w:p>
        </w:tc>
      </w:tr>
      <w:tr>
        <w:trPr>
          <w:tblHeader w:val="off"/>
        </w:trPr>
        <w:tc>
          <w:tcPr>
            <w:tcW w:type="dxa" w:w="2600"/>
            <w:tcMar>
              <w:top w:type="dxa" w:w="60"/>
              <w:left w:type="dxa" w:w="100"/>
              <w:bottom w:type="dxa" w:w="60"/>
              <w:right w:type="dxa" w:w="100"/>
            </w:tcMar>
          </w:tcPr>
          <w:p>
            <w:r>
              <w:rPr>
                <w:b w:val="false"/>
                <w:bCs w:val="false"/>
                <w:sz w:val="20"/>
                <w:szCs w:val="20"/>
              </w:rPr>
              <w:t xml:space="preserve">VIR-QC-NC-01</w:t>
            </w:r>
          </w:p>
        </w:tc>
        <w:tc>
          <w:tcPr>
            <w:tcW w:type="dxa" w:w="4360"/>
            <w:tcMar>
              <w:top w:type="dxa" w:w="60"/>
              <w:left w:type="dxa" w:w="100"/>
              <w:bottom w:type="dxa" w:w="60"/>
              <w:right w:type="dxa" w:w="100"/>
            </w:tcMar>
          </w:tcPr>
          <w:p>
            <w:r>
              <w:rPr>
                <w:b w:val="false"/>
                <w:bCs w:val="false"/>
                <w:sz w:val="20"/>
                <w:szCs w:val="20"/>
              </w:rPr>
              <w:t xml:space="preserve">NextCloud</w:t>
            </w:r>
          </w:p>
        </w:tc>
        <w:tc>
          <w:tcPr>
            <w:tcW w:type="dxa" w:w="2400"/>
            <w:tcMar>
              <w:top w:type="dxa" w:w="60"/>
              <w:left w:type="dxa" w:w="100"/>
              <w:bottom w:type="dxa" w:w="60"/>
              <w:right w:type="dxa" w:w="100"/>
            </w:tcMar>
          </w:tcPr>
          <w:p>
            <w:r>
              <w:rPr>
                <w:b w:val="false"/>
                <w:bCs w:val="false"/>
                <w:sz w:val="20"/>
                <w:szCs w:val="20"/>
              </w:rPr>
              <w:t xml:space="preserve">192.168.161.15</w:t>
            </w:r>
          </w:p>
        </w:tc>
      </w:tr>
      <w:tr>
        <w:trPr>
          <w:tblHeader w:val="off"/>
        </w:trPr>
        <w:tc>
          <w:tcPr>
            <w:tcW w:type="dxa" w:w="2600"/>
            <w:shd w:fill="F3F6FA" w:color="auto" w:val="clear"/>
            <w:tcMar>
              <w:top w:type="dxa" w:w="60"/>
              <w:left w:type="dxa" w:w="100"/>
              <w:bottom w:type="dxa" w:w="60"/>
              <w:right w:type="dxa" w:w="100"/>
            </w:tcMar>
          </w:tcPr>
          <w:p>
            <w:r>
              <w:rPr>
                <w:b w:val="false"/>
                <w:bCs w:val="false"/>
                <w:sz w:val="20"/>
                <w:szCs w:val="20"/>
              </w:rPr>
              <w:t xml:space="preserve">VIR-QC-WB-01</w:t>
            </w:r>
          </w:p>
        </w:tc>
        <w:tc>
          <w:tcPr>
            <w:tcW w:type="dxa" w:w="4360"/>
            <w:shd w:fill="F3F6FA" w:color="auto" w:val="clear"/>
            <w:tcMar>
              <w:top w:type="dxa" w:w="60"/>
              <w:left w:type="dxa" w:w="100"/>
              <w:bottom w:type="dxa" w:w="60"/>
              <w:right w:type="dxa" w:w="100"/>
            </w:tcMar>
          </w:tcPr>
          <w:p>
            <w:r>
              <w:rPr>
                <w:b w:val="false"/>
                <w:bCs w:val="false"/>
                <w:sz w:val="20"/>
                <w:szCs w:val="20"/>
              </w:rPr>
              <w:t xml:space="preserve">Serveur Web secondaire (réservé)</w:t>
            </w:r>
          </w:p>
        </w:tc>
        <w:tc>
          <w:tcPr>
            <w:tcW w:type="dxa" w:w="2400"/>
            <w:shd w:fill="F3F6FA" w:color="auto" w:val="clear"/>
            <w:tcMar>
              <w:top w:type="dxa" w:w="60"/>
              <w:left w:type="dxa" w:w="100"/>
              <w:bottom w:type="dxa" w:w="60"/>
              <w:right w:type="dxa" w:w="100"/>
            </w:tcMar>
          </w:tcPr>
          <w:p>
            <w:r>
              <w:rPr>
                <w:b w:val="false"/>
                <w:bCs w:val="false"/>
                <w:sz w:val="20"/>
                <w:szCs w:val="20"/>
              </w:rPr>
              <w:t xml:space="preserve">192.168.161.17</w:t>
            </w:r>
          </w:p>
        </w:tc>
      </w:tr>
      <w:tr>
        <w:trPr>
          <w:tblHeader w:val="off"/>
        </w:trPr>
        <w:tc>
          <w:tcPr>
            <w:tcW w:type="dxa" w:w="2600"/>
            <w:tcMar>
              <w:top w:type="dxa" w:w="60"/>
              <w:left w:type="dxa" w:w="100"/>
              <w:bottom w:type="dxa" w:w="60"/>
              <w:right w:type="dxa" w:w="100"/>
            </w:tcMar>
          </w:tcPr>
          <w:p>
            <w:r>
              <w:rPr>
                <w:b w:val="false"/>
                <w:bCs w:val="false"/>
                <w:sz w:val="20"/>
                <w:szCs w:val="20"/>
              </w:rPr>
              <w:t xml:space="preserve">VIR-QC-ANS-01</w:t>
            </w:r>
          </w:p>
        </w:tc>
        <w:tc>
          <w:tcPr>
            <w:tcW w:type="dxa" w:w="4360"/>
            <w:tcMar>
              <w:top w:type="dxa" w:w="60"/>
              <w:left w:type="dxa" w:w="100"/>
              <w:bottom w:type="dxa" w:w="60"/>
              <w:right w:type="dxa" w:w="100"/>
            </w:tcMar>
          </w:tcPr>
          <w:p>
            <w:r>
              <w:rPr>
                <w:b w:val="false"/>
                <w:bCs w:val="false"/>
                <w:sz w:val="20"/>
                <w:szCs w:val="20"/>
              </w:rPr>
              <w:t xml:space="preserve">Ansible</w:t>
            </w:r>
          </w:p>
        </w:tc>
        <w:tc>
          <w:tcPr>
            <w:tcW w:type="dxa" w:w="2400"/>
            <w:tcMar>
              <w:top w:type="dxa" w:w="60"/>
              <w:left w:type="dxa" w:w="100"/>
              <w:bottom w:type="dxa" w:w="60"/>
              <w:right w:type="dxa" w:w="100"/>
            </w:tcMar>
          </w:tcPr>
          <w:p>
            <w:r>
              <w:rPr>
                <w:b w:val="false"/>
                <w:bCs w:val="false"/>
                <w:sz w:val="20"/>
                <w:szCs w:val="20"/>
              </w:rPr>
              <w:t xml:space="preserve">192.168.161.16</w:t>
            </w:r>
          </w:p>
        </w:tc>
      </w:tr>
      <w:tr>
        <w:trPr>
          <w:tblHeader w:val="off"/>
        </w:trPr>
        <w:tc>
          <w:tcPr>
            <w:tcW w:type="dxa" w:w="2600"/>
            <w:shd w:fill="F3F6FA" w:color="auto" w:val="clear"/>
            <w:tcMar>
              <w:top w:type="dxa" w:w="60"/>
              <w:left w:type="dxa" w:w="100"/>
              <w:bottom w:type="dxa" w:w="60"/>
              <w:right w:type="dxa" w:w="100"/>
            </w:tcMar>
          </w:tcPr>
          <w:p>
            <w:r>
              <w:rPr>
                <w:b w:val="false"/>
                <w:bCs w:val="false"/>
                <w:sz w:val="20"/>
                <w:szCs w:val="20"/>
              </w:rPr>
              <w:t xml:space="preserve">VIR-QC-WS-01</w:t>
            </w:r>
          </w:p>
        </w:tc>
        <w:tc>
          <w:tcPr>
            <w:tcW w:type="dxa" w:w="4360"/>
            <w:shd w:fill="F3F6FA" w:color="auto" w:val="clear"/>
            <w:tcMar>
              <w:top w:type="dxa" w:w="60"/>
              <w:left w:type="dxa" w:w="100"/>
              <w:bottom w:type="dxa" w:w="60"/>
              <w:right w:type="dxa" w:w="100"/>
            </w:tcMar>
          </w:tcPr>
          <w:p>
            <w:r>
              <w:rPr>
                <w:b w:val="false"/>
                <w:bCs w:val="false"/>
                <w:sz w:val="20"/>
                <w:szCs w:val="20"/>
              </w:rPr>
              <w:t xml:space="preserve">Poste Windows 11</w:t>
            </w:r>
          </w:p>
        </w:tc>
        <w:tc>
          <w:tcPr>
            <w:tcW w:type="dxa" w:w="2400"/>
            <w:shd w:fill="F3F6FA" w:color="auto" w:val="clear"/>
            <w:tcMar>
              <w:top w:type="dxa" w:w="60"/>
              <w:left w:type="dxa" w:w="100"/>
              <w:bottom w:type="dxa" w:w="60"/>
              <w:right w:type="dxa" w:w="100"/>
            </w:tcMar>
          </w:tcPr>
          <w:p>
            <w:r>
              <w:rPr>
                <w:b w:val="false"/>
                <w:bCs w:val="false"/>
                <w:sz w:val="20"/>
                <w:szCs w:val="20"/>
              </w:rPr>
              <w:t xml:space="preserve">DHCP (ex. 192.168.161.50)</w:t>
            </w:r>
          </w:p>
        </w:tc>
      </w:tr>
      <w:tr>
        <w:trPr>
          <w:tblHeader w:val="off"/>
        </w:trPr>
        <w:tc>
          <w:tcPr>
            <w:tcW w:type="dxa" w:w="2600"/>
            <w:tcMar>
              <w:top w:type="dxa" w:w="60"/>
              <w:left w:type="dxa" w:w="100"/>
              <w:bottom w:type="dxa" w:w="60"/>
              <w:right w:type="dxa" w:w="100"/>
            </w:tcMar>
          </w:tcPr>
          <w:p>
            <w:r>
              <w:rPr>
                <w:b w:val="false"/>
                <w:bCs w:val="false"/>
                <w:sz w:val="20"/>
                <w:szCs w:val="20"/>
              </w:rPr>
              <w:t xml:space="preserve">VIR-MTL-FW-01</w:t>
            </w:r>
          </w:p>
        </w:tc>
        <w:tc>
          <w:tcPr>
            <w:tcW w:type="dxa" w:w="4360"/>
            <w:tcMar>
              <w:top w:type="dxa" w:w="60"/>
              <w:left w:type="dxa" w:w="100"/>
              <w:bottom w:type="dxa" w:w="60"/>
              <w:right w:type="dxa" w:w="100"/>
            </w:tcMar>
          </w:tcPr>
          <w:p>
            <w:r>
              <w:rPr>
                <w:b w:val="false"/>
                <w:bCs w:val="false"/>
                <w:sz w:val="20"/>
                <w:szCs w:val="20"/>
              </w:rPr>
              <w:t xml:space="preserve">pfSense de Montréal (VPN IPsec)</w:t>
            </w:r>
          </w:p>
        </w:tc>
        <w:tc>
          <w:tcPr>
            <w:tcW w:type="dxa" w:w="2400"/>
            <w:tcMar>
              <w:top w:type="dxa" w:w="60"/>
              <w:left w:type="dxa" w:w="100"/>
              <w:bottom w:type="dxa" w:w="60"/>
              <w:right w:type="dxa" w:w="100"/>
            </w:tcMar>
          </w:tcPr>
          <w:p>
            <w:r>
              <w:rPr>
                <w:b w:val="false"/>
                <w:bCs w:val="false"/>
                <w:sz w:val="20"/>
                <w:szCs w:val="20"/>
              </w:rPr>
              <w:t xml:space="preserve">192.168.162.1</w:t>
            </w:r>
          </w:p>
        </w:tc>
      </w:tr>
      <w:tr>
        <w:trPr>
          <w:tblHeader w:val="off"/>
        </w:trPr>
        <w:tc>
          <w:tcPr>
            <w:tcW w:type="dxa" w:w="2600"/>
            <w:shd w:fill="F3F6FA" w:color="auto" w:val="clear"/>
            <w:tcMar>
              <w:top w:type="dxa" w:w="60"/>
              <w:left w:type="dxa" w:w="100"/>
              <w:bottom w:type="dxa" w:w="60"/>
              <w:right w:type="dxa" w:w="100"/>
            </w:tcMar>
          </w:tcPr>
          <w:p>
            <w:r>
              <w:rPr>
                <w:b w:val="false"/>
                <w:bCs w:val="false"/>
                <w:sz w:val="20"/>
                <w:szCs w:val="20"/>
              </w:rPr>
              <w:t xml:space="preserve">VIR-MTL-DC-01</w:t>
            </w:r>
          </w:p>
        </w:tc>
        <w:tc>
          <w:tcPr>
            <w:tcW w:type="dxa" w:w="4360"/>
            <w:shd w:fill="F3F6FA" w:color="auto" w:val="clear"/>
            <w:tcMar>
              <w:top w:type="dxa" w:w="60"/>
              <w:left w:type="dxa" w:w="100"/>
              <w:bottom w:type="dxa" w:w="60"/>
              <w:right w:type="dxa" w:w="100"/>
            </w:tcMar>
          </w:tcPr>
          <w:p>
            <w:r>
              <w:rPr>
                <w:b w:val="false"/>
                <w:bCs w:val="false"/>
                <w:sz w:val="20"/>
                <w:szCs w:val="20"/>
              </w:rPr>
              <w:t xml:space="preserve">AD (DC) de Montréal</w:t>
            </w:r>
          </w:p>
        </w:tc>
        <w:tc>
          <w:tcPr>
            <w:tcW w:type="dxa" w:w="2400"/>
            <w:shd w:fill="F3F6FA" w:color="auto" w:val="clear"/>
            <w:tcMar>
              <w:top w:type="dxa" w:w="60"/>
              <w:left w:type="dxa" w:w="100"/>
              <w:bottom w:type="dxa" w:w="60"/>
              <w:right w:type="dxa" w:w="100"/>
            </w:tcMar>
          </w:tcPr>
          <w:p>
            <w:r>
              <w:rPr>
                <w:b w:val="false"/>
                <w:bCs w:val="false"/>
                <w:sz w:val="20"/>
                <w:szCs w:val="20"/>
              </w:rPr>
              <w:t xml:space="preserve">192.168.162.10</w:t>
            </w:r>
          </w:p>
        </w:tc>
      </w:tr>
      <w:tr>
        <w:trPr>
          <w:tblHeader w:val="off"/>
        </w:trPr>
        <w:tc>
          <w:tcPr>
            <w:tcW w:type="dxa" w:w="2600"/>
            <w:tcMar>
              <w:top w:type="dxa" w:w="60"/>
              <w:left w:type="dxa" w:w="100"/>
              <w:bottom w:type="dxa" w:w="60"/>
              <w:right w:type="dxa" w:w="100"/>
            </w:tcMar>
          </w:tcPr>
          <w:p>
            <w:r>
              <w:rPr>
                <w:b w:val="false"/>
                <w:bCs w:val="false"/>
                <w:sz w:val="20"/>
                <w:szCs w:val="20"/>
              </w:rPr>
              <w:t xml:space="preserve">VIR-MTL-DNS-01</w:t>
            </w:r>
          </w:p>
        </w:tc>
        <w:tc>
          <w:tcPr>
            <w:tcW w:type="dxa" w:w="4360"/>
            <w:tcMar>
              <w:top w:type="dxa" w:w="60"/>
              <w:left w:type="dxa" w:w="100"/>
              <w:bottom w:type="dxa" w:w="60"/>
              <w:right w:type="dxa" w:w="100"/>
            </w:tcMar>
          </w:tcPr>
          <w:p>
            <w:r>
              <w:rPr>
                <w:b w:val="false"/>
                <w:bCs w:val="false"/>
                <w:sz w:val="20"/>
                <w:szCs w:val="20"/>
              </w:rPr>
              <w:t xml:space="preserve">DNS secondaire de Montréal</w:t>
            </w:r>
          </w:p>
        </w:tc>
        <w:tc>
          <w:tcPr>
            <w:tcW w:type="dxa" w:w="2400"/>
            <w:tcMar>
              <w:top w:type="dxa" w:w="60"/>
              <w:left w:type="dxa" w:w="100"/>
              <w:bottom w:type="dxa" w:w="60"/>
              <w:right w:type="dxa" w:w="100"/>
            </w:tcMar>
          </w:tcPr>
          <w:p>
            <w:r>
              <w:rPr>
                <w:b w:val="false"/>
                <w:bCs w:val="false"/>
                <w:sz w:val="20"/>
                <w:szCs w:val="20"/>
              </w:rPr>
              <w:t xml:space="preserve">192.168.162.11</w:t>
            </w:r>
          </w:p>
        </w:tc>
      </w:tr>
    </w:tbl>
    <w:p>
      <w:pPr>
        <w:pStyle w:val="Heading1"/>
        <w:pageBreakBefore/>
      </w:pPr>
      <w:bookmarkStart w:name="h5" w:id="6"/>
      <w:r>
        <w:t xml:space="preserve">3. Démonstration 1 — Virtualisation, sauvegardes et réseau</w:t>
      </w:r>
      <w:bookmarkEnd w:id="6"/>
    </w:p>
    <w:p>
      <w:pPr>
        <w:spacing w:after="120"/>
      </w:pPr>
      <w:r>
        <w:rPr>
          <w:b/>
          <w:bCs/>
        </w:rPr>
        <w:t xml:space="preserve">Date de la démonstration : </w:t>
      </w:r>
      <w:r>
        <w:t xml:space="preserve">28 septembre 2026</w:t>
      </w:r>
    </w:p>
    <w:p>
      <w:pPr>
        <w:spacing w:after="120"/>
      </w:pPr>
      <w:r>
        <w:t xml:space="preserve">Cette démonstration met en place le socle de l'infrastructure : l'hyperviseur, le serveur de sauvegarde, les modèles de machines virtuelles et le routeur pare-feu pfSense qui fournit le DHCP et le VPN.</w:t>
      </w:r>
    </w:p>
    <w:p>
      <w:pPr>
        <w:pStyle w:val="Heading2"/>
      </w:pPr>
      <w:bookmarkStart w:name="h6" w:id="7"/>
      <w:r>
        <w:t xml:space="preserve">Étape 1 — Inventaire matériel et câblage</w:t>
      </w:r>
      <w:bookmarkEnd w:id="7"/>
    </w:p>
    <w:p>
      <w:pPr>
        <w:spacing w:after="120"/>
      </w:pPr>
      <w:r>
        <w:rPr>
          <w:b/>
          <w:bCs/>
        </w:rPr>
        <w:t xml:space="preserve">Objectif : </w:t>
      </w:r>
      <w:r>
        <w:t xml:space="preserve">relever les caractéristiques des deux serveurs physiques confiés (07 et 08) et vérifier qu'ils supportent la virtualisation et la version de Proxmox choisie.</w:t>
      </w:r>
    </w:p>
    <w:p>
      <w:pPr>
        <w:pStyle w:val="Heading3"/>
      </w:pPr>
      <w:r>
        <w:t xml:space="preserve">Manipulation réalisée</w:t>
      </w:r>
    </w:p>
    <w:p>
      <w:pPr>
        <w:pStyle w:val="ListParagraph"/>
        <w:numPr>
          <w:ilvl w:val="0"/>
          <w:numId w:val="2"/>
        </w:numPr>
        <w:spacing w:after="60"/>
      </w:pPr>
      <w:r>
        <w:t xml:space="preserve">Relevé du processeur, de la mémoire, du stockage et des cartes réseau de VIR-QC-PVE-01 (serveur 07) et VIR-QC-PBS-01 (serveur 08).</w:t>
      </w:r>
    </w:p>
    <w:p>
      <w:pPr>
        <w:pStyle w:val="ListParagraph"/>
        <w:numPr>
          <w:ilvl w:val="0"/>
          <w:numId w:val="2"/>
        </w:numPr>
        <w:spacing w:after="60"/>
      </w:pPr>
      <w:r>
        <w:t xml:space="preserve">Vérification de la prise en charge de VT-x / AMD-V.</w:t>
      </w:r>
    </w:p>
    <w:p>
      <w:pPr>
        <w:pStyle w:val="ListParagraph"/>
        <w:numPr>
          <w:ilvl w:val="0"/>
          <w:numId w:val="2"/>
        </w:numPr>
        <w:spacing w:after="60"/>
      </w:pPr>
      <w:r>
        <w:t xml:space="preserve">Fabrication des câbles CAT6 (norme T568B aux deux extrémités) et étiquetage selon la convention (ex. QC-R1-P01 → PVE01-NIC0).</w:t>
      </w:r>
    </w:p>
    <w:p>
      <w:pPr>
        <w:pStyle w:val="ListParagraph"/>
        <w:numPr>
          <w:ilvl w:val="0"/>
          <w:numId w:val="2"/>
        </w:numPr>
        <w:spacing w:after="60"/>
      </w:pPr>
      <w:r>
        <w:t xml:space="preserve">Remplissage du document « Identification du matériel ».</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hostname; date</w:t>
      </w:r>
    </w:p>
    <w:p>
      <w:pPr>
        <w:shd w:fill="F2F2F2" w:color="auto" w:val="clear"/>
        <w:spacing w:after="0" w:line="260"/>
        <w:ind w:left="120" w:right="120"/>
      </w:pPr>
      <w:r>
        <w:rPr>
          <w:rFonts w:ascii="Consolas" w:cs="Consolas" w:eastAsia="Consolas" w:hAnsi="Consolas"/>
          <w:sz w:val="18"/>
          <w:szCs w:val="18"/>
        </w:rPr>
        <w:t xml:space="preserve">lscpu | grep -E "Model name|^CPU\(s\)|Thread|Virtualization"</w:t>
      </w:r>
    </w:p>
    <w:p>
      <w:pPr>
        <w:shd w:fill="F2F2F2" w:color="auto" w:val="clear"/>
        <w:spacing w:after="0" w:line="260"/>
        <w:ind w:left="120" w:right="120"/>
      </w:pPr>
      <w:r>
        <w:rPr>
          <w:rFonts w:ascii="Consolas" w:cs="Consolas" w:eastAsia="Consolas" w:hAnsi="Consolas"/>
          <w:sz w:val="18"/>
          <w:szCs w:val="18"/>
        </w:rPr>
        <w:t xml:space="preserve">free -h</w:t>
      </w:r>
    </w:p>
    <w:p>
      <w:pPr>
        <w:shd w:fill="F2F2F2" w:color="auto" w:val="clear"/>
        <w:spacing w:after="0" w:line="260"/>
        <w:ind w:left="120" w:right="120"/>
      </w:pPr>
      <w:r>
        <w:rPr>
          <w:rFonts w:ascii="Consolas" w:cs="Consolas" w:eastAsia="Consolas" w:hAnsi="Consolas"/>
          <w:sz w:val="18"/>
          <w:szCs w:val="18"/>
        </w:rPr>
        <w:t xml:space="preserve">lsblk -o NAME,SIZE,TYPE,MODEL</w:t>
      </w:r>
    </w:p>
    <w:p>
      <w:pPr>
        <w:shd w:fill="F2F2F2" w:color="auto" w:val="clear"/>
        <w:spacing w:after="160" w:line="260"/>
        <w:ind w:left="120" w:right="120"/>
      </w:pPr>
      <w:r>
        <w:rPr>
          <w:rFonts w:ascii="Consolas" w:cs="Consolas" w:eastAsia="Consolas" w:hAnsi="Consolas"/>
          <w:sz w:val="18"/>
          <w:szCs w:val="18"/>
        </w:rPr>
        <w:t xml:space="preserve">ip link show</w:t>
      </w:r>
    </w:p>
    <w:p>
      <w:pPr>
        <w:pStyle w:val="Heading3"/>
      </w:pPr>
      <w:r>
        <w:t xml:space="preserve">Réponse du système</w:t>
      </w:r>
    </w:p>
    <w:p>
      <w:pPr>
        <w:spacing w:after="120"/>
      </w:pPr>
      <w:r>
        <w:t xml:space="preserve">Les commandes affichent le modèle de processeur, le nombre de cœurs et de fils, la présence des extensions de virtualisation, la mémoire totale, les disques et les adresses MAC de chaque carte réseau.</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2 ici</w:t>
            </w:r>
          </w:p>
          <w:p>
            <w:pPr>
              <w:jc w:val="center"/>
            </w:pPr>
            <w:r>
              <w:rPr>
                <w:color w:val="808080"/>
                <w:sz w:val="20"/>
                <w:szCs w:val="20"/>
              </w:rPr>
              <w:t xml:space="preserve">Inventaire de VIR-QC-PVE-01 (lscpu, free, lsblk, ip link)</w:t>
            </w:r>
          </w:p>
        </w:tc>
      </w:tr>
    </w:tbl>
    <w:p>
      <w:pPr>
        <w:spacing w:after="60" w:before="80"/>
        <w:jc w:val="center"/>
      </w:pPr>
      <w:r>
        <w:rPr>
          <w:i/>
          <w:iCs/>
          <w:sz w:val="20"/>
          <w:szCs w:val="20"/>
        </w:rPr>
        <w:t xml:space="preserve">Figure 2 — Inventaire de VIR-QC-PVE-01 (lscpu, free, lsblk, ip link)</w:t>
      </w:r>
    </w:p>
    <w:p>
      <w:pPr>
        <w:spacing w:after="200"/>
      </w:pPr>
      <w:r>
        <w:rPr>
          <w:b/>
          <w:bCs/>
        </w:rPr>
        <w:t xml:space="preserve">Commentaire : </w:t>
      </w:r>
      <w:r>
        <w:t xml:space="preserve">cette capture montre que le serveur 07 dispose des extensions de virtualisation et des ressources nécessaires à Proxmox VE.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3 ici</w:t>
            </w:r>
          </w:p>
          <w:p>
            <w:pPr>
              <w:jc w:val="center"/>
            </w:pPr>
            <w:r>
              <w:rPr>
                <w:color w:val="808080"/>
                <w:sz w:val="20"/>
                <w:szCs w:val="20"/>
              </w:rPr>
              <w:t xml:space="preserve">Inventaire de VIR-QC-PBS-01</w:t>
            </w:r>
          </w:p>
        </w:tc>
      </w:tr>
    </w:tbl>
    <w:p>
      <w:pPr>
        <w:spacing w:after="60" w:before="80"/>
        <w:jc w:val="center"/>
      </w:pPr>
      <w:r>
        <w:rPr>
          <w:i/>
          <w:iCs/>
          <w:sz w:val="20"/>
          <w:szCs w:val="20"/>
        </w:rPr>
        <w:t xml:space="preserve">Figure 3 — Inventaire de VIR-QC-PBS-01</w:t>
      </w:r>
    </w:p>
    <w:p>
      <w:pPr>
        <w:spacing w:after="200"/>
      </w:pPr>
      <w:r>
        <w:rPr>
          <w:b/>
          <w:bCs/>
        </w:rPr>
        <w:t xml:space="preserve">Commentaire : </w:t>
      </w:r>
      <w:r>
        <w:t xml:space="preserve">cette capture montre les caractéristiques du serveur 08 destiné aux sauvegardes.</w:t>
      </w:r>
    </w:p>
    <w:p>
      <w:pPr>
        <w:spacing w:after="120"/>
      </w:pPr>
      <w:r>
        <w:rPr>
          <w:b/>
          <w:bCs/>
        </w:rPr>
        <w:t xml:space="preserve">Tableau d'identification du matériel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shd w:fill="1F4E79" w:color="auto" w:val="clear"/>
            <w:tcMar>
              <w:top w:type="dxa" w:w="60"/>
              <w:left w:type="dxa" w:w="100"/>
              <w:bottom w:type="dxa" w:w="60"/>
              <w:right w:type="dxa" w:w="100"/>
            </w:tcMar>
          </w:tcPr>
          <w:p>
            <w:r>
              <w:rPr>
                <w:b/>
                <w:bCs/>
                <w:color w:val="FFFFFF"/>
                <w:sz w:val="20"/>
                <w:szCs w:val="20"/>
              </w:rPr>
              <w:t xml:space="preserve">Composant</w:t>
            </w:r>
          </w:p>
        </w:tc>
        <w:tc>
          <w:tcPr>
            <w:tcW w:type="dxa" w:w="3100"/>
            <w:shd w:fill="1F4E79" w:color="auto" w:val="clear"/>
            <w:tcMar>
              <w:top w:type="dxa" w:w="60"/>
              <w:left w:type="dxa" w:w="100"/>
              <w:bottom w:type="dxa" w:w="60"/>
              <w:right w:type="dxa" w:w="100"/>
            </w:tcMar>
          </w:tcPr>
          <w:p>
            <w:r>
              <w:rPr>
                <w:b/>
                <w:bCs/>
                <w:color w:val="FFFFFF"/>
                <w:sz w:val="20"/>
                <w:szCs w:val="20"/>
              </w:rPr>
              <w:t xml:space="preserve">VIR-QC-PVE-01 (serveur 07)</w:t>
            </w:r>
          </w:p>
        </w:tc>
        <w:tc>
          <w:tcPr>
            <w:tcW w:type="dxa" w:w="3100"/>
            <w:shd w:fill="1F4E79" w:color="auto" w:val="clear"/>
            <w:tcMar>
              <w:top w:type="dxa" w:w="60"/>
              <w:left w:type="dxa" w:w="100"/>
              <w:bottom w:type="dxa" w:w="60"/>
              <w:right w:type="dxa" w:w="100"/>
            </w:tcMar>
          </w:tcPr>
          <w:p>
            <w:r>
              <w:rPr>
                <w:b/>
                <w:bCs/>
                <w:color w:val="FFFFFF"/>
                <w:sz w:val="20"/>
                <w:szCs w:val="20"/>
              </w:rPr>
              <w:t xml:space="preserve">VIR-QC-PBS-01 (serveur 08)</w:t>
            </w:r>
          </w:p>
        </w:tc>
      </w:tr>
      <w:tr>
        <w:trPr>
          <w:tblHeader w:val="off"/>
        </w:trPr>
        <w:tc>
          <w:tcPr>
            <w:tcW w:type="dxa" w:w="3160"/>
            <w:tcMar>
              <w:top w:type="dxa" w:w="60"/>
              <w:left w:type="dxa" w:w="100"/>
              <w:bottom w:type="dxa" w:w="60"/>
              <w:right w:type="dxa" w:w="100"/>
            </w:tcMar>
          </w:tcPr>
          <w:p>
            <w:r>
              <w:rPr>
                <w:b w:val="false"/>
                <w:bCs w:val="false"/>
                <w:sz w:val="20"/>
                <w:szCs w:val="20"/>
              </w:rPr>
              <w:t xml:space="preserve">Modèle / châssis</w:t>
            </w:r>
          </w:p>
        </w:tc>
        <w:tc>
          <w:tcPr>
            <w:tcW w:type="dxa" w:w="3100"/>
            <w:tcMar>
              <w:top w:type="dxa" w:w="60"/>
              <w:left w:type="dxa" w:w="100"/>
              <w:bottom w:type="dxa" w:w="60"/>
              <w:right w:type="dxa" w:w="100"/>
            </w:tcMar>
          </w:tcPr>
          <w:p>
            <w:r>
              <w:rPr>
                <w:b w:val="false"/>
                <w:bCs w:val="false"/>
                <w:sz w:val="20"/>
                <w:szCs w:val="20"/>
              </w:rPr>
              <w:t xml:space="preserve"/>
            </w:r>
          </w:p>
        </w:tc>
        <w:tc>
          <w:tcPr>
            <w:tcW w:type="dxa" w:w="3100"/>
            <w:tcMar>
              <w:top w:type="dxa" w:w="60"/>
              <w:left w:type="dxa" w:w="100"/>
              <w:bottom w:type="dxa" w:w="60"/>
              <w:right w:type="dxa" w:w="100"/>
            </w:tcMar>
          </w:tcPr>
          <w:p>
            <w:r>
              <w:rPr>
                <w:b w:val="false"/>
                <w:bCs w:val="false"/>
                <w:sz w:val="20"/>
                <w:szCs w:val="20"/>
              </w:rPr>
              <w:t xml:space="preserve"/>
            </w:r>
          </w:p>
        </w:tc>
      </w:tr>
      <w:tr>
        <w:trPr>
          <w:tblHeader w:val="off"/>
        </w:trPr>
        <w:tc>
          <w:tcPr>
            <w:tcW w:type="dxa" w:w="3160"/>
            <w:shd w:fill="F3F6FA" w:color="auto" w:val="clear"/>
            <w:tcMar>
              <w:top w:type="dxa" w:w="60"/>
              <w:left w:type="dxa" w:w="100"/>
              <w:bottom w:type="dxa" w:w="60"/>
              <w:right w:type="dxa" w:w="100"/>
            </w:tcMar>
          </w:tcPr>
          <w:p>
            <w:r>
              <w:rPr>
                <w:b w:val="false"/>
                <w:bCs w:val="false"/>
                <w:sz w:val="20"/>
                <w:szCs w:val="20"/>
              </w:rPr>
              <w:t xml:space="preserve">Processeur (cœurs / fils)</w:t>
            </w:r>
          </w:p>
        </w:tc>
        <w:tc>
          <w:tcPr>
            <w:tcW w:type="dxa" w:w="3100"/>
            <w:shd w:fill="F3F6FA" w:color="auto" w:val="clear"/>
            <w:tcMar>
              <w:top w:type="dxa" w:w="60"/>
              <w:left w:type="dxa" w:w="100"/>
              <w:bottom w:type="dxa" w:w="60"/>
              <w:right w:type="dxa" w:w="100"/>
            </w:tcMar>
          </w:tcPr>
          <w:p>
            <w:r>
              <w:rPr>
                <w:b w:val="false"/>
                <w:bCs w:val="false"/>
                <w:sz w:val="20"/>
                <w:szCs w:val="20"/>
              </w:rPr>
              <w:t xml:space="preserve"/>
            </w:r>
          </w:p>
        </w:tc>
        <w:tc>
          <w:tcPr>
            <w:tcW w:type="dxa" w:w="3100"/>
            <w:shd w:fill="F3F6FA" w:color="auto" w:val="clear"/>
            <w:tcMar>
              <w:top w:type="dxa" w:w="60"/>
              <w:left w:type="dxa" w:w="100"/>
              <w:bottom w:type="dxa" w:w="60"/>
              <w:right w:type="dxa" w:w="100"/>
            </w:tcMar>
          </w:tcPr>
          <w:p>
            <w:r>
              <w:rPr>
                <w:b w:val="false"/>
                <w:bCs w:val="false"/>
                <w:sz w:val="20"/>
                <w:szCs w:val="20"/>
              </w:rPr>
              <w:t xml:space="preserve"/>
            </w:r>
          </w:p>
        </w:tc>
      </w:tr>
      <w:tr>
        <w:trPr>
          <w:tblHeader w:val="off"/>
        </w:trPr>
        <w:tc>
          <w:tcPr>
            <w:tcW w:type="dxa" w:w="3160"/>
            <w:tcMar>
              <w:top w:type="dxa" w:w="60"/>
              <w:left w:type="dxa" w:w="100"/>
              <w:bottom w:type="dxa" w:w="60"/>
              <w:right w:type="dxa" w:w="100"/>
            </w:tcMar>
          </w:tcPr>
          <w:p>
            <w:r>
              <w:rPr>
                <w:b w:val="false"/>
                <w:bCs w:val="false"/>
                <w:sz w:val="20"/>
                <w:szCs w:val="20"/>
              </w:rPr>
              <w:t xml:space="preserve">Virtualisation VT-x / AMD-V</w:t>
            </w:r>
          </w:p>
        </w:tc>
        <w:tc>
          <w:tcPr>
            <w:tcW w:type="dxa" w:w="3100"/>
            <w:tcMar>
              <w:top w:type="dxa" w:w="60"/>
              <w:left w:type="dxa" w:w="100"/>
              <w:bottom w:type="dxa" w:w="60"/>
              <w:right w:type="dxa" w:w="100"/>
            </w:tcMar>
          </w:tcPr>
          <w:p>
            <w:r>
              <w:rPr>
                <w:b w:val="false"/>
                <w:bCs w:val="false"/>
                <w:sz w:val="20"/>
                <w:szCs w:val="20"/>
              </w:rPr>
              <w:t xml:space="preserve"/>
            </w:r>
          </w:p>
        </w:tc>
        <w:tc>
          <w:tcPr>
            <w:tcW w:type="dxa" w:w="3100"/>
            <w:tcMar>
              <w:top w:type="dxa" w:w="60"/>
              <w:left w:type="dxa" w:w="100"/>
              <w:bottom w:type="dxa" w:w="60"/>
              <w:right w:type="dxa" w:w="100"/>
            </w:tcMar>
          </w:tcPr>
          <w:p>
            <w:r>
              <w:rPr>
                <w:b w:val="false"/>
                <w:bCs w:val="false"/>
                <w:sz w:val="20"/>
                <w:szCs w:val="20"/>
              </w:rPr>
              <w:t xml:space="preserve"/>
            </w:r>
          </w:p>
        </w:tc>
      </w:tr>
      <w:tr>
        <w:trPr>
          <w:tblHeader w:val="off"/>
        </w:trPr>
        <w:tc>
          <w:tcPr>
            <w:tcW w:type="dxa" w:w="3160"/>
            <w:shd w:fill="F3F6FA" w:color="auto" w:val="clear"/>
            <w:tcMar>
              <w:top w:type="dxa" w:w="60"/>
              <w:left w:type="dxa" w:w="100"/>
              <w:bottom w:type="dxa" w:w="60"/>
              <w:right w:type="dxa" w:w="100"/>
            </w:tcMar>
          </w:tcPr>
          <w:p>
            <w:r>
              <w:rPr>
                <w:b w:val="false"/>
                <w:bCs w:val="false"/>
                <w:sz w:val="20"/>
                <w:szCs w:val="20"/>
              </w:rPr>
              <w:t xml:space="preserve">Mémoire (type, quantité, fréquence)</w:t>
            </w:r>
          </w:p>
        </w:tc>
        <w:tc>
          <w:tcPr>
            <w:tcW w:type="dxa" w:w="3100"/>
            <w:shd w:fill="F3F6FA" w:color="auto" w:val="clear"/>
            <w:tcMar>
              <w:top w:type="dxa" w:w="60"/>
              <w:left w:type="dxa" w:w="100"/>
              <w:bottom w:type="dxa" w:w="60"/>
              <w:right w:type="dxa" w:w="100"/>
            </w:tcMar>
          </w:tcPr>
          <w:p>
            <w:r>
              <w:rPr>
                <w:b w:val="false"/>
                <w:bCs w:val="false"/>
                <w:sz w:val="20"/>
                <w:szCs w:val="20"/>
              </w:rPr>
              <w:t xml:space="preserve"/>
            </w:r>
          </w:p>
        </w:tc>
        <w:tc>
          <w:tcPr>
            <w:tcW w:type="dxa" w:w="3100"/>
            <w:shd w:fill="F3F6FA" w:color="auto" w:val="clear"/>
            <w:tcMar>
              <w:top w:type="dxa" w:w="60"/>
              <w:left w:type="dxa" w:w="100"/>
              <w:bottom w:type="dxa" w:w="60"/>
              <w:right w:type="dxa" w:w="100"/>
            </w:tcMar>
          </w:tcPr>
          <w:p>
            <w:r>
              <w:rPr>
                <w:b w:val="false"/>
                <w:bCs w:val="false"/>
                <w:sz w:val="20"/>
                <w:szCs w:val="20"/>
              </w:rPr>
              <w:t xml:space="preserve"/>
            </w:r>
          </w:p>
        </w:tc>
      </w:tr>
      <w:tr>
        <w:trPr>
          <w:tblHeader w:val="off"/>
        </w:trPr>
        <w:tc>
          <w:tcPr>
            <w:tcW w:type="dxa" w:w="3160"/>
            <w:tcMar>
              <w:top w:type="dxa" w:w="60"/>
              <w:left w:type="dxa" w:w="100"/>
              <w:bottom w:type="dxa" w:w="60"/>
              <w:right w:type="dxa" w:w="100"/>
            </w:tcMar>
          </w:tcPr>
          <w:p>
            <w:r>
              <w:rPr>
                <w:b w:val="false"/>
                <w:bCs w:val="false"/>
                <w:sz w:val="20"/>
                <w:szCs w:val="20"/>
              </w:rPr>
              <w:t xml:space="preserve">Stockage (contrôleur, disques, RAID)</w:t>
            </w:r>
          </w:p>
        </w:tc>
        <w:tc>
          <w:tcPr>
            <w:tcW w:type="dxa" w:w="3100"/>
            <w:tcMar>
              <w:top w:type="dxa" w:w="60"/>
              <w:left w:type="dxa" w:w="100"/>
              <w:bottom w:type="dxa" w:w="60"/>
              <w:right w:type="dxa" w:w="100"/>
            </w:tcMar>
          </w:tcPr>
          <w:p>
            <w:r>
              <w:rPr>
                <w:b w:val="false"/>
                <w:bCs w:val="false"/>
                <w:sz w:val="20"/>
                <w:szCs w:val="20"/>
              </w:rPr>
              <w:t xml:space="preserve"/>
            </w:r>
          </w:p>
        </w:tc>
        <w:tc>
          <w:tcPr>
            <w:tcW w:type="dxa" w:w="3100"/>
            <w:tcMar>
              <w:top w:type="dxa" w:w="60"/>
              <w:left w:type="dxa" w:w="100"/>
              <w:bottom w:type="dxa" w:w="60"/>
              <w:right w:type="dxa" w:w="100"/>
            </w:tcMar>
          </w:tcPr>
          <w:p>
            <w:r>
              <w:rPr>
                <w:b w:val="false"/>
                <w:bCs w:val="false"/>
                <w:sz w:val="20"/>
                <w:szCs w:val="20"/>
              </w:rPr>
              <w:t xml:space="preserve"/>
            </w:r>
          </w:p>
        </w:tc>
      </w:tr>
      <w:tr>
        <w:trPr>
          <w:tblHeader w:val="off"/>
        </w:trPr>
        <w:tc>
          <w:tcPr>
            <w:tcW w:type="dxa" w:w="3160"/>
            <w:shd w:fill="F3F6FA" w:color="auto" w:val="clear"/>
            <w:tcMar>
              <w:top w:type="dxa" w:w="60"/>
              <w:left w:type="dxa" w:w="100"/>
              <w:bottom w:type="dxa" w:w="60"/>
              <w:right w:type="dxa" w:w="100"/>
            </w:tcMar>
          </w:tcPr>
          <w:p>
            <w:r>
              <w:rPr>
                <w:b w:val="false"/>
                <w:bCs w:val="false"/>
                <w:sz w:val="20"/>
                <w:szCs w:val="20"/>
              </w:rPr>
              <w:t xml:space="preserve">Cartes réseau (nombre, débit, MAC)</w:t>
            </w:r>
          </w:p>
        </w:tc>
        <w:tc>
          <w:tcPr>
            <w:tcW w:type="dxa" w:w="3100"/>
            <w:shd w:fill="F3F6FA" w:color="auto" w:val="clear"/>
            <w:tcMar>
              <w:top w:type="dxa" w:w="60"/>
              <w:left w:type="dxa" w:w="100"/>
              <w:bottom w:type="dxa" w:w="60"/>
              <w:right w:type="dxa" w:w="100"/>
            </w:tcMar>
          </w:tcPr>
          <w:p>
            <w:r>
              <w:rPr>
                <w:b w:val="false"/>
                <w:bCs w:val="false"/>
                <w:sz w:val="20"/>
                <w:szCs w:val="20"/>
              </w:rPr>
              <w:t xml:space="preserve"/>
            </w:r>
          </w:p>
        </w:tc>
        <w:tc>
          <w:tcPr>
            <w:tcW w:type="dxa" w:w="3100"/>
            <w:shd w:fill="F3F6FA" w:color="auto" w:val="clear"/>
            <w:tcMar>
              <w:top w:type="dxa" w:w="60"/>
              <w:left w:type="dxa" w:w="100"/>
              <w:bottom w:type="dxa" w:w="60"/>
              <w:right w:type="dxa" w:w="100"/>
            </w:tcMar>
          </w:tcPr>
          <w:p>
            <w:r>
              <w:rPr>
                <w:b w:val="false"/>
                <w:bCs w:val="false"/>
                <w:sz w:val="20"/>
                <w:szCs w:val="20"/>
              </w:rPr>
              <w:t xml:space="preserve"/>
            </w:r>
          </w:p>
        </w:tc>
      </w:tr>
      <w:tr>
        <w:trPr>
          <w:tblHeader w:val="off"/>
        </w:trPr>
        <w:tc>
          <w:tcPr>
            <w:tcW w:type="dxa" w:w="3160"/>
            <w:tcMar>
              <w:top w:type="dxa" w:w="60"/>
              <w:left w:type="dxa" w:w="100"/>
              <w:bottom w:type="dxa" w:w="60"/>
              <w:right w:type="dxa" w:w="100"/>
            </w:tcMar>
          </w:tcPr>
          <w:p>
            <w:r>
              <w:rPr>
                <w:b w:val="false"/>
                <w:bCs w:val="false"/>
                <w:sz w:val="20"/>
                <w:szCs w:val="20"/>
              </w:rPr>
              <w:t xml:space="preserve">Alimentation</w:t>
            </w:r>
          </w:p>
        </w:tc>
        <w:tc>
          <w:tcPr>
            <w:tcW w:type="dxa" w:w="3100"/>
            <w:tcMar>
              <w:top w:type="dxa" w:w="60"/>
              <w:left w:type="dxa" w:w="100"/>
              <w:bottom w:type="dxa" w:w="60"/>
              <w:right w:type="dxa" w:w="100"/>
            </w:tcMar>
          </w:tcPr>
          <w:p>
            <w:r>
              <w:rPr>
                <w:b w:val="false"/>
                <w:bCs w:val="false"/>
                <w:sz w:val="20"/>
                <w:szCs w:val="20"/>
              </w:rPr>
              <w:t xml:space="preserve"/>
            </w:r>
          </w:p>
        </w:tc>
        <w:tc>
          <w:tcPr>
            <w:tcW w:type="dxa" w:w="3100"/>
            <w:tcMar>
              <w:top w:type="dxa" w:w="60"/>
              <w:left w:type="dxa" w:w="100"/>
              <w:bottom w:type="dxa" w:w="60"/>
              <w:right w:type="dxa" w:w="100"/>
            </w:tcMar>
          </w:tcPr>
          <w:p>
            <w:r>
              <w:rPr>
                <w:b w:val="false"/>
                <w:bCs w:val="false"/>
                <w:sz w:val="20"/>
                <w:szCs w:val="20"/>
              </w:rPr>
              <w:t xml:space="preserve"/>
            </w:r>
          </w:p>
        </w:tc>
      </w:tr>
    </w:tbl>
    <w:p>
      <w:pPr>
        <w:spacing w:after="120"/>
      </w:pPr>
    </w:p>
    <w:p>
      <w:pPr>
        <w:pStyle w:val="Heading2"/>
      </w:pPr>
      <w:bookmarkStart w:name="h7" w:id="8"/>
      <w:r>
        <w:t xml:space="preserve">Étape 2 — Installation de Proxmox VE (VIR-QC-PVE-01)</w:t>
      </w:r>
      <w:bookmarkEnd w:id="8"/>
    </w:p>
    <w:p>
      <w:pPr>
        <w:spacing w:after="120"/>
      </w:pPr>
      <w:r>
        <w:rPr>
          <w:b/>
          <w:bCs/>
        </w:rPr>
        <w:t xml:space="preserve">Objectif : </w:t>
      </w:r>
      <w:r>
        <w:t xml:space="preserve">installer l'hyperviseur et séparer le réseau de gestion (vmbr0) du réseau des machines virtuelles (vmbr1).</w:t>
      </w:r>
    </w:p>
    <w:p>
      <w:pPr>
        <w:pStyle w:val="Heading3"/>
      </w:pPr>
      <w:r>
        <w:t xml:space="preserve">Manipulation réalisée</w:t>
      </w:r>
    </w:p>
    <w:p>
      <w:pPr>
        <w:pStyle w:val="ListParagraph"/>
        <w:numPr>
          <w:ilvl w:val="0"/>
          <w:numId w:val="2"/>
        </w:numPr>
        <w:spacing w:after="60"/>
      </w:pPr>
      <w:r>
        <w:t xml:space="preserve">Installation de Proxmox VE depuis l'ISO sur clé USB.</w:t>
      </w:r>
    </w:p>
    <w:p>
      <w:pPr>
        <w:pStyle w:val="ListParagraph"/>
        <w:numPr>
          <w:ilvl w:val="0"/>
          <w:numId w:val="2"/>
        </w:numPr>
        <w:spacing w:after="60"/>
      </w:pPr>
      <w:r>
        <w:t xml:space="preserve">Adresse de gestion 192.168.160.2/24 (réseau de gestion 192.168.160.0/24), passerelle 192.168.160.1.</w:t>
      </w:r>
    </w:p>
    <w:p>
      <w:pPr>
        <w:pStyle w:val="ListParagraph"/>
        <w:numPr>
          <w:ilvl w:val="0"/>
          <w:numId w:val="2"/>
        </w:numPr>
        <w:spacing w:after="60"/>
      </w:pPr>
      <w:r>
        <w:t xml:space="preserve">Création du pont vmbr1, sans adresse IP, réservé aux machines virtuelles.</w:t>
      </w:r>
    </w:p>
    <w:p>
      <w:pPr>
        <w:pStyle w:val="ListParagraph"/>
        <w:numPr>
          <w:ilvl w:val="0"/>
          <w:numId w:val="2"/>
        </w:numPr>
        <w:spacing w:after="60"/>
      </w:pPr>
      <w:r>
        <w:t xml:space="preserve">Accès à l'interface web https://192.168.160.2:8006 (compte root, PAM).</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pveversion</w:t>
      </w:r>
    </w:p>
    <w:p>
      <w:pPr>
        <w:shd w:fill="F2F2F2" w:color="auto" w:val="clear"/>
        <w:spacing w:after="0" w:line="260"/>
        <w:ind w:left="120" w:right="120"/>
      </w:pPr>
      <w:r>
        <w:rPr>
          <w:rFonts w:ascii="Consolas" w:cs="Consolas" w:eastAsia="Consolas" w:hAnsi="Consolas"/>
          <w:sz w:val="18"/>
          <w:szCs w:val="18"/>
        </w:rPr>
        <w:t xml:space="preserve">cat /etc/network/interfaces</w:t>
      </w:r>
    </w:p>
    <w:p>
      <w:pPr>
        <w:shd w:fill="F2F2F2" w:color="auto" w:val="clear"/>
        <w:spacing w:after="0" w:line="260"/>
        <w:ind w:left="120" w:right="120"/>
      </w:pPr>
      <w:r>
        <w:rPr>
          <w:rFonts w:ascii="Consolas" w:cs="Consolas" w:eastAsia="Consolas" w:hAnsi="Consolas"/>
          <w:sz w:val="18"/>
          <w:szCs w:val="18"/>
        </w:rPr>
        <w:t xml:space="preserve">ip -br addr</w:t>
      </w:r>
    </w:p>
    <w:p>
      <w:pPr>
        <w:shd w:fill="F2F2F2" w:color="auto" w:val="clear"/>
        <w:spacing w:after="0" w:line="260"/>
        <w:ind w:left="120" w:right="120"/>
      </w:pPr>
      <w:r>
        <w:rPr>
          <w:rFonts w:ascii="Consolas" w:cs="Consolas" w:eastAsia="Consolas" w:hAnsi="Consolas"/>
          <w:sz w:val="18"/>
          <w:szCs w:val="18"/>
        </w:rPr>
        <w:t xml:space="preserve">curl -k -s -o /dev/null -w "%{http_code}\n" https://192.168.160.2:8006</w:t>
      </w:r>
    </w:p>
    <w:p>
      <w:pPr>
        <w:shd w:fill="F2F2F2" w:color="auto" w:val="clear"/>
        <w:spacing w:after="160" w:line="260"/>
        <w:ind w:left="120" w:right="120"/>
      </w:pPr>
      <w:r>
        <w:rPr>
          <w:rFonts w:ascii="Consolas" w:cs="Consolas" w:eastAsia="Consolas" w:hAnsi="Consolas"/>
          <w:sz w:val="18"/>
          <w:szCs w:val="18"/>
        </w:rPr>
        <w:t xml:space="preserve">grep -H net /etc/pve/qemu-server/*.conf</w:t>
      </w:r>
    </w:p>
    <w:p>
      <w:pPr>
        <w:pStyle w:val="Heading3"/>
      </w:pPr>
      <w:r>
        <w:t xml:space="preserve">Réponse du système</w:t>
      </w:r>
    </w:p>
    <w:p>
      <w:pPr>
        <w:spacing w:after="120"/>
      </w:pPr>
      <w:r>
        <w:t xml:space="preserve">Le fichier /etc/network/interfaces montre vmbr0 avec l'adresse 192.168.160.2/24 et vmbr1 en mode manuel, sans adresse. L'interface web répond sur le port 8006 (code 200) et les cartes réseau des machines virtuelles sont reliées à vmbr1.</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4 ici</w:t>
            </w:r>
          </w:p>
          <w:p>
            <w:pPr>
              <w:jc w:val="center"/>
            </w:pPr>
            <w:r>
              <w:rPr>
                <w:color w:val="808080"/>
                <w:sz w:val="20"/>
                <w:szCs w:val="20"/>
              </w:rPr>
              <w:t xml:space="preserve">Fichier /etc/network/interfaces</w:t>
            </w:r>
          </w:p>
        </w:tc>
      </w:tr>
    </w:tbl>
    <w:p>
      <w:pPr>
        <w:spacing w:after="60" w:before="80"/>
        <w:jc w:val="center"/>
      </w:pPr>
      <w:r>
        <w:rPr>
          <w:i/>
          <w:iCs/>
          <w:sz w:val="20"/>
          <w:szCs w:val="20"/>
        </w:rPr>
        <w:t xml:space="preserve">Figure 4 — Fichier /etc/network/interfaces</w:t>
      </w:r>
    </w:p>
    <w:p>
      <w:pPr>
        <w:spacing w:after="200"/>
      </w:pPr>
      <w:r>
        <w:rPr>
          <w:b/>
          <w:bCs/>
        </w:rPr>
        <w:t xml:space="preserve">Commentaire : </w:t>
      </w:r>
      <w:r>
        <w:t xml:space="preserve">cette capture montre les deux ponts : vmbr0 pour la gestion, vmbr1 pour les machines virtuelles.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5 ici</w:t>
            </w:r>
          </w:p>
          <w:p>
            <w:pPr>
              <w:jc w:val="center"/>
            </w:pPr>
            <w:r>
              <w:rPr>
                <w:color w:val="808080"/>
                <w:sz w:val="20"/>
                <w:szCs w:val="20"/>
              </w:rPr>
              <w:t xml:space="preserve">Interface web : Nœud → System → Network</w:t>
            </w:r>
          </w:p>
        </w:tc>
      </w:tr>
    </w:tbl>
    <w:p>
      <w:pPr>
        <w:spacing w:after="60" w:before="80"/>
        <w:jc w:val="center"/>
      </w:pPr>
      <w:r>
        <w:rPr>
          <w:i/>
          <w:iCs/>
          <w:sz w:val="20"/>
          <w:szCs w:val="20"/>
        </w:rPr>
        <w:t xml:space="preserve">Figure 5 — Interface web : Nœud → System → Network</w:t>
      </w:r>
    </w:p>
    <w:p>
      <w:pPr>
        <w:spacing w:after="200"/>
      </w:pPr>
      <w:r>
        <w:rPr>
          <w:b/>
          <w:bCs/>
        </w:rPr>
        <w:t xml:space="preserve">Commentaire : </w:t>
      </w:r>
      <w:r>
        <w:t xml:space="preserve">cette capture montre les ponts vus depuis la console de gestion.</w:t>
      </w:r>
    </w:p>
    <w:p>
      <w:pPr>
        <w:pStyle w:val="Heading2"/>
      </w:pPr>
      <w:bookmarkStart w:name="h8" w:id="9"/>
      <w:r>
        <w:t xml:space="preserve">Étape 3 — Proxmox Backup Server (VIR-QC-PBS-01) et console unique</w:t>
      </w:r>
      <w:bookmarkEnd w:id="9"/>
    </w:p>
    <w:p>
      <w:pPr>
        <w:spacing w:after="120"/>
      </w:pPr>
      <w:r>
        <w:rPr>
          <w:b/>
          <w:bCs/>
        </w:rPr>
        <w:t xml:space="preserve">Objectif : </w:t>
      </w:r>
      <w:r>
        <w:t xml:space="preserve">installer PBS, créer un datastore et le rattacher à Proxmox VE pour gérer les deux serveurs depuis la même interface.</w:t>
      </w:r>
    </w:p>
    <w:p>
      <w:pPr>
        <w:pStyle w:val="Heading3"/>
      </w:pPr>
      <w:r>
        <w:t xml:space="preserve">Manipulation réalisée</w:t>
      </w:r>
    </w:p>
    <w:p>
      <w:pPr>
        <w:pStyle w:val="ListParagraph"/>
        <w:numPr>
          <w:ilvl w:val="0"/>
          <w:numId w:val="2"/>
        </w:numPr>
        <w:spacing w:after="60"/>
      </w:pPr>
      <w:r>
        <w:t xml:space="preserve">Installation de PBS depuis l'ISO, adresse 192.168.160.3/24.</w:t>
      </w:r>
    </w:p>
    <w:p>
      <w:pPr>
        <w:pStyle w:val="ListParagraph"/>
        <w:numPr>
          <w:ilvl w:val="0"/>
          <w:numId w:val="2"/>
        </w:numPr>
        <w:spacing w:after="60"/>
      </w:pPr>
      <w:r>
        <w:t xml:space="preserve">Création du datastore sur un disque dédié (Administration → Datastore → Add).</w:t>
      </w:r>
    </w:p>
    <w:p>
      <w:pPr>
        <w:pStyle w:val="ListParagraph"/>
        <w:numPr>
          <w:ilvl w:val="0"/>
          <w:numId w:val="2"/>
        </w:numPr>
        <w:spacing w:after="60"/>
      </w:pPr>
      <w:r>
        <w:t xml:space="preserve">Ajout de PBS comme stockage dans Proxmox VE (Datacenter → Storage → Add → Proxmox Backup Server) avec l'empreinte du certificat.</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 Sur PBS</w:t>
      </w:r>
    </w:p>
    <w:p>
      <w:pPr>
        <w:shd w:fill="F2F2F2" w:color="auto" w:val="clear"/>
        <w:spacing w:after="0" w:line="260"/>
        <w:ind w:left="120" w:right="120"/>
      </w:pPr>
      <w:r>
        <w:rPr>
          <w:rFonts w:ascii="Consolas" w:cs="Consolas" w:eastAsia="Consolas" w:hAnsi="Consolas"/>
          <w:sz w:val="18"/>
          <w:szCs w:val="18"/>
        </w:rPr>
        <w:t xml:space="preserve">proxmox-backup-manager versions</w:t>
      </w:r>
    </w:p>
    <w:p>
      <w:pPr>
        <w:shd w:fill="F2F2F2" w:color="auto" w:val="clear"/>
        <w:spacing w:after="0" w:line="260"/>
        <w:ind w:left="120" w:right="120"/>
      </w:pPr>
      <w:r>
        <w:rPr>
          <w:rFonts w:ascii="Consolas" w:cs="Consolas" w:eastAsia="Consolas" w:hAnsi="Consolas"/>
          <w:sz w:val="18"/>
          <w:szCs w:val="18"/>
        </w:rPr>
        <w:t xml:space="preserve">proxmox-backup-manager datastore list</w:t>
      </w:r>
    </w:p>
    <w:p>
      <w:pPr>
        <w:shd w:fill="F2F2F2" w:color="auto" w:val="clear"/>
        <w:spacing w:after="0" w:line="260"/>
        <w:ind w:left="120" w:right="120"/>
      </w:pPr>
      <w:r>
        <w:rPr>
          <w:rFonts w:ascii="Consolas" w:cs="Consolas" w:eastAsia="Consolas" w:hAnsi="Consolas"/>
          <w:sz w:val="18"/>
          <w:szCs w:val="18"/>
        </w:rPr>
        <w:t xml:space="preserve">proxmox-backup-manager cert info | grep Fingerprint</w:t>
      </w:r>
    </w:p>
    <w:p>
      <w:pPr>
        <w:shd w:fill="F2F2F2" w:color="auto" w:val="clear"/>
        <w:spacing w:after="0" w:line="260"/>
        <w:ind w:left="120" w:right="120"/>
      </w:pPr>
      <w:r>
        <w:rPr>
          <w:rFonts w:ascii="Consolas" w:cs="Consolas" w:eastAsia="Consolas" w:hAnsi="Consolas"/>
          <w:sz w:val="18"/>
          <w:szCs w:val="18"/>
        </w:rPr>
        <w:t xml:space="preserve"> </w:t>
      </w:r>
    </w:p>
    <w:p>
      <w:pPr>
        <w:shd w:fill="F2F2F2" w:color="auto" w:val="clear"/>
        <w:spacing w:after="0" w:line="260"/>
        <w:ind w:left="120" w:right="120"/>
      </w:pPr>
      <w:r>
        <w:rPr>
          <w:rFonts w:ascii="Consolas" w:cs="Consolas" w:eastAsia="Consolas" w:hAnsi="Consolas"/>
          <w:sz w:val="18"/>
          <w:szCs w:val="18"/>
        </w:rPr>
        <w:t xml:space="preserve"># Sur PVE</w:t>
      </w:r>
    </w:p>
    <w:p>
      <w:pPr>
        <w:shd w:fill="F2F2F2" w:color="auto" w:val="clear"/>
        <w:spacing w:after="160" w:line="260"/>
        <w:ind w:left="120" w:right="120"/>
      </w:pPr>
      <w:r>
        <w:rPr>
          <w:rFonts w:ascii="Consolas" w:cs="Consolas" w:eastAsia="Consolas" w:hAnsi="Consolas"/>
          <w:sz w:val="18"/>
          <w:szCs w:val="18"/>
        </w:rPr>
        <w:t xml:space="preserve">pvesm status</w:t>
      </w:r>
    </w:p>
    <w:p>
      <w:pPr>
        <w:pStyle w:val="Heading3"/>
      </w:pPr>
      <w:r>
        <w:t xml:space="preserve">Réponse du système</w:t>
      </w:r>
    </w:p>
    <w:p>
      <w:pPr>
        <w:spacing w:after="120"/>
      </w:pPr>
      <w:r>
        <w:t xml:space="preserve">La commande pvesm status liste un stockage de type pbs dont le statut est « active » : Proxmox VE peut donc écrire ses sauvegardes sur PBS.</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6 ici</w:t>
            </w:r>
          </w:p>
          <w:p>
            <w:pPr>
              <w:jc w:val="center"/>
            </w:pPr>
            <w:r>
              <w:rPr>
                <w:color w:val="808080"/>
                <w:sz w:val="20"/>
                <w:szCs w:val="20"/>
              </w:rPr>
              <w:t xml:space="preserve">pvesm status sur VIR-QC-PVE-01</w:t>
            </w:r>
          </w:p>
        </w:tc>
      </w:tr>
    </w:tbl>
    <w:p>
      <w:pPr>
        <w:spacing w:after="60" w:before="80"/>
        <w:jc w:val="center"/>
      </w:pPr>
      <w:r>
        <w:rPr>
          <w:i/>
          <w:iCs/>
          <w:sz w:val="20"/>
          <w:szCs w:val="20"/>
        </w:rPr>
        <w:t xml:space="preserve">Figure 6 — pvesm status sur VIR-QC-PVE-01</w:t>
      </w:r>
    </w:p>
    <w:p>
      <w:pPr>
        <w:spacing w:after="200"/>
      </w:pPr>
      <w:r>
        <w:rPr>
          <w:b/>
          <w:bCs/>
        </w:rPr>
        <w:t xml:space="preserve">Commentaire : </w:t>
      </w:r>
      <w:r>
        <w:t xml:space="preserve">cette capture montre que PBS est rattaché à Proxmox VE et actif.</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7 ici</w:t>
            </w:r>
          </w:p>
          <w:p>
            <w:pPr>
              <w:jc w:val="center"/>
            </w:pPr>
            <w:r>
              <w:rPr>
                <w:color w:val="808080"/>
                <w:sz w:val="20"/>
                <w:szCs w:val="20"/>
              </w:rPr>
              <w:t xml:space="preserve">Datacenter → Storage</w:t>
            </w:r>
          </w:p>
        </w:tc>
      </w:tr>
    </w:tbl>
    <w:p>
      <w:pPr>
        <w:spacing w:after="60" w:before="80"/>
        <w:jc w:val="center"/>
      </w:pPr>
      <w:r>
        <w:rPr>
          <w:i/>
          <w:iCs/>
          <w:sz w:val="20"/>
          <w:szCs w:val="20"/>
        </w:rPr>
        <w:t xml:space="preserve">Figure 7 — Datacenter → Storage</w:t>
      </w:r>
    </w:p>
    <w:p>
      <w:pPr>
        <w:spacing w:after="200"/>
      </w:pPr>
      <w:r>
        <w:rPr>
          <w:b/>
          <w:bCs/>
        </w:rPr>
        <w:t xml:space="preserve">Commentaire : </w:t>
      </w:r>
      <w:r>
        <w:t xml:space="preserve">cette capture montre la console unique qui gère PVE et PBS.</w:t>
      </w:r>
    </w:p>
    <w:p>
      <w:pPr>
        <w:pStyle w:val="Heading2"/>
      </w:pPr>
      <w:bookmarkStart w:name="h9" w:id="10"/>
      <w:r>
        <w:t xml:space="preserve">Étape 4 — Modèles de machines virtuelles et clones liés</w:t>
      </w:r>
      <w:bookmarkEnd w:id="10"/>
    </w:p>
    <w:p>
      <w:pPr>
        <w:spacing w:after="120"/>
      </w:pPr>
      <w:r>
        <w:rPr>
          <w:b/>
          <w:bCs/>
        </w:rPr>
        <w:t xml:space="preserve">Objectif : </w:t>
      </w:r>
      <w:r>
        <w:t xml:space="preserve">créer trois modèles réutilisables et en dériver des clones liés pour économiser l'espace disque.</w:t>
      </w:r>
    </w:p>
    <w:p>
      <w:pPr>
        <w:pStyle w:val="Heading3"/>
      </w:pPr>
      <w:r>
        <w:t xml:space="preserve">Manipulation réalisée</w:t>
      </w:r>
    </w:p>
    <w:p>
      <w:pPr>
        <w:pStyle w:val="ListParagraph"/>
        <w:numPr>
          <w:ilvl w:val="0"/>
          <w:numId w:val="2"/>
        </w:numPr>
        <w:spacing w:after="60"/>
      </w:pPr>
      <w:r>
        <w:t xml:space="preserve">Création et préparation de TPL-DEB12 (Debian 12), TPL-WS2022 (Windows Server 2022) et TPL-WIN11 (Windows 11).</w:t>
      </w:r>
    </w:p>
    <w:p>
      <w:pPr>
        <w:pStyle w:val="ListParagraph"/>
        <w:numPr>
          <w:ilvl w:val="0"/>
          <w:numId w:val="2"/>
        </w:numPr>
        <w:spacing w:after="60"/>
      </w:pPr>
      <w:r>
        <w:t xml:space="preserve">Généralisation des systèmes Windows (sysprep) avant la conversion.</w:t>
      </w:r>
    </w:p>
    <w:p>
      <w:pPr>
        <w:pStyle w:val="ListParagraph"/>
        <w:numPr>
          <w:ilvl w:val="0"/>
          <w:numId w:val="2"/>
        </w:numPr>
        <w:spacing w:after="60"/>
      </w:pPr>
      <w:r>
        <w:t xml:space="preserve">Conversion en modèles, puis création de clones liés.</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qm template &lt;VMID&gt;</w:t>
      </w:r>
    </w:p>
    <w:p>
      <w:pPr>
        <w:shd w:fill="F2F2F2" w:color="auto" w:val="clear"/>
        <w:spacing w:after="0" w:line="260"/>
        <w:ind w:left="120" w:right="120"/>
      </w:pPr>
      <w:r>
        <w:rPr>
          <w:rFonts w:ascii="Consolas" w:cs="Consolas" w:eastAsia="Consolas" w:hAnsi="Consolas"/>
          <w:sz w:val="18"/>
          <w:szCs w:val="18"/>
        </w:rPr>
        <w:t xml:space="preserve">qm clone &lt;TPLID&gt; &lt;NEWID&gt; --name VIR-QC-DC-01 --full 0</w:t>
      </w:r>
    </w:p>
    <w:p>
      <w:pPr>
        <w:shd w:fill="F2F2F2" w:color="auto" w:val="clear"/>
        <w:spacing w:after="160" w:line="260"/>
        <w:ind w:left="120" w:right="120"/>
      </w:pPr>
      <w:r>
        <w:rPr>
          <w:rFonts w:ascii="Consolas" w:cs="Consolas" w:eastAsia="Consolas" w:hAnsi="Consolas"/>
          <w:sz w:val="18"/>
          <w:szCs w:val="18"/>
        </w:rPr>
        <w:t xml:space="preserve">qm list</w:t>
      </w:r>
    </w:p>
    <w:p>
      <w:pPr>
        <w:pStyle w:val="Heading3"/>
      </w:pPr>
      <w:r>
        <w:t xml:space="preserve">Réponse du système</w:t>
      </w:r>
    </w:p>
    <w:p>
      <w:pPr>
        <w:spacing w:after="120"/>
      </w:pPr>
      <w:r>
        <w:t xml:space="preserve">Les trois modèles apparaissent avec une icône de modèle dans l'arborescence ; les clones liés démarrent en quelques secondes et n'occupent que les différences sur le disque.</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8 ici</w:t>
            </w:r>
          </w:p>
          <w:p>
            <w:pPr>
              <w:jc w:val="center"/>
            </w:pPr>
            <w:r>
              <w:rPr>
                <w:color w:val="808080"/>
                <w:sz w:val="20"/>
                <w:szCs w:val="20"/>
              </w:rPr>
              <w:t xml:space="preserve">qm list et arborescence des modèles</w:t>
            </w:r>
          </w:p>
        </w:tc>
      </w:tr>
    </w:tbl>
    <w:p>
      <w:pPr>
        <w:spacing w:after="60" w:before="80"/>
        <w:jc w:val="center"/>
      </w:pPr>
      <w:r>
        <w:rPr>
          <w:i/>
          <w:iCs/>
          <w:sz w:val="20"/>
          <w:szCs w:val="20"/>
        </w:rPr>
        <w:t xml:space="preserve">Figure 8 — qm list et arborescence des modèles</w:t>
      </w:r>
    </w:p>
    <w:p>
      <w:pPr>
        <w:spacing w:after="200"/>
      </w:pPr>
      <w:r>
        <w:rPr>
          <w:b/>
          <w:bCs/>
        </w:rPr>
        <w:t xml:space="preserve">Commentaire : </w:t>
      </w:r>
      <w:r>
        <w:t xml:space="preserve">cette capture montre les trois modèles TPL-DEB12, TPL-WS2022 et TPL-WIN11 et les clones créés.</w:t>
      </w:r>
    </w:p>
    <w:p>
      <w:pPr>
        <w:pStyle w:val="Heading2"/>
      </w:pPr>
      <w:bookmarkStart w:name="h10" w:id="11"/>
      <w:r>
        <w:t xml:space="preserve">Étape 5 — Script de création de machine virtuelle</w:t>
      </w:r>
      <w:bookmarkEnd w:id="11"/>
    </w:p>
    <w:p>
      <w:pPr>
        <w:spacing w:after="120"/>
      </w:pPr>
      <w:r>
        <w:rPr>
          <w:b/>
          <w:bCs/>
        </w:rPr>
        <w:t xml:space="preserve">Objectif : </w:t>
      </w:r>
      <w:r>
        <w:t xml:space="preserve">automatiser la création d'une VM (clone lié ou VM vierge) avec le script creer-vm.sh.</w:t>
      </w:r>
    </w:p>
    <w:p>
      <w:pPr>
        <w:pStyle w:val="Heading3"/>
      </w:pPr>
      <w:r>
        <w:t xml:space="preserve">Manipulation réalisée</w:t>
      </w:r>
    </w:p>
    <w:p>
      <w:pPr>
        <w:pStyle w:val="ListParagraph"/>
        <w:numPr>
          <w:ilvl w:val="0"/>
          <w:numId w:val="2"/>
        </w:numPr>
        <w:spacing w:after="60"/>
      </w:pPr>
      <w:r>
        <w:t xml:space="preserve">Copie du script scripts/creer-vm.sh sur VIR-QC-PVE-01 et ajout du droit d'exécution.</w:t>
      </w:r>
    </w:p>
    <w:p>
      <w:pPr>
        <w:pStyle w:val="ListParagraph"/>
        <w:numPr>
          <w:ilvl w:val="0"/>
          <w:numId w:val="2"/>
        </w:numPr>
        <w:spacing w:after="60"/>
      </w:pPr>
      <w:r>
        <w:t xml:space="preserve">Exécution en répondant aux questions : ID, nom, CPU, RAM, disque, pont, clone ou vierge.</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chmod +x creer-vm.sh</w:t>
      </w:r>
    </w:p>
    <w:p>
      <w:pPr>
        <w:shd w:fill="F2F2F2" w:color="auto" w:val="clear"/>
        <w:spacing w:after="0" w:line="260"/>
        <w:ind w:left="120" w:right="120"/>
      </w:pPr>
      <w:r>
        <w:rPr>
          <w:rFonts w:ascii="Consolas" w:cs="Consolas" w:eastAsia="Consolas" w:hAnsi="Consolas"/>
          <w:sz w:val="18"/>
          <w:szCs w:val="18"/>
        </w:rPr>
        <w:t xml:space="preserve">./creer-vm.sh</w:t>
      </w:r>
    </w:p>
    <w:p>
      <w:pPr>
        <w:shd w:fill="F2F2F2" w:color="auto" w:val="clear"/>
        <w:spacing w:after="160" w:line="260"/>
        <w:ind w:left="120" w:right="120"/>
      </w:pPr>
      <w:r>
        <w:rPr>
          <w:rFonts w:ascii="Consolas" w:cs="Consolas" w:eastAsia="Consolas" w:hAnsi="Consolas"/>
          <w:sz w:val="18"/>
          <w:szCs w:val="18"/>
        </w:rPr>
        <w:t xml:space="preserve">qm list</w:t>
      </w:r>
    </w:p>
    <w:p>
      <w:pPr>
        <w:pStyle w:val="Heading3"/>
      </w:pPr>
      <w:r>
        <w:t xml:space="preserve">Réponse du système</w:t>
      </w:r>
    </w:p>
    <w:p>
      <w:pPr>
        <w:spacing w:after="120"/>
      </w:pPr>
      <w:r>
        <w:t xml:space="preserve">Le script pose ses questions, crée la VM demandée et celle-ci apparaît dans qm list.</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9 ici</w:t>
            </w:r>
          </w:p>
          <w:p>
            <w:pPr>
              <w:jc w:val="center"/>
            </w:pPr>
            <w:r>
              <w:rPr>
                <w:color w:val="808080"/>
                <w:sz w:val="20"/>
                <w:szCs w:val="20"/>
              </w:rPr>
              <w:t xml:space="preserve">Exécution de creer-vm.sh</w:t>
            </w:r>
          </w:p>
        </w:tc>
      </w:tr>
    </w:tbl>
    <w:p>
      <w:pPr>
        <w:spacing w:after="60" w:before="80"/>
        <w:jc w:val="center"/>
      </w:pPr>
      <w:r>
        <w:rPr>
          <w:i/>
          <w:iCs/>
          <w:sz w:val="20"/>
          <w:szCs w:val="20"/>
        </w:rPr>
        <w:t xml:space="preserve">Figure 9 — Exécution de creer-vm.sh</w:t>
      </w:r>
    </w:p>
    <w:p>
      <w:pPr>
        <w:spacing w:after="200"/>
      </w:pPr>
      <w:r>
        <w:rPr>
          <w:b/>
          <w:bCs/>
        </w:rPr>
        <w:t xml:space="preserve">Commentaire : </w:t>
      </w:r>
      <w:r>
        <w:t xml:space="preserve">cette capture montre les réponses fournies au script et la création réussie.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10 ici</w:t>
            </w:r>
          </w:p>
          <w:p>
            <w:pPr>
              <w:jc w:val="center"/>
            </w:pPr>
            <w:r>
              <w:rPr>
                <w:color w:val="808080"/>
                <w:sz w:val="20"/>
                <w:szCs w:val="20"/>
              </w:rPr>
              <w:t xml:space="preserve">qm list après le script</w:t>
            </w:r>
          </w:p>
        </w:tc>
      </w:tr>
    </w:tbl>
    <w:p>
      <w:pPr>
        <w:spacing w:after="60" w:before="80"/>
        <w:jc w:val="center"/>
      </w:pPr>
      <w:r>
        <w:rPr>
          <w:i/>
          <w:iCs/>
          <w:sz w:val="20"/>
          <w:szCs w:val="20"/>
        </w:rPr>
        <w:t xml:space="preserve">Figure 10 — qm list après le script</w:t>
      </w:r>
    </w:p>
    <w:p>
      <w:pPr>
        <w:spacing w:after="200"/>
      </w:pPr>
      <w:r>
        <w:rPr>
          <w:b/>
          <w:bCs/>
        </w:rPr>
        <w:t xml:space="preserve">Commentaire : </w:t>
      </w:r>
      <w:r>
        <w:t xml:space="preserve">cette capture montre la nouvelle VM dans la liste.</w:t>
      </w:r>
    </w:p>
    <w:p>
      <w:pPr>
        <w:pStyle w:val="Heading2"/>
      </w:pPr>
      <w:bookmarkStart w:name="h11" w:id="12"/>
      <w:r>
        <w:t xml:space="preserve">Étape 6 — Sauvegardes planifiées</w:t>
      </w:r>
      <w:bookmarkEnd w:id="12"/>
    </w:p>
    <w:p>
      <w:pPr>
        <w:spacing w:after="120"/>
      </w:pPr>
      <w:r>
        <w:rPr>
          <w:b/>
          <w:bCs/>
        </w:rPr>
        <w:t xml:space="preserve">Objectif : </w:t>
      </w:r>
      <w:r>
        <w:t xml:space="preserve">sauvegarder automatiquement les machines virtuelles chaque semaine sur PBS.</w:t>
      </w:r>
    </w:p>
    <w:p>
      <w:pPr>
        <w:pStyle w:val="Heading3"/>
      </w:pPr>
      <w:r>
        <w:t xml:space="preserve">Manipulation réalisée</w:t>
      </w:r>
    </w:p>
    <w:p>
      <w:pPr>
        <w:pStyle w:val="ListParagraph"/>
        <w:numPr>
          <w:ilvl w:val="0"/>
          <w:numId w:val="2"/>
        </w:numPr>
        <w:spacing w:after="60"/>
      </w:pPr>
      <w:r>
        <w:t xml:space="preserve">Création de la tâche de sauvegarde : ≥ 2 VM Windows et ≥ 2 VM Linux, mode snapshot, compression zstd, rétention keep-last 4 / keep-weekly 4.</w:t>
      </w:r>
    </w:p>
    <w:p>
      <w:pPr>
        <w:pStyle w:val="ListParagraph"/>
        <w:numPr>
          <w:ilvl w:val="0"/>
          <w:numId w:val="2"/>
        </w:numPr>
        <w:spacing w:after="60"/>
      </w:pPr>
      <w:r>
        <w:t xml:space="preserve">Création d'une tâche de vérification (Verify Job) hebdomadaire sur PBS.</w:t>
      </w:r>
    </w:p>
    <w:p>
      <w:pPr>
        <w:pStyle w:val="ListParagraph"/>
        <w:numPr>
          <w:ilvl w:val="0"/>
          <w:numId w:val="2"/>
        </w:numPr>
        <w:spacing w:after="60"/>
      </w:pPr>
      <w:r>
        <w:t xml:space="preserve">Sauvegarde manuelle de test.</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cat /etc/pve/jobs.cfg</w:t>
      </w:r>
    </w:p>
    <w:p>
      <w:pPr>
        <w:shd w:fill="F2F2F2" w:color="auto" w:val="clear"/>
        <w:spacing w:after="0" w:line="260"/>
        <w:ind w:left="120" w:right="120"/>
      </w:pPr>
      <w:r>
        <w:rPr>
          <w:rFonts w:ascii="Consolas" w:cs="Consolas" w:eastAsia="Consolas" w:hAnsi="Consolas"/>
          <w:sz w:val="18"/>
          <w:szCs w:val="18"/>
        </w:rPr>
        <w:t xml:space="preserve">vzdump &lt;VMID&gt; --storage &lt;stockage_pbs&gt; --mode snapshot</w:t>
      </w:r>
    </w:p>
    <w:p>
      <w:pPr>
        <w:shd w:fill="F2F2F2" w:color="auto" w:val="clear"/>
        <w:spacing w:after="160" w:line="260"/>
        <w:ind w:left="120" w:right="120"/>
      </w:pPr>
      <w:r>
        <w:rPr>
          <w:rFonts w:ascii="Consolas" w:cs="Consolas" w:eastAsia="Consolas" w:hAnsi="Consolas"/>
          <w:sz w:val="18"/>
          <w:szCs w:val="18"/>
        </w:rPr>
        <w:t xml:space="preserve">pvesm list &lt;stockage_pbs&gt;</w:t>
      </w:r>
    </w:p>
    <w:p>
      <w:pPr>
        <w:pStyle w:val="Heading3"/>
      </w:pPr>
      <w:r>
        <w:t xml:space="preserve">Réponse du système</w:t>
      </w:r>
    </w:p>
    <w:p>
      <w:pPr>
        <w:spacing w:after="120"/>
      </w:pPr>
      <w:r>
        <w:t xml:space="preserve">Le fichier jobs.cfg contient la tâche et son horaire ; la sauvegarde de test apparaît dans le datastore de PBS.</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11 ici</w:t>
            </w:r>
          </w:p>
          <w:p>
            <w:pPr>
              <w:jc w:val="center"/>
            </w:pPr>
            <w:r>
              <w:rPr>
                <w:color w:val="808080"/>
                <w:sz w:val="20"/>
                <w:szCs w:val="20"/>
              </w:rPr>
              <w:t xml:space="preserve">Datacenter → Backup</w:t>
            </w:r>
          </w:p>
        </w:tc>
      </w:tr>
    </w:tbl>
    <w:p>
      <w:pPr>
        <w:spacing w:after="60" w:before="80"/>
        <w:jc w:val="center"/>
      </w:pPr>
      <w:r>
        <w:rPr>
          <w:i/>
          <w:iCs/>
          <w:sz w:val="20"/>
          <w:szCs w:val="20"/>
        </w:rPr>
        <w:t xml:space="preserve">Figure 11 — Datacenter → Backup</w:t>
      </w:r>
    </w:p>
    <w:p>
      <w:pPr>
        <w:spacing w:after="200"/>
      </w:pPr>
      <w:r>
        <w:rPr>
          <w:b/>
          <w:bCs/>
        </w:rPr>
        <w:t xml:space="preserve">Commentaire : </w:t>
      </w:r>
      <w:r>
        <w:t xml:space="preserve">cette capture montre la tâche planifiée, son horaire et les VM sélectionnées.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12 ici</w:t>
            </w:r>
          </w:p>
          <w:p>
            <w:pPr>
              <w:jc w:val="center"/>
            </w:pPr>
            <w:r>
              <w:rPr>
                <w:color w:val="808080"/>
                <w:sz w:val="20"/>
                <w:szCs w:val="20"/>
              </w:rPr>
              <w:t xml:space="preserve">PBS → Datastore → Content</w:t>
            </w:r>
          </w:p>
        </w:tc>
      </w:tr>
    </w:tbl>
    <w:p>
      <w:pPr>
        <w:spacing w:after="60" w:before="80"/>
        <w:jc w:val="center"/>
      </w:pPr>
      <w:r>
        <w:rPr>
          <w:i/>
          <w:iCs/>
          <w:sz w:val="20"/>
          <w:szCs w:val="20"/>
        </w:rPr>
        <w:t xml:space="preserve">Figure 12 — PBS → Datastore → Content</w:t>
      </w:r>
    </w:p>
    <w:p>
      <w:pPr>
        <w:spacing w:after="200"/>
      </w:pPr>
      <w:r>
        <w:rPr>
          <w:b/>
          <w:bCs/>
        </w:rPr>
        <w:t xml:space="preserve">Commentaire : </w:t>
      </w:r>
      <w:r>
        <w:t xml:space="preserve">cette capture montre les sauvegardes présentes sur PBS.</w:t>
      </w:r>
    </w:p>
    <w:p>
      <w:pPr>
        <w:pStyle w:val="Heading3"/>
      </w:pPr>
      <w:r>
        <w:t xml:space="preserve">Réponses aux questions</w:t>
      </w:r>
    </w:p>
    <w:p>
      <w:pPr>
        <w:spacing w:after="120"/>
      </w:pPr>
      <w:r>
        <w:rPr>
          <w:b/>
          <w:bCs/>
        </w:rPr>
        <w:t xml:space="preserve">Q. </w:t>
      </w:r>
      <w:r>
        <w:t xml:space="preserve">La grille parle de « fin de semaine » et le guide de « vendredi 22 h » : quel horaire a été retenu et pourquoi ?</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Votre réponse.</w:t>
      </w:r>
    </w:p>
    <w:p>
      <w:pPr>
        <w:pStyle w:val="Heading2"/>
      </w:pPr>
      <w:bookmarkStart w:name="h12" w:id="13"/>
      <w:r>
        <w:t xml:space="preserve">Étape 7 — pfSense : routeur et pare-feu (VIR-QC-FW-01)</w:t>
      </w:r>
      <w:bookmarkEnd w:id="13"/>
    </w:p>
    <w:p>
      <w:pPr>
        <w:spacing w:after="120"/>
      </w:pPr>
      <w:r>
        <w:rPr>
          <w:b/>
          <w:bCs/>
        </w:rPr>
        <w:t xml:space="preserve">Objectif : </w:t>
      </w:r>
      <w:r>
        <w:t xml:space="preserve">installer le routeur pare-feu qui relie le réseau du siège (192.168.161.0/24) au réseau de l'école (10.70.0.0/16).</w:t>
      </w:r>
    </w:p>
    <w:p>
      <w:pPr>
        <w:pStyle w:val="Heading3"/>
      </w:pPr>
      <w:r>
        <w:t xml:space="preserve">Manipulation réalisée</w:t>
      </w:r>
    </w:p>
    <w:p>
      <w:pPr>
        <w:pStyle w:val="ListParagraph"/>
        <w:numPr>
          <w:ilvl w:val="0"/>
          <w:numId w:val="2"/>
        </w:numPr>
        <w:spacing w:after="60"/>
      </w:pPr>
      <w:r>
        <w:t xml:space="preserve">VM pfSense : 2 vCPU, 2 Go, deux cartes réseau (WAN sur vmbr0, LAN sur vmbr1), créée sans modèle.</w:t>
      </w:r>
    </w:p>
    <w:p>
      <w:pPr>
        <w:pStyle w:val="ListParagraph"/>
        <w:numPr>
          <w:ilvl w:val="0"/>
          <w:numId w:val="2"/>
        </w:numPr>
        <w:spacing w:after="60"/>
      </w:pPr>
      <w:r>
        <w:t xml:space="preserve">Assignation des interfaces : WAN en DHCP sur le réseau de l'école (10.70.x.x/16), LAN 192.168.161.1/24.</w:t>
      </w:r>
    </w:p>
    <w:p>
      <w:pPr>
        <w:pStyle w:val="ListParagraph"/>
        <w:numPr>
          <w:ilvl w:val="0"/>
          <w:numId w:val="2"/>
        </w:numPr>
        <w:spacing w:after="60"/>
      </w:pPr>
      <w:r>
        <w:t xml:space="preserve">Règles de pare-feu : le LAN est autorisé vers les services nécessaires, tout le reste est bloqué (refus par défaut).</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 Console pfSense, option 8 (Shell)</w:t>
      </w:r>
    </w:p>
    <w:p>
      <w:pPr>
        <w:shd w:fill="F2F2F2" w:color="auto" w:val="clear"/>
        <w:spacing w:after="0" w:line="260"/>
        <w:ind w:left="120" w:right="120"/>
      </w:pPr>
      <w:r>
        <w:rPr>
          <w:rFonts w:ascii="Consolas" w:cs="Consolas" w:eastAsia="Consolas" w:hAnsi="Consolas"/>
          <w:sz w:val="18"/>
          <w:szCs w:val="18"/>
        </w:rPr>
        <w:t xml:space="preserve">pfctl -si | head -3</w:t>
      </w:r>
    </w:p>
    <w:p>
      <w:pPr>
        <w:shd w:fill="F2F2F2" w:color="auto" w:val="clear"/>
        <w:spacing w:after="0" w:line="260"/>
        <w:ind w:left="120" w:right="120"/>
      </w:pPr>
      <w:r>
        <w:rPr>
          <w:rFonts w:ascii="Consolas" w:cs="Consolas" w:eastAsia="Consolas" w:hAnsi="Consolas"/>
          <w:sz w:val="18"/>
          <w:szCs w:val="18"/>
        </w:rPr>
        <w:t xml:space="preserve">netstat -rn | head -15</w:t>
      </w:r>
    </w:p>
    <w:p>
      <w:pPr>
        <w:shd w:fill="F2F2F2" w:color="auto" w:val="clear"/>
        <w:spacing w:after="160" w:line="260"/>
        <w:ind w:left="120" w:right="120"/>
      </w:pPr>
      <w:r>
        <w:rPr>
          <w:rFonts w:ascii="Consolas" w:cs="Consolas" w:eastAsia="Consolas" w:hAnsi="Consolas"/>
          <w:sz w:val="18"/>
          <w:szCs w:val="18"/>
        </w:rPr>
        <w:t xml:space="preserve">ping -c 3 8.8.8.8</w:t>
      </w:r>
    </w:p>
    <w:p>
      <w:pPr>
        <w:pStyle w:val="Heading3"/>
      </w:pPr>
      <w:r>
        <w:t xml:space="preserve">Réponse du système</w:t>
      </w:r>
    </w:p>
    <w:p>
      <w:pPr>
        <w:spacing w:after="120"/>
      </w:pPr>
      <w:r>
        <w:t xml:space="preserve">pfctl indique « Status: Enabled » ; la table de routage contient une route par défaut vers la passerelle du laboratoire et pfSense joint Internet.</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13 ici</w:t>
            </w:r>
          </w:p>
          <w:p>
            <w:pPr>
              <w:jc w:val="center"/>
            </w:pPr>
            <w:r>
              <w:rPr>
                <w:color w:val="808080"/>
                <w:sz w:val="20"/>
                <w:szCs w:val="20"/>
              </w:rPr>
              <w:t xml:space="preserve">Firewall → Rules (LAN et WAN)</w:t>
            </w:r>
          </w:p>
        </w:tc>
      </w:tr>
    </w:tbl>
    <w:p>
      <w:pPr>
        <w:spacing w:after="60" w:before="80"/>
        <w:jc w:val="center"/>
      </w:pPr>
      <w:r>
        <w:rPr>
          <w:i/>
          <w:iCs/>
          <w:sz w:val="20"/>
          <w:szCs w:val="20"/>
        </w:rPr>
        <w:t xml:space="preserve">Figure 13 — Firewall → Rules (LAN et WAN)</w:t>
      </w:r>
    </w:p>
    <w:p>
      <w:pPr>
        <w:spacing w:after="200"/>
      </w:pPr>
      <w:r>
        <w:rPr>
          <w:b/>
          <w:bCs/>
        </w:rPr>
        <w:t xml:space="preserve">Commentaire : </w:t>
      </w:r>
      <w:r>
        <w:t xml:space="preserve">cette capture montre les règles de filtrage en place.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14 ici</w:t>
            </w:r>
          </w:p>
          <w:p>
            <w:pPr>
              <w:jc w:val="center"/>
            </w:pPr>
            <w:r>
              <w:rPr>
                <w:color w:val="808080"/>
                <w:sz w:val="20"/>
                <w:szCs w:val="20"/>
              </w:rPr>
              <w:t xml:space="preserve">Console pfSense : pfctl -si</w:t>
            </w:r>
          </w:p>
        </w:tc>
      </w:tr>
    </w:tbl>
    <w:p>
      <w:pPr>
        <w:spacing w:after="60" w:before="80"/>
        <w:jc w:val="center"/>
      </w:pPr>
      <w:r>
        <w:rPr>
          <w:i/>
          <w:iCs/>
          <w:sz w:val="20"/>
          <w:szCs w:val="20"/>
        </w:rPr>
        <w:t xml:space="preserve">Figure 14 — Console pfSense : pfctl -si</w:t>
      </w:r>
    </w:p>
    <w:p>
      <w:pPr>
        <w:spacing w:after="200"/>
      </w:pPr>
      <w:r>
        <w:rPr>
          <w:b/>
          <w:bCs/>
        </w:rPr>
        <w:t xml:space="preserve">Commentaire : </w:t>
      </w:r>
      <w:r>
        <w:t xml:space="preserve">cette capture montre que le pare-feu est actif.</w:t>
      </w:r>
    </w:p>
    <w:p>
      <w:pPr>
        <w:pStyle w:val="Heading2"/>
      </w:pPr>
      <w:bookmarkStart w:name="h13" w:id="14"/>
      <w:r>
        <w:t xml:space="preserve">Étape 8 — Service DHCP</w:t>
      </w:r>
      <w:bookmarkEnd w:id="14"/>
    </w:p>
    <w:p>
      <w:pPr>
        <w:spacing w:after="120"/>
      </w:pPr>
      <w:r>
        <w:rPr>
          <w:b/>
          <w:bCs/>
        </w:rPr>
        <w:t xml:space="preserve">Objectif : </w:t>
      </w:r>
      <w:r>
        <w:t xml:space="preserve">distribuer automatiquement les adresses aux postes clients.</w:t>
      </w:r>
    </w:p>
    <w:p>
      <w:pPr>
        <w:pStyle w:val="Heading3"/>
      </w:pPr>
      <w:r>
        <w:t xml:space="preserve">Manipulation réalisée</w:t>
      </w:r>
    </w:p>
    <w:p>
      <w:pPr>
        <w:pStyle w:val="ListParagraph"/>
        <w:numPr>
          <w:ilvl w:val="0"/>
          <w:numId w:val="2"/>
        </w:numPr>
        <w:spacing w:after="60"/>
      </w:pPr>
      <w:r>
        <w:t xml:space="preserve">Services → DHCP Server → LAN : plage 192.168.161.50 à 192.168.161.200, passerelle 192.168.161.1, DNS 192.168.161.10 (VIR-QC-DC-01).</w:t>
      </w:r>
    </w:p>
    <w:p>
      <w:pPr>
        <w:pStyle w:val="ListParagraph"/>
        <w:numPr>
          <w:ilvl w:val="0"/>
          <w:numId w:val="2"/>
        </w:numPr>
        <w:spacing w:after="60"/>
      </w:pPr>
      <w:r>
        <w:t xml:space="preserve">Les serveurs gardent une adresse fixe (192.168.161.10 à .16) hors de la plage.</w:t>
      </w:r>
    </w:p>
    <w:p>
      <w:pPr>
        <w:pStyle w:val="ListParagraph"/>
        <w:numPr>
          <w:ilvl w:val="0"/>
          <w:numId w:val="2"/>
        </w:numPr>
        <w:spacing w:after="60"/>
      </w:pPr>
      <w:r>
        <w:t xml:space="preserve">Test depuis le poste VIR-QC-WS-01 (Windows 11) sur vmbr1.</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ipconfig /release</w:t>
      </w:r>
    </w:p>
    <w:p>
      <w:pPr>
        <w:shd w:fill="F2F2F2" w:color="auto" w:val="clear"/>
        <w:spacing w:after="0" w:line="260"/>
        <w:ind w:left="120" w:right="120"/>
      </w:pPr>
      <w:r>
        <w:rPr>
          <w:rFonts w:ascii="Consolas" w:cs="Consolas" w:eastAsia="Consolas" w:hAnsi="Consolas"/>
          <w:sz w:val="18"/>
          <w:szCs w:val="18"/>
        </w:rPr>
        <w:t xml:space="preserve">ipconfig /renew</w:t>
      </w:r>
    </w:p>
    <w:p>
      <w:pPr>
        <w:shd w:fill="F2F2F2" w:color="auto" w:val="clear"/>
        <w:spacing w:after="0" w:line="260"/>
        <w:ind w:left="120" w:right="120"/>
      </w:pPr>
      <w:r>
        <w:rPr>
          <w:rFonts w:ascii="Consolas" w:cs="Consolas" w:eastAsia="Consolas" w:hAnsi="Consolas"/>
          <w:sz w:val="18"/>
          <w:szCs w:val="18"/>
        </w:rPr>
        <w:t xml:space="preserve">ipconfig /all</w:t>
      </w:r>
    </w:p>
    <w:p>
      <w:pPr>
        <w:shd w:fill="F2F2F2" w:color="auto" w:val="clear"/>
        <w:spacing w:after="0" w:line="260"/>
        <w:ind w:left="120" w:right="120"/>
      </w:pPr>
      <w:r>
        <w:rPr>
          <w:rFonts w:ascii="Consolas" w:cs="Consolas" w:eastAsia="Consolas" w:hAnsi="Consolas"/>
          <w:sz w:val="18"/>
          <w:szCs w:val="18"/>
        </w:rPr>
        <w:t xml:space="preserve">tracert 8.8.8.8</w:t>
      </w:r>
    </w:p>
    <w:p>
      <w:pPr>
        <w:shd w:fill="F2F2F2" w:color="auto" w:val="clear"/>
        <w:spacing w:after="160" w:line="260"/>
        <w:ind w:left="120" w:right="120"/>
      </w:pPr>
      <w:r>
        <w:rPr>
          <w:rFonts w:ascii="Consolas" w:cs="Consolas" w:eastAsia="Consolas" w:hAnsi="Consolas"/>
          <w:sz w:val="18"/>
          <w:szCs w:val="18"/>
        </w:rPr>
        <w:t xml:space="preserve">net config workstation</w:t>
      </w:r>
    </w:p>
    <w:p>
      <w:pPr>
        <w:pStyle w:val="Heading3"/>
      </w:pPr>
      <w:r>
        <w:t xml:space="preserve">Réponse du système</w:t>
      </w:r>
    </w:p>
    <w:p>
      <w:pPr>
        <w:spacing w:after="120"/>
      </w:pPr>
      <w:r>
        <w:t xml:space="preserve">Le poste obtient une adresse entre 192.168.161.50 et .200 (par exemple 192.168.161.50), le serveur DHCP indiqué est 192.168.161.1 (pfSense) et tracert montre pfSense comme premier saut.</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15 ici</w:t>
            </w:r>
          </w:p>
          <w:p>
            <w:pPr>
              <w:jc w:val="center"/>
            </w:pPr>
            <w:r>
              <w:rPr>
                <w:color w:val="808080"/>
                <w:sz w:val="20"/>
                <w:szCs w:val="20"/>
              </w:rPr>
              <w:t xml:space="preserve">ipconfig /all sur la VM Windows</w:t>
            </w:r>
          </w:p>
        </w:tc>
      </w:tr>
    </w:tbl>
    <w:p>
      <w:pPr>
        <w:spacing w:after="60" w:before="80"/>
        <w:jc w:val="center"/>
      </w:pPr>
      <w:r>
        <w:rPr>
          <w:i/>
          <w:iCs/>
          <w:sz w:val="20"/>
          <w:szCs w:val="20"/>
        </w:rPr>
        <w:t xml:space="preserve">Figure 15 — ipconfig /all sur la VM Windows</w:t>
      </w:r>
    </w:p>
    <w:p>
      <w:pPr>
        <w:spacing w:after="200"/>
      </w:pPr>
      <w:r>
        <w:rPr>
          <w:b/>
          <w:bCs/>
        </w:rPr>
        <w:t xml:space="preserve">Commentaire : </w:t>
      </w:r>
      <w:r>
        <w:t xml:space="preserve">cette capture montre une adresse obtenue par DHCP auprès de pfSense.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16 ici</w:t>
            </w:r>
          </w:p>
          <w:p>
            <w:pPr>
              <w:jc w:val="center"/>
            </w:pPr>
            <w:r>
              <w:rPr>
                <w:color w:val="808080"/>
                <w:sz w:val="20"/>
                <w:szCs w:val="20"/>
              </w:rPr>
              <w:t xml:space="preserve">Status → DHCP Leases</w:t>
            </w:r>
          </w:p>
        </w:tc>
      </w:tr>
    </w:tbl>
    <w:p>
      <w:pPr>
        <w:spacing w:after="60" w:before="80"/>
        <w:jc w:val="center"/>
      </w:pPr>
      <w:r>
        <w:rPr>
          <w:i/>
          <w:iCs/>
          <w:sz w:val="20"/>
          <w:szCs w:val="20"/>
        </w:rPr>
        <w:t xml:space="preserve">Figure 16 — Status → DHCP Leases</w:t>
      </w:r>
    </w:p>
    <w:p>
      <w:pPr>
        <w:spacing w:after="200"/>
      </w:pPr>
      <w:r>
        <w:rPr>
          <w:b/>
          <w:bCs/>
        </w:rPr>
        <w:t xml:space="preserve">Commentaire : </w:t>
      </w:r>
      <w:r>
        <w:t xml:space="preserve">cette capture montre le bail attribué au poste.</w:t>
      </w:r>
    </w:p>
    <w:p>
      <w:pPr>
        <w:pStyle w:val="Heading2"/>
      </w:pPr>
      <w:bookmarkStart w:name="h14" w:id="15"/>
      <w:r>
        <w:t xml:space="preserve">Étape 9 — VPN entre le siège et les succursales</w:t>
      </w:r>
      <w:bookmarkEnd w:id="15"/>
    </w:p>
    <w:p>
      <w:pPr>
        <w:spacing w:after="120"/>
      </w:pPr>
      <w:r>
        <w:rPr>
          <w:b/>
          <w:bCs/>
        </w:rPr>
        <w:t xml:space="preserve">Objectif : </w:t>
      </w:r>
      <w:r>
        <w:t xml:space="preserve">relier les réseaux des succursales au siège par des tunnels IPsec site à site : Montréal (192.168.162.0/24, partiellement déployée), Sherbrooke (192.168.163.0/24) et Trois-Rivières (192.168.164.0/24), planifiées.</w:t>
      </w:r>
    </w:p>
    <w:p>
      <w:pPr>
        <w:pStyle w:val="Heading3"/>
      </w:pPr>
      <w:r>
        <w:t xml:space="preserve">Manipulation réalisée</w:t>
      </w:r>
    </w:p>
    <w:p>
      <w:pPr>
        <w:pStyle w:val="ListParagraph"/>
        <w:numPr>
          <w:ilvl w:val="0"/>
          <w:numId w:val="2"/>
        </w:numPr>
        <w:spacing w:after="60"/>
      </w:pPr>
      <w:r>
        <w:t xml:space="preserve">VPN → IPsec : une phase 1 par succursale (pair = WAN du pfSense distant : VIR-MTL-FW-01, VIR-SHE-FW-01, VIR-TR-FW-01).</w:t>
      </w:r>
    </w:p>
    <w:p>
      <w:pPr>
        <w:pStyle w:val="ListParagraph"/>
        <w:numPr>
          <w:ilvl w:val="0"/>
          <w:numId w:val="2"/>
        </w:numPr>
        <w:spacing w:after="60"/>
      </w:pPr>
      <w:r>
        <w:t xml:space="preserve">Phase 2 : réseau local 192.168.161.0/24 vers le LAN de la succursale.</w:t>
      </w:r>
    </w:p>
    <w:p>
      <w:pPr>
        <w:pStyle w:val="ListParagraph"/>
        <w:numPr>
          <w:ilvl w:val="0"/>
          <w:numId w:val="2"/>
        </w:numPr>
        <w:spacing w:after="60"/>
      </w:pPr>
      <w:r>
        <w:t xml:space="preserve">Firewall → Rules → IPsec : autoriser le trafic entre les sites.</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 Depuis un poste du siège</w:t>
      </w:r>
    </w:p>
    <w:p>
      <w:pPr>
        <w:shd w:fill="F2F2F2" w:color="auto" w:val="clear"/>
        <w:spacing w:after="0" w:line="260"/>
        <w:ind w:left="120" w:right="120"/>
      </w:pPr>
      <w:r>
        <w:rPr>
          <w:rFonts w:ascii="Consolas" w:cs="Consolas" w:eastAsia="Consolas" w:hAnsi="Consolas"/>
          <w:sz w:val="18"/>
          <w:szCs w:val="18"/>
        </w:rPr>
        <w:t xml:space="preserve">ping 192.168.162.1        # pfSense de Montréal</w:t>
      </w:r>
    </w:p>
    <w:p>
      <w:pPr>
        <w:shd w:fill="F2F2F2" w:color="auto" w:val="clear"/>
        <w:spacing w:after="0" w:line="260"/>
        <w:ind w:left="120" w:right="120"/>
      </w:pPr>
      <w:r>
        <w:rPr>
          <w:rFonts w:ascii="Consolas" w:cs="Consolas" w:eastAsia="Consolas" w:hAnsi="Consolas"/>
          <w:sz w:val="18"/>
          <w:szCs w:val="18"/>
        </w:rPr>
        <w:t xml:space="preserve">ping 192.168.162.10       # VIR-MTL-DC-01</w:t>
      </w:r>
    </w:p>
    <w:p>
      <w:pPr>
        <w:shd w:fill="F2F2F2" w:color="auto" w:val="clear"/>
        <w:spacing w:after="160" w:line="260"/>
        <w:ind w:left="120" w:right="120"/>
      </w:pPr>
      <w:r>
        <w:rPr>
          <w:rFonts w:ascii="Consolas" w:cs="Consolas" w:eastAsia="Consolas" w:hAnsi="Consolas"/>
          <w:sz w:val="18"/>
          <w:szCs w:val="18"/>
        </w:rPr>
        <w:t xml:space="preserve">tracert 192.168.162.10</w:t>
      </w:r>
    </w:p>
    <w:p>
      <w:pPr>
        <w:pStyle w:val="Heading3"/>
      </w:pPr>
      <w:r>
        <w:t xml:space="preserve">Réponse du système</w:t>
      </w:r>
    </w:p>
    <w:p>
      <w:pPr>
        <w:spacing w:after="120"/>
      </w:pPr>
      <w:r>
        <w:t xml:space="preserve">Le tunnel vers Montréal est « ESTABLISHED » dans Status → IPsec et les hôtes de la succursale répondent à travers le tunnel. Les tunnels de Sherbrooke et Trois-Rivières sont configurés en prévision de leur déploiement.</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17 ici</w:t>
            </w:r>
          </w:p>
          <w:p>
            <w:pPr>
              <w:jc w:val="center"/>
            </w:pPr>
            <w:r>
              <w:rPr>
                <w:color w:val="808080"/>
                <w:sz w:val="20"/>
                <w:szCs w:val="20"/>
              </w:rPr>
              <w:t xml:space="preserve">Status → IPsec</w:t>
            </w:r>
          </w:p>
        </w:tc>
      </w:tr>
    </w:tbl>
    <w:p>
      <w:pPr>
        <w:spacing w:after="60" w:before="80"/>
        <w:jc w:val="center"/>
      </w:pPr>
      <w:r>
        <w:rPr>
          <w:i/>
          <w:iCs/>
          <w:sz w:val="20"/>
          <w:szCs w:val="20"/>
        </w:rPr>
        <w:t xml:space="preserve">Figure 17 — Status → IPsec</w:t>
      </w:r>
    </w:p>
    <w:p>
      <w:pPr>
        <w:spacing w:after="200"/>
      </w:pPr>
      <w:r>
        <w:rPr>
          <w:b/>
          <w:bCs/>
        </w:rPr>
        <w:t xml:space="preserve">Commentaire : </w:t>
      </w:r>
      <w:r>
        <w:t xml:space="preserve">cette capture montre les tunnels établis vers les succursales.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18 ici</w:t>
            </w:r>
          </w:p>
          <w:p>
            <w:pPr>
              <w:jc w:val="center"/>
            </w:pPr>
            <w:r>
              <w:rPr>
                <w:color w:val="808080"/>
                <w:sz w:val="20"/>
                <w:szCs w:val="20"/>
              </w:rPr>
              <w:t xml:space="preserve">Ping à travers le tunnel</w:t>
            </w:r>
          </w:p>
        </w:tc>
      </w:tr>
    </w:tbl>
    <w:p>
      <w:pPr>
        <w:spacing w:after="60" w:before="80"/>
        <w:jc w:val="center"/>
      </w:pPr>
      <w:r>
        <w:rPr>
          <w:i/>
          <w:iCs/>
          <w:sz w:val="20"/>
          <w:szCs w:val="20"/>
        </w:rPr>
        <w:t xml:space="preserve">Figure 18 — Ping à travers le tunnel</w:t>
      </w:r>
    </w:p>
    <w:p>
      <w:pPr>
        <w:spacing w:after="200"/>
      </w:pPr>
      <w:r>
        <w:rPr>
          <w:b/>
          <w:bCs/>
        </w:rPr>
        <w:t xml:space="preserve">Commentaire : </w:t>
      </w:r>
      <w:r>
        <w:t xml:space="preserve">cette capture montre que le trafic passe entre les sites.</w:t>
      </w:r>
    </w:p>
    <w:p>
      <w:pPr>
        <w:pStyle w:val="Heading1"/>
        <w:pageBreakBefore/>
      </w:pPr>
      <w:bookmarkStart w:name="h15" w:id="16"/>
      <w:r>
        <w:t xml:space="preserve">4. Démonstration 2 — Active Directory, GPO, partages et DNS</w:t>
      </w:r>
      <w:bookmarkEnd w:id="16"/>
    </w:p>
    <w:p>
      <w:pPr>
        <w:spacing w:after="120"/>
      </w:pPr>
      <w:r>
        <w:rPr>
          <w:b/>
          <w:bCs/>
        </w:rPr>
        <w:t xml:space="preserve">Date de la démonstration : </w:t>
      </w:r>
      <w:r>
        <w:t xml:space="preserve">30 septembre 2026</w:t>
      </w:r>
    </w:p>
    <w:p>
      <w:pPr>
        <w:spacing w:after="120"/>
      </w:pPr>
      <w:r>
        <w:t xml:space="preserve">Cette démonstration met en place l'annuaire de l'entreprise, ses 200 comptes, les stratégies de groupe, les partages de fichiers et le service DNS.</w:t>
      </w:r>
    </w:p>
    <w:p>
      <w:pPr>
        <w:pStyle w:val="Heading2"/>
      </w:pPr>
      <w:bookmarkStart w:name="h16" w:id="17"/>
      <w:r>
        <w:t xml:space="preserve">Étape 10 — Contrôleur de domaine principal (VIR-QC-DC-01)</w:t>
      </w:r>
      <w:bookmarkEnd w:id="17"/>
    </w:p>
    <w:p>
      <w:pPr>
        <w:spacing w:after="120"/>
      </w:pPr>
      <w:r>
        <w:rPr>
          <w:b/>
          <w:bCs/>
        </w:rPr>
        <w:t xml:space="preserve">Objectif : </w:t>
      </w:r>
      <w:r>
        <w:t xml:space="preserve">créer la forêt equipe4.lan sur un serveur Windows Server 2022.</w:t>
      </w:r>
    </w:p>
    <w:p>
      <w:pPr>
        <w:pStyle w:val="Heading3"/>
      </w:pPr>
      <w:r>
        <w:t xml:space="preserve">Manipulation réalisée</w:t>
      </w:r>
    </w:p>
    <w:p>
      <w:pPr>
        <w:pStyle w:val="ListParagraph"/>
        <w:numPr>
          <w:ilvl w:val="0"/>
          <w:numId w:val="2"/>
        </w:numPr>
        <w:spacing w:after="60"/>
      </w:pPr>
      <w:r>
        <w:t xml:space="preserve">Clone de TPL-WS2022, adresse 192.168.161.10, nom VIR-QC-DC-01.</w:t>
      </w:r>
    </w:p>
    <w:p>
      <w:pPr>
        <w:pStyle w:val="ListParagraph"/>
        <w:numPr>
          <w:ilvl w:val="0"/>
          <w:numId w:val="2"/>
        </w:numPr>
        <w:spacing w:after="60"/>
      </w:pPr>
      <w:r>
        <w:t xml:space="preserve">Installation des rôles AD DS et DNS, promotion en contrôleur de domaine d'une nouvelle forêt.</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Install-WindowsFeature AD-Domain-Services,DNS -IncludeManagementTools</w:t>
      </w:r>
    </w:p>
    <w:p>
      <w:pPr>
        <w:shd w:fill="F2F2F2" w:color="auto" w:val="clear"/>
        <w:spacing w:after="0" w:line="260"/>
        <w:ind w:left="120" w:right="120"/>
      </w:pPr>
      <w:r>
        <w:rPr>
          <w:rFonts w:ascii="Consolas" w:cs="Consolas" w:eastAsia="Consolas" w:hAnsi="Consolas"/>
          <w:sz w:val="18"/>
          <w:szCs w:val="18"/>
        </w:rPr>
        <w:t xml:space="preserve">Install-ADDSForest -DomainName equipe4.lan -DomainNetbiosName EQUIPE4 -InstallDNS</w:t>
      </w:r>
    </w:p>
    <w:p>
      <w:pPr>
        <w:shd w:fill="F2F2F2" w:color="auto" w:val="clear"/>
        <w:spacing w:after="160" w:line="260"/>
        <w:ind w:left="120" w:right="120"/>
      </w:pPr>
      <w:r>
        <w:rPr>
          <w:rFonts w:ascii="Consolas" w:cs="Consolas" w:eastAsia="Consolas" w:hAnsi="Consolas"/>
          <w:sz w:val="18"/>
          <w:szCs w:val="18"/>
        </w:rPr>
        <w:t xml:space="preserve">Get-ADDomain | Format-List DNSRoot,NetBIOSName</w:t>
      </w:r>
    </w:p>
    <w:p>
      <w:pPr>
        <w:pStyle w:val="Heading3"/>
      </w:pPr>
      <w:r>
        <w:t xml:space="preserve">Réponse du système</w:t>
      </w:r>
    </w:p>
    <w:p>
      <w:pPr>
        <w:spacing w:after="120"/>
      </w:pPr>
      <w:r>
        <w:t xml:space="preserve">Get-ADDomain affiche le domaine equipe4.lan et le nom NetBIOS EQUIPE4.</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19 ici</w:t>
            </w:r>
          </w:p>
          <w:p>
            <w:pPr>
              <w:jc w:val="center"/>
            </w:pPr>
            <w:r>
              <w:rPr>
                <w:color w:val="808080"/>
                <w:sz w:val="20"/>
                <w:szCs w:val="20"/>
              </w:rPr>
              <w:t xml:space="preserve">Get-ADDomain</w:t>
            </w:r>
          </w:p>
        </w:tc>
      </w:tr>
    </w:tbl>
    <w:p>
      <w:pPr>
        <w:spacing w:after="60" w:before="80"/>
        <w:jc w:val="center"/>
      </w:pPr>
      <w:r>
        <w:rPr>
          <w:i/>
          <w:iCs/>
          <w:sz w:val="20"/>
          <w:szCs w:val="20"/>
        </w:rPr>
        <w:t xml:space="preserve">Figure 19 — Get-ADDomain</w:t>
      </w:r>
    </w:p>
    <w:p>
      <w:pPr>
        <w:spacing w:after="200"/>
      </w:pPr>
      <w:r>
        <w:rPr>
          <w:b/>
          <w:bCs/>
        </w:rPr>
        <w:t xml:space="preserve">Commentaire : </w:t>
      </w:r>
      <w:r>
        <w:t xml:space="preserve">cette capture montre que la forêt equipe4.lan est créée.</w:t>
      </w:r>
    </w:p>
    <w:p>
      <w:pPr>
        <w:pStyle w:val="Heading2"/>
      </w:pPr>
      <w:bookmarkStart w:name="h17" w:id="18"/>
      <w:r>
        <w:t xml:space="preserve">Étape 11 — Contrôleurs en lecture seule des succursales (RODC)</w:t>
      </w:r>
      <w:bookmarkEnd w:id="18"/>
    </w:p>
    <w:p>
      <w:pPr>
        <w:spacing w:after="120"/>
      </w:pPr>
      <w:r>
        <w:rPr>
          <w:b/>
          <w:bCs/>
        </w:rPr>
        <w:t xml:space="preserve">Objectif : </w:t>
      </w:r>
      <w:r>
        <w:t xml:space="preserve">placer dans chaque succursale un contrôleur de domaine en lecture seule.</w:t>
      </w:r>
    </w:p>
    <w:p>
      <w:pPr>
        <w:pStyle w:val="Heading3"/>
      </w:pPr>
      <w:r>
        <w:t xml:space="preserve">Manipulation réalisée</w:t>
      </w:r>
    </w:p>
    <w:p>
      <w:pPr>
        <w:pStyle w:val="ListParagraph"/>
        <w:numPr>
          <w:ilvl w:val="0"/>
          <w:numId w:val="2"/>
        </w:numPr>
        <w:spacing w:after="60"/>
      </w:pPr>
      <w:r>
        <w:t xml:space="preserve">Jonction du serveur de la succursale au domaine.</w:t>
      </w:r>
    </w:p>
    <w:p>
      <w:pPr>
        <w:pStyle w:val="ListParagraph"/>
        <w:numPr>
          <w:ilvl w:val="0"/>
          <w:numId w:val="2"/>
        </w:numPr>
        <w:spacing w:after="60"/>
      </w:pPr>
      <w:r>
        <w:t xml:space="preserve">Promotion en RODC dans le site correspondant (Montréal, Sherbrooke, Trois-Rivières).</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Install-ADDSDomainController -DomainName equipe4.lan -ReadOnlyReplica -SiteName Montreal -InstallDNS -Credential (Get-Credential)</w:t>
      </w:r>
    </w:p>
    <w:p>
      <w:pPr>
        <w:shd w:fill="F2F2F2" w:color="auto" w:val="clear"/>
        <w:spacing w:after="0" w:line="260"/>
        <w:ind w:left="120" w:right="120"/>
      </w:pPr>
      <w:r>
        <w:rPr>
          <w:rFonts w:ascii="Consolas" w:cs="Consolas" w:eastAsia="Consolas" w:hAnsi="Consolas"/>
          <w:sz w:val="18"/>
          <w:szCs w:val="18"/>
        </w:rPr>
        <w:t xml:space="preserve">Get-ADDomainController -Filter * | Format-Table Name,Site,IsReadOnly,IPv4Address</w:t>
      </w:r>
    </w:p>
    <w:p>
      <w:pPr>
        <w:shd w:fill="F2F2F2" w:color="auto" w:val="clear"/>
        <w:spacing w:after="160" w:line="260"/>
        <w:ind w:left="120" w:right="120"/>
      </w:pPr>
      <w:r>
        <w:rPr>
          <w:rFonts w:ascii="Consolas" w:cs="Consolas" w:eastAsia="Consolas" w:hAnsi="Consolas"/>
          <w:sz w:val="18"/>
          <w:szCs w:val="18"/>
        </w:rPr>
        <w:t xml:space="preserve">repadmin /replsummary</w:t>
      </w:r>
    </w:p>
    <w:p>
      <w:pPr>
        <w:pStyle w:val="Heading3"/>
      </w:pPr>
      <w:r>
        <w:t xml:space="preserve">Réponse du système</w:t>
      </w:r>
    </w:p>
    <w:p>
      <w:pPr>
        <w:spacing w:after="120"/>
      </w:pPr>
      <w:r>
        <w:t xml:space="preserve">La liste des contrôleurs montre le RWDC du siège et le ou les RODC avec IsReadOnly = True ; repadmin ne signale aucune erreur de réplication.</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20 ici</w:t>
            </w:r>
          </w:p>
          <w:p>
            <w:pPr>
              <w:jc w:val="center"/>
            </w:pPr>
            <w:r>
              <w:rPr>
                <w:color w:val="808080"/>
                <w:sz w:val="20"/>
                <w:szCs w:val="20"/>
              </w:rPr>
              <w:t xml:space="preserve">Get-ADDomainController</w:t>
            </w:r>
          </w:p>
        </w:tc>
      </w:tr>
    </w:tbl>
    <w:p>
      <w:pPr>
        <w:spacing w:after="60" w:before="80"/>
        <w:jc w:val="center"/>
      </w:pPr>
      <w:r>
        <w:rPr>
          <w:i/>
          <w:iCs/>
          <w:sz w:val="20"/>
          <w:szCs w:val="20"/>
        </w:rPr>
        <w:t xml:space="preserve">Figure 20 — Get-ADDomainController</w:t>
      </w:r>
    </w:p>
    <w:p>
      <w:pPr>
        <w:spacing w:after="200"/>
      </w:pPr>
      <w:r>
        <w:rPr>
          <w:b/>
          <w:bCs/>
        </w:rPr>
        <w:t xml:space="preserve">Commentaire : </w:t>
      </w:r>
      <w:r>
        <w:t xml:space="preserve">cette capture montre le contrôleur principal et les RODC.</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21 ici</w:t>
            </w:r>
          </w:p>
          <w:p>
            <w:pPr>
              <w:jc w:val="center"/>
            </w:pPr>
            <w:r>
              <w:rPr>
                <w:color w:val="808080"/>
                <w:sz w:val="20"/>
                <w:szCs w:val="20"/>
              </w:rPr>
              <w:t xml:space="preserve">repadmin /replsummary</w:t>
            </w:r>
          </w:p>
        </w:tc>
      </w:tr>
    </w:tbl>
    <w:p>
      <w:pPr>
        <w:spacing w:after="60" w:before="80"/>
        <w:jc w:val="center"/>
      </w:pPr>
      <w:r>
        <w:rPr>
          <w:i/>
          <w:iCs/>
          <w:sz w:val="20"/>
          <w:szCs w:val="20"/>
        </w:rPr>
        <w:t xml:space="preserve">Figure 21 — repadmin /replsummary</w:t>
      </w:r>
    </w:p>
    <w:p>
      <w:pPr>
        <w:spacing w:after="200"/>
      </w:pPr>
      <w:r>
        <w:rPr>
          <w:b/>
          <w:bCs/>
        </w:rPr>
        <w:t xml:space="preserve">Commentaire : </w:t>
      </w:r>
      <w:r>
        <w:t xml:space="preserve">cette capture montre que la réplication fonctionne.</w:t>
      </w:r>
    </w:p>
    <w:p>
      <w:pPr>
        <w:pStyle w:val="Heading2"/>
      </w:pPr>
      <w:bookmarkStart w:name="h18" w:id="19"/>
      <w:r>
        <w:t xml:space="preserve">Étape 12 — Création des utilisateurs et des groupes</w:t>
      </w:r>
      <w:bookmarkEnd w:id="19"/>
    </w:p>
    <w:p>
      <w:pPr>
        <w:spacing w:after="120"/>
      </w:pPr>
      <w:r>
        <w:rPr>
          <w:b/>
          <w:bCs/>
        </w:rPr>
        <w:t xml:space="preserve">Objectif : </w:t>
      </w:r>
      <w:r>
        <w:t xml:space="preserve">créer les 200 employés, une OU et un groupe par département avec le script fourni.</w:t>
      </w:r>
    </w:p>
    <w:p>
      <w:pPr>
        <w:pStyle w:val="Heading3"/>
      </w:pPr>
      <w:r>
        <w:t xml:space="preserve">Manipulation réalisée</w:t>
      </w:r>
    </w:p>
    <w:p>
      <w:pPr>
        <w:pStyle w:val="ListParagraph"/>
        <w:numPr>
          <w:ilvl w:val="0"/>
          <w:numId w:val="2"/>
        </w:numPr>
        <w:spacing w:after="60"/>
      </w:pPr>
      <w:r>
        <w:t xml:space="preserve">Copie de Utilisateurs.csv sur le contrôleur de domaine.</w:t>
      </w:r>
    </w:p>
    <w:p>
      <w:pPr>
        <w:pStyle w:val="ListParagraph"/>
        <w:numPr>
          <w:ilvl w:val="0"/>
          <w:numId w:val="2"/>
        </w:numPr>
        <w:spacing w:after="60"/>
      </w:pPr>
      <w:r>
        <w:t xml:space="preserve">Exécution du script Creer-Utilisateurs-AD.ps1.</w:t>
      </w:r>
    </w:p>
    <w:p>
      <w:pPr>
        <w:pStyle w:val="ListParagraph"/>
        <w:numPr>
          <w:ilvl w:val="0"/>
          <w:numId w:val="2"/>
        </w:numPr>
        <w:spacing w:after="60"/>
      </w:pPr>
      <w:r>
        <w:t xml:space="preserve">Le groupe Informatique est ajouté aux administrateurs du domaine.</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.\Creer-Utilisateurs-AD.ps1 -CsvPath .\Utilisateurs.csv -Domain equipe4.lan</w:t>
      </w:r>
    </w:p>
    <w:p>
      <w:pPr>
        <w:shd w:fill="F2F2F2" w:color="auto" w:val="clear"/>
        <w:spacing w:after="0" w:line="260"/>
        <w:ind w:left="120" w:right="120"/>
      </w:pPr>
      <w:r>
        <w:rPr>
          <w:rFonts w:ascii="Consolas" w:cs="Consolas" w:eastAsia="Consolas" w:hAnsi="Consolas"/>
          <w:sz w:val="18"/>
          <w:szCs w:val="18"/>
        </w:rPr>
        <w:t xml:space="preserve">(Get-ADUser -Filter *).Count</w:t>
      </w:r>
    </w:p>
    <w:p>
      <w:pPr>
        <w:shd w:fill="F2F2F2" w:color="auto" w:val="clear"/>
        <w:spacing w:after="0" w:line="260"/>
        <w:ind w:left="120" w:right="120"/>
      </w:pPr>
      <w:r>
        <w:rPr>
          <w:rFonts w:ascii="Consolas" w:cs="Consolas" w:eastAsia="Consolas" w:hAnsi="Consolas"/>
          <w:sz w:val="18"/>
          <w:szCs w:val="18"/>
        </w:rPr>
        <w:t xml:space="preserve">Get-ADOrganizationalUnit -Filter * | Format-Table Name</w:t>
      </w:r>
    </w:p>
    <w:p>
      <w:pPr>
        <w:shd w:fill="F2F2F2" w:color="auto" w:val="clear"/>
        <w:spacing w:after="160" w:line="260"/>
        <w:ind w:left="120" w:right="120"/>
      </w:pPr>
      <w:r>
        <w:rPr>
          <w:rFonts w:ascii="Consolas" w:cs="Consolas" w:eastAsia="Consolas" w:hAnsi="Consolas"/>
          <w:sz w:val="18"/>
          <w:szCs w:val="18"/>
        </w:rPr>
        <w:t xml:space="preserve">Get-ADGroupMember "Admins du domaine" | Format-Table Name</w:t>
      </w:r>
    </w:p>
    <w:p>
      <w:pPr>
        <w:pStyle w:val="Heading3"/>
      </w:pPr>
      <w:r>
        <w:t xml:space="preserve">Réponse du système</w:t>
      </w:r>
    </w:p>
    <w:p>
      <w:pPr>
        <w:spacing w:after="120"/>
      </w:pPr>
      <w:r>
        <w:t xml:space="preserve">Le décompte des comptes correspond au fichier CSV ; chaque département possède son OU et son groupe ; Informatique figure parmi les administrateurs du domaine.</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22 ici</w:t>
            </w:r>
          </w:p>
          <w:p>
            <w:pPr>
              <w:jc w:val="center"/>
            </w:pPr>
            <w:r>
              <w:rPr>
                <w:color w:val="808080"/>
                <w:sz w:val="20"/>
                <w:szCs w:val="20"/>
              </w:rPr>
              <w:t xml:space="preserve">Sortie du script de création</w:t>
            </w:r>
          </w:p>
        </w:tc>
      </w:tr>
    </w:tbl>
    <w:p>
      <w:pPr>
        <w:spacing w:after="60" w:before="80"/>
        <w:jc w:val="center"/>
      </w:pPr>
      <w:r>
        <w:rPr>
          <w:i/>
          <w:iCs/>
          <w:sz w:val="20"/>
          <w:szCs w:val="20"/>
        </w:rPr>
        <w:t xml:space="preserve">Figure 22 — Sortie du script de création</w:t>
      </w:r>
    </w:p>
    <w:p>
      <w:pPr>
        <w:spacing w:after="200"/>
      </w:pPr>
      <w:r>
        <w:rPr>
          <w:b/>
          <w:bCs/>
        </w:rPr>
        <w:t xml:space="preserve">Commentaire : </w:t>
      </w:r>
      <w:r>
        <w:t xml:space="preserve">cette capture montre la création des comptes sans erreur.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23 ici</w:t>
            </w:r>
          </w:p>
          <w:p>
            <w:pPr>
              <w:jc w:val="center"/>
            </w:pPr>
            <w:r>
              <w:rPr>
                <w:color w:val="808080"/>
                <w:sz w:val="20"/>
                <w:szCs w:val="20"/>
              </w:rPr>
              <w:t xml:space="preserve">Utilisateurs et ordinateurs Active Directory</w:t>
            </w:r>
          </w:p>
        </w:tc>
      </w:tr>
    </w:tbl>
    <w:p>
      <w:pPr>
        <w:spacing w:after="60" w:before="80"/>
        <w:jc w:val="center"/>
      </w:pPr>
      <w:r>
        <w:rPr>
          <w:i/>
          <w:iCs/>
          <w:sz w:val="20"/>
          <w:szCs w:val="20"/>
        </w:rPr>
        <w:t xml:space="preserve">Figure 23 — Utilisateurs et ordinateurs Active Directory</w:t>
      </w:r>
    </w:p>
    <w:p>
      <w:pPr>
        <w:spacing w:after="200"/>
      </w:pPr>
      <w:r>
        <w:rPr>
          <w:b/>
          <w:bCs/>
        </w:rPr>
        <w:t xml:space="preserve">Commentaire : </w:t>
      </w:r>
      <w:r>
        <w:t xml:space="preserve">cette capture montre les OU par département.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24 ici</w:t>
            </w:r>
          </w:p>
          <w:p>
            <w:pPr>
              <w:jc w:val="center"/>
            </w:pPr>
            <w:r>
              <w:rPr>
                <w:color w:val="808080"/>
                <w:sz w:val="20"/>
                <w:szCs w:val="20"/>
              </w:rPr>
              <w:t xml:space="preserve">Membres des administrateurs du domaine</w:t>
            </w:r>
          </w:p>
        </w:tc>
      </w:tr>
    </w:tbl>
    <w:p>
      <w:pPr>
        <w:spacing w:after="60" w:before="80"/>
        <w:jc w:val="center"/>
      </w:pPr>
      <w:r>
        <w:rPr>
          <w:i/>
          <w:iCs/>
          <w:sz w:val="20"/>
          <w:szCs w:val="20"/>
        </w:rPr>
        <w:t xml:space="preserve">Figure 24 — Membres des administrateurs du domaine</w:t>
      </w:r>
    </w:p>
    <w:p>
      <w:pPr>
        <w:spacing w:after="200"/>
      </w:pPr>
      <w:r>
        <w:rPr>
          <w:b/>
          <w:bCs/>
        </w:rPr>
        <w:t xml:space="preserve">Commentaire : </w:t>
      </w:r>
      <w:r>
        <w:t xml:space="preserve">cette capture montre que le département Informatique administre le domaine.</w:t>
      </w:r>
    </w:p>
    <w:p>
      <w:pPr>
        <w:pStyle w:val="Heading2"/>
      </w:pPr>
      <w:bookmarkStart w:name="h19" w:id="20"/>
      <w:r>
        <w:t xml:space="preserve">Étape 13 — Stratégies de groupe (GPO)</w:t>
      </w:r>
      <w:bookmarkEnd w:id="20"/>
    </w:p>
    <w:p>
      <w:pPr>
        <w:spacing w:after="120"/>
      </w:pPr>
      <w:r>
        <w:rPr>
          <w:b/>
          <w:bCs/>
        </w:rPr>
        <w:t xml:space="preserve">Objectif : </w:t>
      </w:r>
      <w:r>
        <w:t xml:space="preserve">appliquer les mises à jour Windows quotidiennes et monter automatiquement le lecteur S: en lecture seule.</w:t>
      </w:r>
    </w:p>
    <w:p>
      <w:pPr>
        <w:pStyle w:val="Heading3"/>
      </w:pPr>
      <w:r>
        <w:t xml:space="preserve">Manipulation réalisée</w:t>
      </w:r>
    </w:p>
    <w:p>
      <w:pPr>
        <w:pStyle w:val="ListParagraph"/>
        <w:numPr>
          <w:ilvl w:val="0"/>
          <w:numId w:val="2"/>
        </w:numPr>
        <w:spacing w:after="60"/>
      </w:pPr>
      <w:r>
        <w:t xml:space="preserve">GPO 1 : Configuration ordinateur → Modèles d'administration → Windows Update → installation automatique quotidienne.</w:t>
      </w:r>
    </w:p>
    <w:p>
      <w:pPr>
        <w:pStyle w:val="ListParagraph"/>
        <w:numPr>
          <w:ilvl w:val="0"/>
          <w:numId w:val="2"/>
        </w:numPr>
        <w:spacing w:after="60"/>
      </w:pPr>
      <w:r>
        <w:t xml:space="preserve">GPO 2 : Configuration utilisateur → Préférences → Mappages de lecteurs → S: vers \\VIR-QC-NAS-01\Logiciels, lecture seule.</w:t>
      </w:r>
    </w:p>
    <w:p>
      <w:pPr>
        <w:pStyle w:val="ListParagraph"/>
        <w:numPr>
          <w:ilvl w:val="0"/>
          <w:numId w:val="2"/>
        </w:numPr>
        <w:spacing w:after="60"/>
      </w:pPr>
      <w:r>
        <w:t xml:space="preserve">Liaison des GPO aux OU concernées.</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Get-GPO -All | Format-Table DisplayName,GpoStatus</w:t>
      </w:r>
    </w:p>
    <w:p>
      <w:pPr>
        <w:shd w:fill="F2F2F2" w:color="auto" w:val="clear"/>
        <w:spacing w:after="0" w:line="260"/>
        <w:ind w:left="120" w:right="120"/>
      </w:pPr>
      <w:r>
        <w:rPr>
          <w:rFonts w:ascii="Consolas" w:cs="Consolas" w:eastAsia="Consolas" w:hAnsi="Consolas"/>
          <w:sz w:val="18"/>
          <w:szCs w:val="18"/>
        </w:rPr>
        <w:t xml:space="preserve"># Sur le poste client</w:t>
      </w:r>
    </w:p>
    <w:p>
      <w:pPr>
        <w:shd w:fill="F2F2F2" w:color="auto" w:val="clear"/>
        <w:spacing w:after="0" w:line="260"/>
        <w:ind w:left="120" w:right="120"/>
      </w:pPr>
      <w:r>
        <w:rPr>
          <w:rFonts w:ascii="Consolas" w:cs="Consolas" w:eastAsia="Consolas" w:hAnsi="Consolas"/>
          <w:sz w:val="18"/>
          <w:szCs w:val="18"/>
        </w:rPr>
        <w:t xml:space="preserve">gpupdate /force</w:t>
      </w:r>
    </w:p>
    <w:p>
      <w:pPr>
        <w:shd w:fill="F2F2F2" w:color="auto" w:val="clear"/>
        <w:spacing w:after="0" w:line="260"/>
        <w:ind w:left="120" w:right="120"/>
      </w:pPr>
      <w:r>
        <w:rPr>
          <w:rFonts w:ascii="Consolas" w:cs="Consolas" w:eastAsia="Consolas" w:hAnsi="Consolas"/>
          <w:sz w:val="18"/>
          <w:szCs w:val="18"/>
        </w:rPr>
        <w:t xml:space="preserve">gpresult /r</w:t>
      </w:r>
    </w:p>
    <w:p>
      <w:pPr>
        <w:shd w:fill="F2F2F2" w:color="auto" w:val="clear"/>
        <w:spacing w:after="160" w:line="260"/>
        <w:ind w:left="120" w:right="120"/>
      </w:pPr>
      <w:r>
        <w:rPr>
          <w:rFonts w:ascii="Consolas" w:cs="Consolas" w:eastAsia="Consolas" w:hAnsi="Consolas"/>
          <w:sz w:val="18"/>
          <w:szCs w:val="18"/>
        </w:rPr>
        <w:t xml:space="preserve">net use</w:t>
      </w:r>
    </w:p>
    <w:p>
      <w:pPr>
        <w:pStyle w:val="Heading3"/>
      </w:pPr>
      <w:r>
        <w:t xml:space="preserve">Réponse du système</w:t>
      </w:r>
    </w:p>
    <w:p>
      <w:pPr>
        <w:spacing w:after="120"/>
      </w:pPr>
      <w:r>
        <w:t xml:space="preserve">gpresult /r liste les deux GPO appliquées ; le lecteur S: apparaît dans net use et refuse l'écriture.</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25 ici</w:t>
            </w:r>
          </w:p>
          <w:p>
            <w:pPr>
              <w:jc w:val="center"/>
            </w:pPr>
            <w:r>
              <w:rPr>
                <w:color w:val="808080"/>
                <w:sz w:val="20"/>
                <w:szCs w:val="20"/>
              </w:rPr>
              <w:t xml:space="preserve">Gestion des stratégies de groupe</w:t>
            </w:r>
          </w:p>
        </w:tc>
      </w:tr>
    </w:tbl>
    <w:p>
      <w:pPr>
        <w:spacing w:after="60" w:before="80"/>
        <w:jc w:val="center"/>
      </w:pPr>
      <w:r>
        <w:rPr>
          <w:i/>
          <w:iCs/>
          <w:sz w:val="20"/>
          <w:szCs w:val="20"/>
        </w:rPr>
        <w:t xml:space="preserve">Figure 25 — Gestion des stratégies de groupe</w:t>
      </w:r>
    </w:p>
    <w:p>
      <w:pPr>
        <w:spacing w:after="200"/>
      </w:pPr>
      <w:r>
        <w:rPr>
          <w:b/>
          <w:bCs/>
        </w:rPr>
        <w:t xml:space="preserve">Commentaire : </w:t>
      </w:r>
      <w:r>
        <w:t xml:space="preserve">cette capture montre les deux GPO et leurs liaisons.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26 ici</w:t>
            </w:r>
          </w:p>
          <w:p>
            <w:pPr>
              <w:jc w:val="center"/>
            </w:pPr>
            <w:r>
              <w:rPr>
                <w:color w:val="808080"/>
                <w:sz w:val="20"/>
                <w:szCs w:val="20"/>
              </w:rPr>
              <w:t xml:space="preserve">gpresult /r sur le poste</w:t>
            </w:r>
          </w:p>
        </w:tc>
      </w:tr>
    </w:tbl>
    <w:p>
      <w:pPr>
        <w:spacing w:after="60" w:before="80"/>
        <w:jc w:val="center"/>
      </w:pPr>
      <w:r>
        <w:rPr>
          <w:i/>
          <w:iCs/>
          <w:sz w:val="20"/>
          <w:szCs w:val="20"/>
        </w:rPr>
        <w:t xml:space="preserve">Figure 26 — gpresult /r sur le poste</w:t>
      </w:r>
    </w:p>
    <w:p>
      <w:pPr>
        <w:spacing w:after="200"/>
      </w:pPr>
      <w:r>
        <w:rPr>
          <w:b/>
          <w:bCs/>
        </w:rPr>
        <w:t xml:space="preserve">Commentaire : </w:t>
      </w:r>
      <w:r>
        <w:t xml:space="preserve">cette capture montre que les GPO sont appliquées.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27 ici</w:t>
            </w:r>
          </w:p>
          <w:p>
            <w:pPr>
              <w:jc w:val="center"/>
            </w:pPr>
            <w:r>
              <w:rPr>
                <w:color w:val="808080"/>
                <w:sz w:val="20"/>
                <w:szCs w:val="20"/>
              </w:rPr>
              <w:t xml:space="preserve">Tentative d'écriture sur S:</w:t>
            </w:r>
          </w:p>
        </w:tc>
      </w:tr>
    </w:tbl>
    <w:p>
      <w:pPr>
        <w:spacing w:after="60" w:before="80"/>
        <w:jc w:val="center"/>
      </w:pPr>
      <w:r>
        <w:rPr>
          <w:i/>
          <w:iCs/>
          <w:sz w:val="20"/>
          <w:szCs w:val="20"/>
        </w:rPr>
        <w:t xml:space="preserve">Figure 27 — Tentative d'écriture sur S:</w:t>
      </w:r>
    </w:p>
    <w:p>
      <w:pPr>
        <w:spacing w:after="200"/>
      </w:pPr>
      <w:r>
        <w:rPr>
          <w:b/>
          <w:bCs/>
        </w:rPr>
        <w:t xml:space="preserve">Commentaire : </w:t>
      </w:r>
      <w:r>
        <w:t xml:space="preserve">cette capture montre que le lecteur est en lecture seule.</w:t>
      </w:r>
    </w:p>
    <w:p>
      <w:pPr>
        <w:pStyle w:val="Heading2"/>
      </w:pPr>
      <w:bookmarkStart w:name="h20" w:id="21"/>
      <w:r>
        <w:t xml:space="preserve">Étape 14 — Partages et lecteurs réseau</w:t>
      </w:r>
      <w:bookmarkEnd w:id="21"/>
    </w:p>
    <w:p>
      <w:pPr>
        <w:spacing w:after="120"/>
      </w:pPr>
      <w:r>
        <w:rPr>
          <w:b/>
          <w:bCs/>
        </w:rPr>
        <w:t xml:space="preserve">Objectif : </w:t>
      </w:r>
      <w:r>
        <w:t xml:space="preserve">offrir les partages Informatique et Marketing avec des permissions par groupe.</w:t>
      </w:r>
    </w:p>
    <w:p>
      <w:pPr>
        <w:pStyle w:val="Heading3"/>
      </w:pPr>
      <w:r>
        <w:t xml:space="preserve">Manipulation réalisée</w:t>
      </w:r>
    </w:p>
    <w:p>
      <w:pPr>
        <w:pStyle w:val="ListParagraph"/>
        <w:numPr>
          <w:ilvl w:val="0"/>
          <w:numId w:val="2"/>
        </w:numPr>
        <w:spacing w:after="60"/>
      </w:pPr>
      <w:r>
        <w:t xml:space="preserve">Création des partages sur le serveur de fichiers, lecture/écriture pour le groupe du département.</w:t>
      </w:r>
    </w:p>
    <w:p>
      <w:pPr>
        <w:pStyle w:val="ListParagraph"/>
        <w:numPr>
          <w:ilvl w:val="0"/>
          <w:numId w:val="2"/>
        </w:numPr>
        <w:spacing w:after="60"/>
      </w:pPr>
      <w:r>
        <w:t xml:space="preserve">Mappage des deux lecteurs sur la station Windows 11 du siège.</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Get-SmbShare</w:t>
      </w:r>
    </w:p>
    <w:p>
      <w:pPr>
        <w:shd w:fill="F2F2F2" w:color="auto" w:val="clear"/>
        <w:spacing w:after="0" w:line="260"/>
        <w:ind w:left="120" w:right="120"/>
      </w:pPr>
      <w:r>
        <w:rPr>
          <w:rFonts w:ascii="Consolas" w:cs="Consolas" w:eastAsia="Consolas" w:hAnsi="Consolas"/>
          <w:sz w:val="18"/>
          <w:szCs w:val="18"/>
        </w:rPr>
        <w:t xml:space="preserve">Get-SmbShareAccess -Name Informatique</w:t>
      </w:r>
    </w:p>
    <w:p>
      <w:pPr>
        <w:shd w:fill="F2F2F2" w:color="auto" w:val="clear"/>
        <w:spacing w:after="0" w:line="260"/>
        <w:ind w:left="120" w:right="120"/>
      </w:pPr>
      <w:r>
        <w:rPr>
          <w:rFonts w:ascii="Consolas" w:cs="Consolas" w:eastAsia="Consolas" w:hAnsi="Consolas"/>
          <w:sz w:val="18"/>
          <w:szCs w:val="18"/>
        </w:rPr>
        <w:t xml:space="preserve">icacls &lt;chemin du partage&gt;</w:t>
      </w:r>
    </w:p>
    <w:p>
      <w:pPr>
        <w:shd w:fill="F2F2F2" w:color="auto" w:val="clear"/>
        <w:spacing w:after="0" w:line="260"/>
        <w:ind w:left="120" w:right="120"/>
      </w:pPr>
      <w:r>
        <w:rPr>
          <w:rFonts w:ascii="Consolas" w:cs="Consolas" w:eastAsia="Consolas" w:hAnsi="Consolas"/>
          <w:sz w:val="18"/>
          <w:szCs w:val="18"/>
        </w:rPr>
        <w:t xml:space="preserve"># Sur le poste</w:t>
      </w:r>
    </w:p>
    <w:p>
      <w:pPr>
        <w:shd w:fill="F2F2F2" w:color="auto" w:val="clear"/>
        <w:spacing w:after="160" w:line="260"/>
        <w:ind w:left="120" w:right="120"/>
      </w:pPr>
      <w:r>
        <w:rPr>
          <w:rFonts w:ascii="Consolas" w:cs="Consolas" w:eastAsia="Consolas" w:hAnsi="Consolas"/>
          <w:sz w:val="18"/>
          <w:szCs w:val="18"/>
        </w:rPr>
        <w:t xml:space="preserve">net use</w:t>
      </w:r>
    </w:p>
    <w:p>
      <w:pPr>
        <w:pStyle w:val="Heading3"/>
      </w:pPr>
      <w:r>
        <w:t xml:space="preserve">Réponse du système</w:t>
      </w:r>
    </w:p>
    <w:p>
      <w:pPr>
        <w:spacing w:after="120"/>
      </w:pPr>
      <w:r>
        <w:t xml:space="preserve">Les partages existent, chaque groupe a les droits prévus et les lecteurs sont montés sur le poste.</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28 ici</w:t>
            </w:r>
          </w:p>
          <w:p>
            <w:pPr>
              <w:jc w:val="center"/>
            </w:pPr>
            <w:r>
              <w:rPr>
                <w:color w:val="808080"/>
                <w:sz w:val="20"/>
                <w:szCs w:val="20"/>
              </w:rPr>
              <w:t xml:space="preserve">Permissions du partage Informatique</w:t>
            </w:r>
          </w:p>
        </w:tc>
      </w:tr>
    </w:tbl>
    <w:p>
      <w:pPr>
        <w:spacing w:after="60" w:before="80"/>
        <w:jc w:val="center"/>
      </w:pPr>
      <w:r>
        <w:rPr>
          <w:i/>
          <w:iCs/>
          <w:sz w:val="20"/>
          <w:szCs w:val="20"/>
        </w:rPr>
        <w:t xml:space="preserve">Figure 28 — Permissions du partage Informatique</w:t>
      </w:r>
    </w:p>
    <w:p>
      <w:pPr>
        <w:spacing w:after="200"/>
      </w:pPr>
      <w:r>
        <w:rPr>
          <w:b/>
          <w:bCs/>
        </w:rPr>
        <w:t xml:space="preserve">Commentaire : </w:t>
      </w:r>
      <w:r>
        <w:t xml:space="preserve">cette capture montre les droits accordés aux groupes.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29 ici</w:t>
            </w:r>
          </w:p>
          <w:p>
            <w:pPr>
              <w:jc w:val="center"/>
            </w:pPr>
            <w:r>
              <w:rPr>
                <w:color w:val="808080"/>
                <w:sz w:val="20"/>
                <w:szCs w:val="20"/>
              </w:rPr>
              <w:t xml:space="preserve">Lecteurs mappés dans l'Explorateur</w:t>
            </w:r>
          </w:p>
        </w:tc>
      </w:tr>
    </w:tbl>
    <w:p>
      <w:pPr>
        <w:spacing w:after="60" w:before="80"/>
        <w:jc w:val="center"/>
      </w:pPr>
      <w:r>
        <w:rPr>
          <w:i/>
          <w:iCs/>
          <w:sz w:val="20"/>
          <w:szCs w:val="20"/>
        </w:rPr>
        <w:t xml:space="preserve">Figure 29 — Lecteurs mappés dans l'Explorateur</w:t>
      </w:r>
    </w:p>
    <w:p>
      <w:pPr>
        <w:spacing w:after="200"/>
      </w:pPr>
      <w:r>
        <w:rPr>
          <w:b/>
          <w:bCs/>
        </w:rPr>
        <w:t xml:space="preserve">Commentaire : </w:t>
      </w:r>
      <w:r>
        <w:t xml:space="preserve">cette capture montre les lecteurs Informatique et Marketing sur le poste.</w:t>
      </w:r>
    </w:p>
    <w:p>
      <w:pPr>
        <w:pStyle w:val="Heading2"/>
      </w:pPr>
      <w:bookmarkStart w:name="h21" w:id="22"/>
      <w:r>
        <w:t xml:space="preserve">Étape 15 — Service DNS principal et secondaire</w:t>
      </w:r>
      <w:bookmarkEnd w:id="22"/>
    </w:p>
    <w:p>
      <w:pPr>
        <w:spacing w:after="120"/>
      </w:pPr>
      <w:r>
        <w:rPr>
          <w:b/>
          <w:bCs/>
        </w:rPr>
        <w:t xml:space="preserve">Objectif : </w:t>
      </w:r>
      <w:r>
        <w:t xml:space="preserve">résoudre tous les noms de l'entreprise, avec une zone secondaire BIND9 dans chaque site.</w:t>
      </w:r>
    </w:p>
    <w:p>
      <w:pPr>
        <w:pStyle w:val="Heading3"/>
      </w:pPr>
      <w:r>
        <w:t xml:space="preserve">Manipulation réalisée</w:t>
      </w:r>
    </w:p>
    <w:p>
      <w:pPr>
        <w:pStyle w:val="ListParagraph"/>
        <w:numPr>
          <w:ilvl w:val="0"/>
          <w:numId w:val="2"/>
        </w:numPr>
        <w:spacing w:after="60"/>
      </w:pPr>
      <w:r>
        <w:t xml:space="preserve">Zone principale intégrée à AD sur VIR-QC-DC-01.</w:t>
      </w:r>
    </w:p>
    <w:p>
      <w:pPr>
        <w:pStyle w:val="ListParagraph"/>
        <w:numPr>
          <w:ilvl w:val="0"/>
          <w:numId w:val="2"/>
        </w:numPr>
        <w:spacing w:after="60"/>
      </w:pPr>
      <w:r>
        <w:t xml:space="preserve">SOA : TTL de cache 60 min, Refresh 2 h, Retry 30 min.</w:t>
      </w:r>
    </w:p>
    <w:p>
      <w:pPr>
        <w:pStyle w:val="ListParagraph"/>
        <w:numPr>
          <w:ilvl w:val="0"/>
          <w:numId w:val="2"/>
        </w:numPr>
        <w:spacing w:after="60"/>
      </w:pPr>
      <w:r>
        <w:t xml:space="preserve">Un enregistrement A pour chaque serveur, un MX réservé au futur serveur de courriel.</w:t>
      </w:r>
    </w:p>
    <w:p>
      <w:pPr>
        <w:pStyle w:val="ListParagraph"/>
        <w:numPr>
          <w:ilvl w:val="0"/>
          <w:numId w:val="2"/>
        </w:numPr>
        <w:spacing w:after="60"/>
      </w:pPr>
      <w:r>
        <w:t xml:space="preserve">Zone secondaire (slave) BIND9 sur VIR-QC-DNS-01 (192.168.161.11) au siège et sur un serveur DNS dans chaque succursale (ex. VIR-MTL-DNS-01, 192.168.162.11).</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Get-DnsServerResourceRecord -ZoneName equipe4.lan -RRType SOA | Select -Expand RecordData</w:t>
      </w:r>
    </w:p>
    <w:p>
      <w:pPr>
        <w:shd w:fill="F2F2F2" w:color="auto" w:val="clear"/>
        <w:spacing w:after="0" w:line="260"/>
        <w:ind w:left="120" w:right="120"/>
      </w:pPr>
      <w:r>
        <w:rPr>
          <w:rFonts w:ascii="Consolas" w:cs="Consolas" w:eastAsia="Consolas" w:hAnsi="Consolas"/>
          <w:sz w:val="18"/>
          <w:szCs w:val="18"/>
        </w:rPr>
        <w:t xml:space="preserve">Get-DnsServerResourceRecord -ZoneName equipe4.lan | Format-Table HostName,RecordType,RecordData</w:t>
      </w:r>
    </w:p>
    <w:p>
      <w:pPr>
        <w:shd w:fill="F2F2F2" w:color="auto" w:val="clear"/>
        <w:spacing w:after="0" w:line="260"/>
        <w:ind w:left="120" w:right="120"/>
      </w:pPr>
      <w:r>
        <w:rPr>
          <w:rFonts w:ascii="Consolas" w:cs="Consolas" w:eastAsia="Consolas" w:hAnsi="Consolas"/>
          <w:sz w:val="18"/>
          <w:szCs w:val="18"/>
        </w:rPr>
        <w:t xml:space="preserve"># Sur le DNS secondaire</w:t>
      </w:r>
    </w:p>
    <w:p>
      <w:pPr>
        <w:shd w:fill="F2F2F2" w:color="auto" w:val="clear"/>
        <w:spacing w:after="0" w:line="260"/>
        <w:ind w:left="120" w:right="120"/>
      </w:pPr>
      <w:r>
        <w:rPr>
          <w:rFonts w:ascii="Consolas" w:cs="Consolas" w:eastAsia="Consolas" w:hAnsi="Consolas"/>
          <w:sz w:val="18"/>
          <w:szCs w:val="18"/>
        </w:rPr>
        <w:t xml:space="preserve">systemctl status bind9 --no-pager | head -5</w:t>
      </w:r>
    </w:p>
    <w:p>
      <w:pPr>
        <w:shd w:fill="F2F2F2" w:color="auto" w:val="clear"/>
        <w:spacing w:after="0" w:line="260"/>
        <w:ind w:left="120" w:right="120"/>
      </w:pPr>
      <w:r>
        <w:rPr>
          <w:rFonts w:ascii="Consolas" w:cs="Consolas" w:eastAsia="Consolas" w:hAnsi="Consolas"/>
          <w:sz w:val="18"/>
          <w:szCs w:val="18"/>
        </w:rPr>
        <w:t xml:space="preserve">dig @localhost equipe4.lan SOA</w:t>
      </w:r>
    </w:p>
    <w:p>
      <w:pPr>
        <w:shd w:fill="F2F2F2" w:color="auto" w:val="clear"/>
        <w:spacing w:after="0" w:line="260"/>
        <w:ind w:left="120" w:right="120"/>
      </w:pPr>
      <w:r>
        <w:rPr>
          <w:rFonts w:ascii="Consolas" w:cs="Consolas" w:eastAsia="Consolas" w:hAnsi="Consolas"/>
          <w:sz w:val="18"/>
          <w:szCs w:val="18"/>
        </w:rPr>
        <w:t xml:space="preserve"># Depuis un poste</w:t>
      </w:r>
    </w:p>
    <w:p>
      <w:pPr>
        <w:shd w:fill="F2F2F2" w:color="auto" w:val="clear"/>
        <w:spacing w:after="0" w:line="260"/>
        <w:ind w:left="120" w:right="120"/>
      </w:pPr>
      <w:r>
        <w:rPr>
          <w:rFonts w:ascii="Consolas" w:cs="Consolas" w:eastAsia="Consolas" w:hAnsi="Consolas"/>
          <w:sz w:val="18"/>
          <w:szCs w:val="18"/>
        </w:rPr>
        <w:t xml:space="preserve">nslookup vir-qc-dc-01.equipe4.lan</w:t>
      </w:r>
    </w:p>
    <w:p>
      <w:pPr>
        <w:shd w:fill="F2F2F2" w:color="auto" w:val="clear"/>
        <w:spacing w:after="160" w:line="260"/>
        <w:ind w:left="120" w:right="120"/>
      </w:pPr>
      <w:r>
        <w:rPr>
          <w:rFonts w:ascii="Consolas" w:cs="Consolas" w:eastAsia="Consolas" w:hAnsi="Consolas"/>
          <w:sz w:val="18"/>
          <w:szCs w:val="18"/>
        </w:rPr>
        <w:t xml:space="preserve">ping vir-qc-nas-01.equipe4.lan</w:t>
      </w:r>
    </w:p>
    <w:p>
      <w:pPr>
        <w:pStyle w:val="Heading3"/>
      </w:pPr>
      <w:r>
        <w:t xml:space="preserve">Réponse du système</w:t>
      </w:r>
    </w:p>
    <w:p>
      <w:pPr>
        <w:spacing w:after="120"/>
      </w:pPr>
      <w:r>
        <w:t xml:space="preserve">La zone contient les paramètres SOA demandés, les enregistrements A et MX ; le serveur secondaire répond avec le même numéro de série ; les hôtes sont joignables par leur nom.</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30 ici</w:t>
            </w:r>
          </w:p>
          <w:p>
            <w:pPr>
              <w:jc w:val="center"/>
            </w:pPr>
            <w:r>
              <w:rPr>
                <w:color w:val="808080"/>
                <w:sz w:val="20"/>
                <w:szCs w:val="20"/>
              </w:rPr>
              <w:t xml:space="preserve">Enregistrement SOA de la zone</w:t>
            </w:r>
          </w:p>
        </w:tc>
      </w:tr>
    </w:tbl>
    <w:p>
      <w:pPr>
        <w:spacing w:after="60" w:before="80"/>
        <w:jc w:val="center"/>
      </w:pPr>
      <w:r>
        <w:rPr>
          <w:i/>
          <w:iCs/>
          <w:sz w:val="20"/>
          <w:szCs w:val="20"/>
        </w:rPr>
        <w:t xml:space="preserve">Figure 30 — Enregistrement SOA de la zone</w:t>
      </w:r>
    </w:p>
    <w:p>
      <w:pPr>
        <w:spacing w:after="200"/>
      </w:pPr>
      <w:r>
        <w:rPr>
          <w:b/>
          <w:bCs/>
        </w:rPr>
        <w:t xml:space="preserve">Commentaire : </w:t>
      </w:r>
      <w:r>
        <w:t xml:space="preserve">cette capture montre les délais TTL, Refresh et Retry exigés.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31 ici</w:t>
            </w:r>
          </w:p>
          <w:p>
            <w:pPr>
              <w:jc w:val="center"/>
            </w:pPr>
            <w:r>
              <w:rPr>
                <w:color w:val="808080"/>
                <w:sz w:val="20"/>
                <w:szCs w:val="20"/>
              </w:rPr>
              <w:t xml:space="preserve">Enregistrements A et MX</w:t>
            </w:r>
          </w:p>
        </w:tc>
      </w:tr>
    </w:tbl>
    <w:p>
      <w:pPr>
        <w:spacing w:after="60" w:before="80"/>
        <w:jc w:val="center"/>
      </w:pPr>
      <w:r>
        <w:rPr>
          <w:i/>
          <w:iCs/>
          <w:sz w:val="20"/>
          <w:szCs w:val="20"/>
        </w:rPr>
        <w:t xml:space="preserve">Figure 31 — Enregistrements A et MX</w:t>
      </w:r>
    </w:p>
    <w:p>
      <w:pPr>
        <w:spacing w:after="200"/>
      </w:pPr>
      <w:r>
        <w:rPr>
          <w:b/>
          <w:bCs/>
        </w:rPr>
        <w:t xml:space="preserve">Commentaire : </w:t>
      </w:r>
      <w:r>
        <w:t xml:space="preserve">cette capture montre que tous les serveurs sont déclarés.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32 ici</w:t>
            </w:r>
          </w:p>
          <w:p>
            <w:pPr>
              <w:jc w:val="center"/>
            </w:pPr>
            <w:r>
              <w:rPr>
                <w:color w:val="808080"/>
                <w:sz w:val="20"/>
                <w:szCs w:val="20"/>
              </w:rPr>
              <w:t xml:space="preserve">dig sur le serveur secondaire</w:t>
            </w:r>
          </w:p>
        </w:tc>
      </w:tr>
    </w:tbl>
    <w:p>
      <w:pPr>
        <w:spacing w:after="60" w:before="80"/>
        <w:jc w:val="center"/>
      </w:pPr>
      <w:r>
        <w:rPr>
          <w:i/>
          <w:iCs/>
          <w:sz w:val="20"/>
          <w:szCs w:val="20"/>
        </w:rPr>
        <w:t xml:space="preserve">Figure 32 — dig sur le serveur secondaire</w:t>
      </w:r>
    </w:p>
    <w:p>
      <w:pPr>
        <w:spacing w:after="200"/>
      </w:pPr>
      <w:r>
        <w:rPr>
          <w:b/>
          <w:bCs/>
        </w:rPr>
        <w:t xml:space="preserve">Commentaire : </w:t>
      </w:r>
      <w:r>
        <w:t xml:space="preserve">cette capture montre que la zone est répliquée.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33 ici</w:t>
            </w:r>
          </w:p>
          <w:p>
            <w:pPr>
              <w:jc w:val="center"/>
            </w:pPr>
            <w:r>
              <w:rPr>
                <w:color w:val="808080"/>
                <w:sz w:val="20"/>
                <w:szCs w:val="20"/>
              </w:rPr>
              <w:t xml:space="preserve">ping par nom d'hôte</w:t>
            </w:r>
          </w:p>
        </w:tc>
      </w:tr>
    </w:tbl>
    <w:p>
      <w:pPr>
        <w:spacing w:after="60" w:before="80"/>
        <w:jc w:val="center"/>
      </w:pPr>
      <w:r>
        <w:rPr>
          <w:i/>
          <w:iCs/>
          <w:sz w:val="20"/>
          <w:szCs w:val="20"/>
        </w:rPr>
        <w:t xml:space="preserve">Figure 33 — ping par nom d'hôte</w:t>
      </w:r>
    </w:p>
    <w:p>
      <w:pPr>
        <w:spacing w:after="200"/>
      </w:pPr>
      <w:r>
        <w:rPr>
          <w:b/>
          <w:bCs/>
        </w:rPr>
        <w:t xml:space="preserve">Commentaire : </w:t>
      </w:r>
      <w:r>
        <w:t xml:space="preserve">cette capture montre que les hôtes sont joignables par leur nom.</w:t>
      </w:r>
    </w:p>
    <w:p>
      <w:pPr>
        <w:pStyle w:val="Heading2"/>
      </w:pPr>
      <w:bookmarkStart w:name="h22" w:id="23"/>
      <w:r>
        <w:t xml:space="preserve">Étape 16 — Poste de travail Windows 11 (VIR-QC-WS-01)</w:t>
      </w:r>
      <w:bookmarkEnd w:id="23"/>
    </w:p>
    <w:p>
      <w:pPr>
        <w:spacing w:after="120"/>
      </w:pPr>
      <w:r>
        <w:rPr>
          <w:b/>
          <w:bCs/>
        </w:rPr>
        <w:t xml:space="preserve">Objectif : </w:t>
      </w:r>
      <w:r>
        <w:t xml:space="preserve">préparer un poste propre, joint au domaine, avec les logiciels demandés.</w:t>
      </w:r>
    </w:p>
    <w:p>
      <w:pPr>
        <w:pStyle w:val="Heading3"/>
      </w:pPr>
      <w:r>
        <w:t xml:space="preserve">Manipulation réalisée</w:t>
      </w:r>
    </w:p>
    <w:p>
      <w:pPr>
        <w:pStyle w:val="ListParagraph"/>
        <w:numPr>
          <w:ilvl w:val="0"/>
          <w:numId w:val="2"/>
        </w:numPr>
        <w:spacing w:after="60"/>
      </w:pPr>
      <w:r>
        <w:t xml:space="preserve">Partitionnement : C: système (50 %) et D: données (50 %).</w:t>
      </w:r>
    </w:p>
    <w:p>
      <w:pPr>
        <w:pStyle w:val="ListParagraph"/>
        <w:numPr>
          <w:ilvl w:val="0"/>
          <w:numId w:val="2"/>
        </w:numPr>
        <w:spacing w:after="60"/>
      </w:pPr>
      <w:r>
        <w:t xml:space="preserve">Installation des pilotes et de toutes les mises à jour, retrait des logiciels superflus.</w:t>
      </w:r>
    </w:p>
    <w:p>
      <w:pPr>
        <w:pStyle w:val="ListParagraph"/>
        <w:numPr>
          <w:ilvl w:val="0"/>
          <w:numId w:val="2"/>
        </w:numPr>
        <w:spacing w:after="60"/>
      </w:pPr>
      <w:r>
        <w:t xml:space="preserve">Jonction au domaine equipe4.lan et ouverture de session avec un compte du domaine.</w:t>
      </w:r>
    </w:p>
    <w:p>
      <w:pPr>
        <w:pStyle w:val="ListParagraph"/>
        <w:numPr>
          <w:ilvl w:val="0"/>
          <w:numId w:val="2"/>
        </w:numPr>
        <w:spacing w:after="60"/>
      </w:pPr>
      <w:r>
        <w:t xml:space="preserve">Installation d'Office 365 (activé), de 7-Zip et d'un navigateur.</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systeminfo | findstr /B /C:"Domain"</w:t>
      </w:r>
    </w:p>
    <w:p>
      <w:pPr>
        <w:shd w:fill="F2F2F2" w:color="auto" w:val="clear"/>
        <w:spacing w:after="0" w:line="260"/>
        <w:ind w:left="120" w:right="120"/>
      </w:pPr>
      <w:r>
        <w:rPr>
          <w:rFonts w:ascii="Consolas" w:cs="Consolas" w:eastAsia="Consolas" w:hAnsi="Consolas"/>
          <w:sz w:val="18"/>
          <w:szCs w:val="18"/>
        </w:rPr>
        <w:t xml:space="preserve">net config workstation</w:t>
      </w:r>
    </w:p>
    <w:p>
      <w:pPr>
        <w:shd w:fill="F2F2F2" w:color="auto" w:val="clear"/>
        <w:spacing w:after="0" w:line="260"/>
        <w:ind w:left="120" w:right="120"/>
      </w:pPr>
      <w:r>
        <w:rPr>
          <w:rFonts w:ascii="Consolas" w:cs="Consolas" w:eastAsia="Consolas" w:hAnsi="Consolas"/>
          <w:sz w:val="18"/>
          <w:szCs w:val="18"/>
        </w:rPr>
        <w:t xml:space="preserve">whoami</w:t>
      </w:r>
    </w:p>
    <w:p>
      <w:pPr>
        <w:shd w:fill="F2F2F2" w:color="auto" w:val="clear"/>
        <w:spacing w:after="160" w:line="260"/>
        <w:ind w:left="120" w:right="120"/>
      </w:pPr>
      <w:r>
        <w:rPr>
          <w:rFonts w:ascii="Consolas" w:cs="Consolas" w:eastAsia="Consolas" w:hAnsi="Consolas"/>
          <w:sz w:val="18"/>
          <w:szCs w:val="18"/>
        </w:rPr>
        <w:t xml:space="preserve">ipconfig /all</w:t>
      </w:r>
    </w:p>
    <w:p>
      <w:pPr>
        <w:pStyle w:val="Heading3"/>
      </w:pPr>
      <w:r>
        <w:t xml:space="preserve">Réponse du système</w:t>
      </w:r>
    </w:p>
    <w:p>
      <w:pPr>
        <w:spacing w:after="120"/>
      </w:pPr>
      <w:r>
        <w:t xml:space="preserve">Le poste est membre de equipe4.lan, la session est ouverte avec un compte du domaine et toutes les partitions et pilotes sont conformes.</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34 ici</w:t>
            </w:r>
          </w:p>
          <w:p>
            <w:pPr>
              <w:jc w:val="center"/>
            </w:pPr>
            <w:r>
              <w:rPr>
                <w:color w:val="808080"/>
                <w:sz w:val="20"/>
                <w:szCs w:val="20"/>
              </w:rPr>
              <w:t xml:space="preserve">systeminfo et net config workstation</w:t>
            </w:r>
          </w:p>
        </w:tc>
      </w:tr>
    </w:tbl>
    <w:p>
      <w:pPr>
        <w:spacing w:after="60" w:before="80"/>
        <w:jc w:val="center"/>
      </w:pPr>
      <w:r>
        <w:rPr>
          <w:i/>
          <w:iCs/>
          <w:sz w:val="20"/>
          <w:szCs w:val="20"/>
        </w:rPr>
        <w:t xml:space="preserve">Figure 34 — systeminfo et net config workstation</w:t>
      </w:r>
    </w:p>
    <w:p>
      <w:pPr>
        <w:spacing w:after="200"/>
      </w:pPr>
      <w:r>
        <w:rPr>
          <w:b/>
          <w:bCs/>
        </w:rPr>
        <w:t xml:space="preserve">Commentaire : </w:t>
      </w:r>
      <w:r>
        <w:t xml:space="preserve">cette capture montre la jonction au domaine.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35 ici</w:t>
            </w:r>
          </w:p>
          <w:p>
            <w:pPr>
              <w:jc w:val="center"/>
            </w:pPr>
            <w:r>
              <w:rPr>
                <w:color w:val="808080"/>
                <w:sz w:val="20"/>
                <w:szCs w:val="20"/>
              </w:rPr>
              <w:t xml:space="preserve">Gestion des disques (C: et D:)</w:t>
            </w:r>
          </w:p>
        </w:tc>
      </w:tr>
    </w:tbl>
    <w:p>
      <w:pPr>
        <w:spacing w:after="60" w:before="80"/>
        <w:jc w:val="center"/>
      </w:pPr>
      <w:r>
        <w:rPr>
          <w:i/>
          <w:iCs/>
          <w:sz w:val="20"/>
          <w:szCs w:val="20"/>
        </w:rPr>
        <w:t xml:space="preserve">Figure 35 — Gestion des disques (C: et D:)</w:t>
      </w:r>
    </w:p>
    <w:p>
      <w:pPr>
        <w:spacing w:after="200"/>
      </w:pPr>
      <w:r>
        <w:rPr>
          <w:b/>
          <w:bCs/>
        </w:rPr>
        <w:t xml:space="preserve">Commentaire : </w:t>
      </w:r>
      <w:r>
        <w:t xml:space="preserve">cette capture montre le partitionnement demandé.</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36 ici</w:t>
            </w:r>
          </w:p>
          <w:p>
            <w:pPr>
              <w:jc w:val="center"/>
            </w:pPr>
            <w:r>
              <w:rPr>
                <w:color w:val="808080"/>
                <w:sz w:val="20"/>
                <w:szCs w:val="20"/>
              </w:rPr>
              <w:t xml:space="preserve">Gestionnaire de périphériques</w:t>
            </w:r>
          </w:p>
        </w:tc>
      </w:tr>
    </w:tbl>
    <w:p>
      <w:pPr>
        <w:spacing w:after="60" w:before="80"/>
        <w:jc w:val="center"/>
      </w:pPr>
      <w:r>
        <w:rPr>
          <w:i/>
          <w:iCs/>
          <w:sz w:val="20"/>
          <w:szCs w:val="20"/>
        </w:rPr>
        <w:t xml:space="preserve">Figure 36 — Gestionnaire de périphériques</w:t>
      </w:r>
    </w:p>
    <w:p>
      <w:pPr>
        <w:spacing w:after="200"/>
      </w:pPr>
      <w:r>
        <w:rPr>
          <w:b/>
          <w:bCs/>
        </w:rPr>
        <w:t xml:space="preserve">Commentaire : </w:t>
      </w:r>
      <w:r>
        <w:t xml:space="preserve">cette capture montre que tous les pilotes sont installés.</w:t>
      </w:r>
    </w:p>
    <w:p>
      <w:pPr>
        <w:pStyle w:val="Heading1"/>
        <w:pageBreakBefore/>
      </w:pPr>
      <w:bookmarkStart w:name="h23" w:id="24"/>
      <w:r>
        <w:t xml:space="preserve">5. Démonstration 3 — Stockage TrueNAS</w:t>
      </w:r>
      <w:bookmarkEnd w:id="24"/>
    </w:p>
    <w:p>
      <w:pPr>
        <w:spacing w:after="120"/>
      </w:pPr>
      <w:r>
        <w:rPr>
          <w:b/>
          <w:bCs/>
        </w:rPr>
        <w:t xml:space="preserve">Date de la démonstration : </w:t>
      </w:r>
      <w:r>
        <w:t xml:space="preserve">6 octobre 2026</w:t>
      </w:r>
    </w:p>
    <w:p>
      <w:pPr>
        <w:spacing w:after="120"/>
      </w:pPr>
      <w:r>
        <w:t xml:space="preserve">Cette démonstration met en place le serveur de stockage redondant et ses partages NFS et SMB.</w:t>
      </w:r>
    </w:p>
    <w:p>
      <w:pPr>
        <w:pStyle w:val="Heading2"/>
      </w:pPr>
      <w:bookmarkStart w:name="h24" w:id="25"/>
      <w:r>
        <w:t xml:space="preserve">Étape 17 — Installation de TrueNAS (VIR-QC-NAS-01)</w:t>
      </w:r>
      <w:bookmarkEnd w:id="25"/>
    </w:p>
    <w:p>
      <w:pPr>
        <w:spacing w:after="120"/>
      </w:pPr>
      <w:r>
        <w:rPr>
          <w:b/>
          <w:bCs/>
        </w:rPr>
        <w:t xml:space="preserve">Objectif : </w:t>
      </w:r>
      <w:r>
        <w:t xml:space="preserve">installer TrueNAS avec six disques virtuels.</w:t>
      </w:r>
    </w:p>
    <w:p>
      <w:pPr>
        <w:pStyle w:val="Heading3"/>
      </w:pPr>
      <w:r>
        <w:t xml:space="preserve">Manipulation réalisée</w:t>
      </w:r>
    </w:p>
    <w:p>
      <w:pPr>
        <w:pStyle w:val="ListParagraph"/>
        <w:numPr>
          <w:ilvl w:val="0"/>
          <w:numId w:val="2"/>
        </w:numPr>
        <w:spacing w:after="60"/>
      </w:pPr>
      <w:r>
        <w:t xml:space="preserve">Installation de TrueNAS sur une VM dédiée (pas dans un conteneur).</w:t>
      </w:r>
    </w:p>
    <w:p>
      <w:pPr>
        <w:pStyle w:val="ListParagraph"/>
        <w:numPr>
          <w:ilvl w:val="0"/>
          <w:numId w:val="2"/>
        </w:numPr>
        <w:spacing w:after="60"/>
      </w:pPr>
      <w:r>
        <w:t xml:space="preserve">Ajout de six disques virtuels.</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lsblk</w:t>
      </w:r>
    </w:p>
    <w:p>
      <w:pPr>
        <w:shd w:fill="F2F2F2" w:color="auto" w:val="clear"/>
        <w:spacing w:after="160" w:line="260"/>
        <w:ind w:left="120" w:right="120"/>
      </w:pPr>
      <w:r>
        <w:rPr>
          <w:rFonts w:ascii="Consolas" w:cs="Consolas" w:eastAsia="Consolas" w:hAnsi="Consolas"/>
          <w:sz w:val="18"/>
          <w:szCs w:val="18"/>
        </w:rPr>
        <w:t xml:space="preserve">zpool list</w:t>
      </w:r>
    </w:p>
    <w:p>
      <w:pPr>
        <w:pStyle w:val="Heading3"/>
      </w:pPr>
      <w:r>
        <w:t xml:space="preserve">Réponse du système</w:t>
      </w:r>
    </w:p>
    <w:p>
      <w:pPr>
        <w:spacing w:after="120"/>
      </w:pPr>
      <w:r>
        <w:t xml:space="preserve">Les six disques sont détectés par TrueNAS.</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37 ici</w:t>
            </w:r>
          </w:p>
          <w:p>
            <w:pPr>
              <w:jc w:val="center"/>
            </w:pPr>
            <w:r>
              <w:rPr>
                <w:color w:val="808080"/>
                <w:sz w:val="20"/>
                <w:szCs w:val="20"/>
              </w:rPr>
              <w:t xml:space="preserve">Liste des disques dans TrueNAS</w:t>
            </w:r>
          </w:p>
        </w:tc>
      </w:tr>
    </w:tbl>
    <w:p>
      <w:pPr>
        <w:spacing w:after="60" w:before="80"/>
        <w:jc w:val="center"/>
      </w:pPr>
      <w:r>
        <w:rPr>
          <w:i/>
          <w:iCs/>
          <w:sz w:val="20"/>
          <w:szCs w:val="20"/>
        </w:rPr>
        <w:t xml:space="preserve">Figure 37 — Liste des disques dans TrueNAS</w:t>
      </w:r>
    </w:p>
    <w:p>
      <w:pPr>
        <w:spacing w:after="200"/>
      </w:pPr>
      <w:r>
        <w:rPr>
          <w:b/>
          <w:bCs/>
        </w:rPr>
        <w:t xml:space="preserve">Commentaire : </w:t>
      </w:r>
      <w:r>
        <w:t xml:space="preserve">cette capture montre les six disques disponibles.</w:t>
      </w:r>
    </w:p>
    <w:p>
      <w:pPr>
        <w:pStyle w:val="Heading2"/>
      </w:pPr>
      <w:bookmarkStart w:name="h25" w:id="26"/>
      <w:r>
        <w:t xml:space="preserve">Étape 18 — Volumes redondants : RAID 1, RAID 5 et LVM</w:t>
      </w:r>
      <w:bookmarkEnd w:id="26"/>
    </w:p>
    <w:p>
      <w:pPr>
        <w:spacing w:after="120"/>
      </w:pPr>
      <w:r>
        <w:rPr>
          <w:b/>
          <w:bCs/>
        </w:rPr>
        <w:t xml:space="preserve">Objectif : </w:t>
      </w:r>
      <w:r>
        <w:t xml:space="preserve">créer au moins un volume en miroir et un volume RAIDZ1, avec LVM.</w:t>
      </w:r>
    </w:p>
    <w:p>
      <w:pPr>
        <w:pStyle w:val="Heading3"/>
      </w:pPr>
      <w:r>
        <w:t xml:space="preserve">Manipulation réalisée</w:t>
      </w:r>
    </w:p>
    <w:p>
      <w:pPr>
        <w:pStyle w:val="ListParagraph"/>
        <w:numPr>
          <w:ilvl w:val="0"/>
          <w:numId w:val="2"/>
        </w:numPr>
        <w:spacing w:after="60"/>
      </w:pPr>
      <w:r>
        <w:t xml:space="preserve">Pool en miroir (RAID 1) sur deux disques.</w:t>
      </w:r>
    </w:p>
    <w:p>
      <w:pPr>
        <w:pStyle w:val="ListParagraph"/>
        <w:numPr>
          <w:ilvl w:val="0"/>
          <w:numId w:val="2"/>
        </w:numPr>
        <w:spacing w:after="60"/>
      </w:pPr>
      <w:r>
        <w:t xml:space="preserve">Pool RAIDZ1 (équivalent RAID 5) sur trois disques ou plus.</w:t>
      </w:r>
    </w:p>
    <w:p>
      <w:pPr>
        <w:pStyle w:val="ListParagraph"/>
        <w:numPr>
          <w:ilvl w:val="0"/>
          <w:numId w:val="2"/>
        </w:numPr>
        <w:spacing w:after="60"/>
      </w:pPr>
      <w:r>
        <w:t xml:space="preserve">Mise en place de LVM.</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zpool status</w:t>
      </w:r>
    </w:p>
    <w:p>
      <w:pPr>
        <w:shd w:fill="F2F2F2" w:color="auto" w:val="clear"/>
        <w:spacing w:after="0" w:line="260"/>
        <w:ind w:left="120" w:right="120"/>
      </w:pPr>
      <w:r>
        <w:rPr>
          <w:rFonts w:ascii="Consolas" w:cs="Consolas" w:eastAsia="Consolas" w:hAnsi="Consolas"/>
          <w:sz w:val="18"/>
          <w:szCs w:val="18"/>
        </w:rPr>
        <w:t xml:space="preserve">zpool list</w:t>
      </w:r>
    </w:p>
    <w:p>
      <w:pPr>
        <w:shd w:fill="F2F2F2" w:color="auto" w:val="clear"/>
        <w:spacing w:after="160" w:line="260"/>
        <w:ind w:left="120" w:right="120"/>
      </w:pPr>
      <w:r>
        <w:rPr>
          <w:rFonts w:ascii="Consolas" w:cs="Consolas" w:eastAsia="Consolas" w:hAnsi="Consolas"/>
          <w:sz w:val="18"/>
          <w:szCs w:val="18"/>
        </w:rPr>
        <w:t xml:space="preserve">pvs ; vgs ; lvs</w:t>
      </w:r>
    </w:p>
    <w:p>
      <w:pPr>
        <w:pStyle w:val="Heading3"/>
      </w:pPr>
      <w:r>
        <w:t xml:space="preserve">Réponse du système</w:t>
      </w:r>
    </w:p>
    <w:p>
      <w:pPr>
        <w:spacing w:after="120"/>
      </w:pPr>
      <w:r>
        <w:t xml:space="preserve">zpool status montre un vdev « mirror » et un vdev « raidz1 » à l'état ONLINE ; les commandes LVM listent les volumes physiques, groupes et volumes logiques.</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38 ici</w:t>
            </w:r>
          </w:p>
          <w:p>
            <w:pPr>
              <w:jc w:val="center"/>
            </w:pPr>
            <w:r>
              <w:rPr>
                <w:color w:val="808080"/>
                <w:sz w:val="20"/>
                <w:szCs w:val="20"/>
              </w:rPr>
              <w:t xml:space="preserve">zpool status</w:t>
            </w:r>
          </w:p>
        </w:tc>
      </w:tr>
    </w:tbl>
    <w:p>
      <w:pPr>
        <w:spacing w:after="60" w:before="80"/>
        <w:jc w:val="center"/>
      </w:pPr>
      <w:r>
        <w:rPr>
          <w:i/>
          <w:iCs/>
          <w:sz w:val="20"/>
          <w:szCs w:val="20"/>
        </w:rPr>
        <w:t xml:space="preserve">Figure 38 — zpool status</w:t>
      </w:r>
    </w:p>
    <w:p>
      <w:pPr>
        <w:spacing w:after="200"/>
      </w:pPr>
      <w:r>
        <w:rPr>
          <w:b/>
          <w:bCs/>
        </w:rPr>
        <w:t xml:space="preserve">Commentaire : </w:t>
      </w:r>
      <w:r>
        <w:t xml:space="preserve">cette capture montre les deux pools redondants en ligne.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39 ici</w:t>
            </w:r>
          </w:p>
          <w:p>
            <w:pPr>
              <w:jc w:val="center"/>
            </w:pPr>
            <w:r>
              <w:rPr>
                <w:color w:val="808080"/>
                <w:sz w:val="20"/>
                <w:szCs w:val="20"/>
              </w:rPr>
              <w:t xml:space="preserve">Commandes LVM</w:t>
            </w:r>
          </w:p>
        </w:tc>
      </w:tr>
    </w:tbl>
    <w:p>
      <w:pPr>
        <w:spacing w:after="60" w:before="80"/>
        <w:jc w:val="center"/>
      </w:pPr>
      <w:r>
        <w:rPr>
          <w:i/>
          <w:iCs/>
          <w:sz w:val="20"/>
          <w:szCs w:val="20"/>
        </w:rPr>
        <w:t xml:space="preserve">Figure 39 — Commandes LVM</w:t>
      </w:r>
    </w:p>
    <w:p>
      <w:pPr>
        <w:spacing w:after="200"/>
      </w:pPr>
      <w:r>
        <w:rPr>
          <w:b/>
          <w:bCs/>
        </w:rPr>
        <w:t xml:space="preserve">Commentaire : </w:t>
      </w:r>
      <w:r>
        <w:t xml:space="preserve">cette capture montre la configuration LVM.</w:t>
      </w:r>
    </w:p>
    <w:p>
      <w:pPr>
        <w:pStyle w:val="Heading2"/>
      </w:pPr>
      <w:bookmarkStart w:name="h26" w:id="27"/>
      <w:r>
        <w:t xml:space="preserve">Étape 19 — Partages NFS et SMB2</w:t>
      </w:r>
      <w:bookmarkEnd w:id="27"/>
    </w:p>
    <w:p>
      <w:pPr>
        <w:spacing w:after="120"/>
      </w:pPr>
      <w:r>
        <w:rPr>
          <w:b/>
          <w:bCs/>
        </w:rPr>
        <w:t xml:space="preserve">Objectif : </w:t>
      </w:r>
      <w:r>
        <w:t xml:space="preserve">rendre les jeux de données accessibles aux clients Linux (NFS) et Windows (SMB).</w:t>
      </w:r>
    </w:p>
    <w:p>
      <w:pPr>
        <w:pStyle w:val="Heading3"/>
      </w:pPr>
      <w:r>
        <w:t xml:space="preserve">Manipulation réalisée</w:t>
      </w:r>
    </w:p>
    <w:p>
      <w:pPr>
        <w:pStyle w:val="ListParagraph"/>
        <w:numPr>
          <w:ilvl w:val="0"/>
          <w:numId w:val="2"/>
        </w:numPr>
        <w:spacing w:after="60"/>
      </w:pPr>
      <w:r>
        <w:t xml:space="preserve">Création des partages NFS et SMB sur les jeux de données.</w:t>
      </w:r>
    </w:p>
    <w:p>
      <w:pPr>
        <w:pStyle w:val="ListParagraph"/>
        <w:numPr>
          <w:ilvl w:val="0"/>
          <w:numId w:val="2"/>
        </w:numPr>
        <w:spacing w:after="60"/>
      </w:pPr>
      <w:r>
        <w:t xml:space="preserve">Tests depuis un client Linux, en utilisant les noms d'hôtes.</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showmount -e vir-qc-nas-01.equipe4.lan</w:t>
      </w:r>
    </w:p>
    <w:p>
      <w:pPr>
        <w:shd w:fill="F2F2F2" w:color="auto" w:val="clear"/>
        <w:spacing w:after="0" w:line="260"/>
        <w:ind w:left="120" w:right="120"/>
      </w:pPr>
      <w:r>
        <w:rPr>
          <w:rFonts w:ascii="Consolas" w:cs="Consolas" w:eastAsia="Consolas" w:hAnsi="Consolas"/>
          <w:sz w:val="18"/>
          <w:szCs w:val="18"/>
        </w:rPr>
        <w:t xml:space="preserve">sudo mount -t nfs vir-qc-nas-01.equipe4.lan:/mnt/&lt;pool&gt;/&lt;dataset&gt; /mnt/test</w:t>
      </w:r>
    </w:p>
    <w:p>
      <w:pPr>
        <w:shd w:fill="F2F2F2" w:color="auto" w:val="clear"/>
        <w:spacing w:after="0" w:line="260"/>
        <w:ind w:left="120" w:right="120"/>
      </w:pPr>
      <w:r>
        <w:rPr>
          <w:rFonts w:ascii="Consolas" w:cs="Consolas" w:eastAsia="Consolas" w:hAnsi="Consolas"/>
          <w:sz w:val="18"/>
          <w:szCs w:val="18"/>
        </w:rPr>
        <w:t xml:space="preserve">df -h | grep nfs</w:t>
      </w:r>
    </w:p>
    <w:p>
      <w:pPr>
        <w:shd w:fill="F2F2F2" w:color="auto" w:val="clear"/>
        <w:spacing w:after="160" w:line="260"/>
        <w:ind w:left="120" w:right="120"/>
      </w:pPr>
      <w:r>
        <w:rPr>
          <w:rFonts w:ascii="Consolas" w:cs="Consolas" w:eastAsia="Consolas" w:hAnsi="Consolas"/>
          <w:sz w:val="18"/>
          <w:szCs w:val="18"/>
        </w:rPr>
        <w:t xml:space="preserve">smbclient -L //vir-qc-nas-01.equipe4.lan -U &lt;utilisateur&gt; -m SMB2</w:t>
      </w:r>
    </w:p>
    <w:p>
      <w:pPr>
        <w:pStyle w:val="Heading3"/>
      </w:pPr>
      <w:r>
        <w:t xml:space="preserve">Réponse du système</w:t>
      </w:r>
    </w:p>
    <w:p>
      <w:pPr>
        <w:spacing w:after="120"/>
      </w:pPr>
      <w:r>
        <w:t xml:space="preserve">L'export NFS est listé et se monte ; smbclient liste les partages SMB.</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40 ici</w:t>
            </w:r>
          </w:p>
          <w:p>
            <w:pPr>
              <w:jc w:val="center"/>
            </w:pPr>
            <w:r>
              <w:rPr>
                <w:color w:val="808080"/>
                <w:sz w:val="20"/>
                <w:szCs w:val="20"/>
              </w:rPr>
              <w:t xml:space="preserve">showmount et montage NFS</w:t>
            </w:r>
          </w:p>
        </w:tc>
      </w:tr>
    </w:tbl>
    <w:p>
      <w:pPr>
        <w:spacing w:after="60" w:before="80"/>
        <w:jc w:val="center"/>
      </w:pPr>
      <w:r>
        <w:rPr>
          <w:i/>
          <w:iCs/>
          <w:sz w:val="20"/>
          <w:szCs w:val="20"/>
        </w:rPr>
        <w:t xml:space="preserve">Figure 40 — showmount et montage NFS</w:t>
      </w:r>
    </w:p>
    <w:p>
      <w:pPr>
        <w:spacing w:after="200"/>
      </w:pPr>
      <w:r>
        <w:rPr>
          <w:b/>
          <w:bCs/>
        </w:rPr>
        <w:t xml:space="preserve">Commentaire : </w:t>
      </w:r>
      <w:r>
        <w:t xml:space="preserve">cette capture montre que le partage NFS est utilisable.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41 ici</w:t>
            </w:r>
          </w:p>
          <w:p>
            <w:pPr>
              <w:jc w:val="center"/>
            </w:pPr>
            <w:r>
              <w:rPr>
                <w:color w:val="808080"/>
                <w:sz w:val="20"/>
                <w:szCs w:val="20"/>
              </w:rPr>
              <w:t xml:space="preserve">smbclient -L</w:t>
            </w:r>
          </w:p>
        </w:tc>
      </w:tr>
    </w:tbl>
    <w:p>
      <w:pPr>
        <w:spacing w:after="60" w:before="80"/>
        <w:jc w:val="center"/>
      </w:pPr>
      <w:r>
        <w:rPr>
          <w:i/>
          <w:iCs/>
          <w:sz w:val="20"/>
          <w:szCs w:val="20"/>
        </w:rPr>
        <w:t xml:space="preserve">Figure 41 — smbclient -L</w:t>
      </w:r>
    </w:p>
    <w:p>
      <w:pPr>
        <w:spacing w:after="200"/>
      </w:pPr>
      <w:r>
        <w:rPr>
          <w:b/>
          <w:bCs/>
        </w:rPr>
        <w:t xml:space="preserve">Commentaire : </w:t>
      </w:r>
      <w:r>
        <w:t xml:space="preserve">cette capture montre que les partages SMB sont accessibles.</w:t>
      </w:r>
    </w:p>
    <w:p>
      <w:pPr>
        <w:pStyle w:val="Heading1"/>
        <w:pageBreakBefore/>
      </w:pPr>
      <w:bookmarkStart w:name="h27" w:id="28"/>
      <w:r>
        <w:t xml:space="preserve">6. Démonstration 4 — NextCloud et supervision</w:t>
      </w:r>
      <w:bookmarkEnd w:id="28"/>
    </w:p>
    <w:p>
      <w:pPr>
        <w:spacing w:after="120"/>
      </w:pPr>
      <w:r>
        <w:rPr>
          <w:b/>
          <w:bCs/>
        </w:rPr>
        <w:t xml:space="preserve">Date de la démonstration : </w:t>
      </w:r>
      <w:r>
        <w:t xml:space="preserve">8 octobre 2026</w:t>
      </w:r>
    </w:p>
    <w:p>
      <w:pPr>
        <w:spacing w:after="120"/>
      </w:pPr>
      <w:r>
        <w:t xml:space="preserve">Cette démonstration déploie deux services en conteneurs : le partage de fichiers NextCloud et la supervision.</w:t>
      </w:r>
    </w:p>
    <w:p>
      <w:pPr>
        <w:pStyle w:val="Heading2"/>
      </w:pPr>
      <w:bookmarkStart w:name="h28" w:id="29"/>
      <w:r>
        <w:t xml:space="preserve">Étape 20 — NextCloud en conteneur (VIR-QC-NC-01)</w:t>
      </w:r>
      <w:bookmarkEnd w:id="29"/>
    </w:p>
    <w:p>
      <w:pPr>
        <w:spacing w:after="120"/>
      </w:pPr>
      <w:r>
        <w:rPr>
          <w:b/>
          <w:bCs/>
        </w:rPr>
        <w:t xml:space="preserve">Objectif : </w:t>
      </w:r>
      <w:r>
        <w:t xml:space="preserve">offrir un service de fichiers aux employés du département Informatique.</w:t>
      </w:r>
    </w:p>
    <w:p>
      <w:pPr>
        <w:pStyle w:val="Heading3"/>
      </w:pPr>
      <w:r>
        <w:t xml:space="preserve">Manipulation réalisée</w:t>
      </w:r>
    </w:p>
    <w:p>
      <w:pPr>
        <w:pStyle w:val="ListParagraph"/>
        <w:numPr>
          <w:ilvl w:val="0"/>
          <w:numId w:val="2"/>
        </w:numPr>
        <w:spacing w:after="60"/>
      </w:pPr>
      <w:r>
        <w:t xml:space="preserve">Installation de Docker et déploiement de NextCloud avec une base MariaDB (docker compose).</w:t>
      </w:r>
    </w:p>
    <w:p>
      <w:pPr>
        <w:pStyle w:val="ListParagraph"/>
        <w:numPr>
          <w:ilvl w:val="0"/>
          <w:numId w:val="2"/>
        </w:numPr>
        <w:spacing w:after="60"/>
      </w:pPr>
      <w:r>
        <w:t xml:space="preserve">Création d'un compte pour chaque employé du département Informatique.</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apt install docker.io docker-compose -y</w:t>
      </w:r>
    </w:p>
    <w:p>
      <w:pPr>
        <w:shd w:fill="F2F2F2" w:color="auto" w:val="clear"/>
        <w:spacing w:after="0" w:line="260"/>
        <w:ind w:left="120" w:right="120"/>
      </w:pPr>
      <w:r>
        <w:rPr>
          <w:rFonts w:ascii="Consolas" w:cs="Consolas" w:eastAsia="Consolas" w:hAnsi="Consolas"/>
          <w:sz w:val="18"/>
          <w:szCs w:val="18"/>
        </w:rPr>
        <w:t xml:space="preserve">docker compose up -d</w:t>
      </w:r>
    </w:p>
    <w:p>
      <w:pPr>
        <w:shd w:fill="F2F2F2" w:color="auto" w:val="clear"/>
        <w:spacing w:after="0" w:line="260"/>
        <w:ind w:left="120" w:right="120"/>
      </w:pPr>
      <w:r>
        <w:rPr>
          <w:rFonts w:ascii="Consolas" w:cs="Consolas" w:eastAsia="Consolas" w:hAnsi="Consolas"/>
          <w:sz w:val="18"/>
          <w:szCs w:val="18"/>
        </w:rPr>
        <w:t xml:space="preserve">docker ps</w:t>
      </w:r>
    </w:p>
    <w:p>
      <w:pPr>
        <w:shd w:fill="F2F2F2" w:color="auto" w:val="clear"/>
        <w:spacing w:after="160" w:line="260"/>
        <w:ind w:left="120" w:right="120"/>
      </w:pPr>
      <w:r>
        <w:rPr>
          <w:rFonts w:ascii="Consolas" w:cs="Consolas" w:eastAsia="Consolas" w:hAnsi="Consolas"/>
          <w:sz w:val="18"/>
          <w:szCs w:val="18"/>
        </w:rPr>
        <w:t xml:space="preserve">docker exec -u www-data &lt;conteneur&gt; php occ user:list</w:t>
      </w:r>
    </w:p>
    <w:p>
      <w:pPr>
        <w:pStyle w:val="Heading3"/>
      </w:pPr>
      <w:r>
        <w:t xml:space="preserve">Réponse du système</w:t>
      </w:r>
    </w:p>
    <w:p>
      <w:pPr>
        <w:spacing w:after="120"/>
      </w:pPr>
      <w:r>
        <w:t xml:space="preserve">Les conteneurs NextCloud et MariaDB sont « Up » et la liste des utilisateurs contient les comptes du département Informatique.</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42 ici</w:t>
            </w:r>
          </w:p>
          <w:p>
            <w:pPr>
              <w:jc w:val="center"/>
            </w:pPr>
            <w:r>
              <w:rPr>
                <w:color w:val="808080"/>
                <w:sz w:val="20"/>
                <w:szCs w:val="20"/>
              </w:rPr>
              <w:t xml:space="preserve">docker ps</w:t>
            </w:r>
          </w:p>
        </w:tc>
      </w:tr>
    </w:tbl>
    <w:p>
      <w:pPr>
        <w:spacing w:after="60" w:before="80"/>
        <w:jc w:val="center"/>
      </w:pPr>
      <w:r>
        <w:rPr>
          <w:i/>
          <w:iCs/>
          <w:sz w:val="20"/>
          <w:szCs w:val="20"/>
        </w:rPr>
        <w:t xml:space="preserve">Figure 42 — docker ps</w:t>
      </w:r>
    </w:p>
    <w:p>
      <w:pPr>
        <w:spacing w:after="200"/>
      </w:pPr>
      <w:r>
        <w:rPr>
          <w:b/>
          <w:bCs/>
        </w:rPr>
        <w:t xml:space="preserve">Commentaire : </w:t>
      </w:r>
      <w:r>
        <w:t xml:space="preserve">cette capture montre les conteneurs en fonctionnement.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43 ici</w:t>
            </w:r>
          </w:p>
          <w:p>
            <w:pPr>
              <w:jc w:val="center"/>
            </w:pPr>
            <w:r>
              <w:rPr>
                <w:color w:val="808080"/>
                <w:sz w:val="20"/>
                <w:szCs w:val="20"/>
              </w:rPr>
              <w:t xml:space="preserve">NextCloud → Utilisateurs</w:t>
            </w:r>
          </w:p>
        </w:tc>
      </w:tr>
    </w:tbl>
    <w:p>
      <w:pPr>
        <w:spacing w:after="60" w:before="80"/>
        <w:jc w:val="center"/>
      </w:pPr>
      <w:r>
        <w:rPr>
          <w:i/>
          <w:iCs/>
          <w:sz w:val="20"/>
          <w:szCs w:val="20"/>
        </w:rPr>
        <w:t xml:space="preserve">Figure 43 — NextCloud → Utilisateurs</w:t>
      </w:r>
    </w:p>
    <w:p>
      <w:pPr>
        <w:spacing w:after="200"/>
      </w:pPr>
      <w:r>
        <w:rPr>
          <w:b/>
          <w:bCs/>
        </w:rPr>
        <w:t xml:space="preserve">Commentaire : </w:t>
      </w:r>
      <w:r>
        <w:t xml:space="preserve">cette capture montre les comptes du département Informatique.</w:t>
      </w:r>
    </w:p>
    <w:p>
      <w:pPr>
        <w:pStyle w:val="Heading2"/>
      </w:pPr>
      <w:bookmarkStart w:name="h29" w:id="30"/>
      <w:r>
        <w:t xml:space="preserve">Étape 21 — Service de supervision (VIR-QC-MON-01)</w:t>
      </w:r>
      <w:bookmarkEnd w:id="30"/>
    </w:p>
    <w:p>
      <w:pPr>
        <w:spacing w:after="120"/>
      </w:pPr>
      <w:r>
        <w:rPr>
          <w:b/>
          <w:bCs/>
        </w:rPr>
        <w:t xml:space="preserve">Objectif : </w:t>
      </w:r>
      <w:r>
        <w:t xml:space="preserve">surveiller les serveurs avec un outil en conteneur.</w:t>
      </w:r>
    </w:p>
    <w:p>
      <w:pPr>
        <w:pStyle w:val="Heading3"/>
      </w:pPr>
      <w:r>
        <w:t xml:space="preserve">Manipulation réalisée</w:t>
      </w:r>
    </w:p>
    <w:p>
      <w:pPr>
        <w:pStyle w:val="ListParagraph"/>
        <w:numPr>
          <w:ilvl w:val="0"/>
          <w:numId w:val="2"/>
        </w:numPr>
        <w:spacing w:after="60"/>
      </w:pPr>
      <w:r>
        <w:t xml:space="preserve">Déploiement de l'outil choisi (Uptime Kuma, Zabbix ou Grafana + Prometheus) en conteneur.</w:t>
      </w:r>
    </w:p>
    <w:p>
      <w:pPr>
        <w:pStyle w:val="ListParagraph"/>
        <w:numPr>
          <w:ilvl w:val="0"/>
          <w:numId w:val="2"/>
        </w:numPr>
        <w:spacing w:after="60"/>
      </w:pPr>
      <w:r>
        <w:t xml:space="preserve">Ajout des sondes pour les serveurs.</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docker run -d -p 3001:3001 -v uptime:/app/data --name uptime-kuma louislam/uptime-kuma:1</w:t>
      </w:r>
    </w:p>
    <w:p>
      <w:pPr>
        <w:shd w:fill="F2F2F2" w:color="auto" w:val="clear"/>
        <w:spacing w:after="160" w:line="260"/>
        <w:ind w:left="120" w:right="120"/>
      </w:pPr>
      <w:r>
        <w:rPr>
          <w:rFonts w:ascii="Consolas" w:cs="Consolas" w:eastAsia="Consolas" w:hAnsi="Consolas"/>
          <w:sz w:val="18"/>
          <w:szCs w:val="18"/>
        </w:rPr>
        <w:t xml:space="preserve">docker ps</w:t>
      </w:r>
    </w:p>
    <w:p>
      <w:pPr>
        <w:pStyle w:val="Heading3"/>
      </w:pPr>
      <w:r>
        <w:t xml:space="preserve">Réponse du système</w:t>
      </w:r>
    </w:p>
    <w:p>
      <w:pPr>
        <w:spacing w:after="120"/>
      </w:pPr>
      <w:r>
        <w:t xml:space="preserve">Le tableau de bord affiche l'état de chaque serveur surveillé.</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44 ici</w:t>
            </w:r>
          </w:p>
          <w:p>
            <w:pPr>
              <w:jc w:val="center"/>
            </w:pPr>
            <w:r>
              <w:rPr>
                <w:color w:val="808080"/>
                <w:sz w:val="20"/>
                <w:szCs w:val="20"/>
              </w:rPr>
              <w:t xml:space="preserve">Tableau de bord de supervision</w:t>
            </w:r>
          </w:p>
        </w:tc>
      </w:tr>
    </w:tbl>
    <w:p>
      <w:pPr>
        <w:spacing w:after="60" w:before="80"/>
        <w:jc w:val="center"/>
      </w:pPr>
      <w:r>
        <w:rPr>
          <w:i/>
          <w:iCs/>
          <w:sz w:val="20"/>
          <w:szCs w:val="20"/>
        </w:rPr>
        <w:t xml:space="preserve">Figure 44 — Tableau de bord de supervision</w:t>
      </w:r>
    </w:p>
    <w:p>
      <w:pPr>
        <w:spacing w:after="200"/>
      </w:pPr>
      <w:r>
        <w:rPr>
          <w:b/>
          <w:bCs/>
        </w:rPr>
        <w:t xml:space="preserve">Commentaire : </w:t>
      </w:r>
      <w:r>
        <w:t xml:space="preserve">cette capture montre les serveurs surveillés et leur état.</w:t>
      </w:r>
    </w:p>
    <w:p>
      <w:pPr>
        <w:pStyle w:val="Heading2"/>
      </w:pPr>
      <w:bookmarkStart w:name="h30" w:id="31"/>
      <w:r>
        <w:t xml:space="preserve">Étape 22 — Gestion des conteneurs avec Dockhand</w:t>
      </w:r>
      <w:bookmarkEnd w:id="31"/>
    </w:p>
    <w:p>
      <w:pPr>
        <w:spacing w:after="120"/>
      </w:pPr>
      <w:r>
        <w:rPr>
          <w:b/>
          <w:bCs/>
        </w:rPr>
        <w:t xml:space="preserve">Objectif : </w:t>
      </w:r>
      <w:r>
        <w:t xml:space="preserve">gérer les conteneurs de chaque hôte Docker depuis une interface.</w:t>
      </w:r>
    </w:p>
    <w:p>
      <w:pPr>
        <w:pStyle w:val="Heading3"/>
      </w:pPr>
      <w:r>
        <w:t xml:space="preserve">Manipulation réalisée</w:t>
      </w:r>
    </w:p>
    <w:p>
      <w:pPr>
        <w:pStyle w:val="ListParagraph"/>
        <w:numPr>
          <w:ilvl w:val="0"/>
          <w:numId w:val="2"/>
        </w:numPr>
        <w:spacing w:after="60"/>
      </w:pPr>
      <w:r>
        <w:t xml:space="preserve">Installation de Dockhand sur chaque hôte Docker (NextCloud, supervision, Web).</w:t>
      </w:r>
    </w:p>
    <w:p>
      <w:pPr>
        <w:pStyle w:val="Heading3"/>
      </w:pPr>
      <w:r>
        <w:t xml:space="preserve">Commandes utilisées</w:t>
      </w:r>
    </w:p>
    <w:p>
      <w:pPr>
        <w:pBdr>
          <w:top w:val="single" w:color="BFBFBF" w:sz="4" w:space="4"/>
        </w:pBdr>
        <w:shd w:fill="F2F2F2" w:color="auto" w:val="clear"/>
        <w:spacing w:after="160" w:line="260"/>
        <w:ind w:left="120" w:right="120"/>
      </w:pPr>
      <w:r>
        <w:rPr>
          <w:rFonts w:ascii="Consolas" w:cs="Consolas" w:eastAsia="Consolas" w:hAnsi="Consolas"/>
          <w:sz w:val="18"/>
          <w:szCs w:val="18"/>
        </w:rPr>
        <w:t xml:space="preserve">docker ps</w:t>
      </w:r>
    </w:p>
    <w:p>
      <w:pPr>
        <w:pStyle w:val="Heading3"/>
      </w:pPr>
      <w:r>
        <w:t xml:space="preserve">Réponse du système</w:t>
      </w:r>
    </w:p>
    <w:p>
      <w:pPr>
        <w:spacing w:after="120"/>
      </w:pPr>
      <w:r>
        <w:t xml:space="preserve">Dockhand liste les conteneurs de l'hôte.</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45 ici</w:t>
            </w:r>
          </w:p>
          <w:p>
            <w:pPr>
              <w:jc w:val="center"/>
            </w:pPr>
            <w:r>
              <w:rPr>
                <w:color w:val="808080"/>
                <w:sz w:val="20"/>
                <w:szCs w:val="20"/>
              </w:rPr>
              <w:t xml:space="preserve">Interface de Dockhand</w:t>
            </w:r>
          </w:p>
        </w:tc>
      </w:tr>
    </w:tbl>
    <w:p>
      <w:pPr>
        <w:spacing w:after="60" w:before="80"/>
        <w:jc w:val="center"/>
      </w:pPr>
      <w:r>
        <w:rPr>
          <w:i/>
          <w:iCs/>
          <w:sz w:val="20"/>
          <w:szCs w:val="20"/>
        </w:rPr>
        <w:t xml:space="preserve">Figure 45 — Interface de Dockhand</w:t>
      </w:r>
    </w:p>
    <w:p>
      <w:pPr>
        <w:spacing w:after="200"/>
      </w:pPr>
      <w:r>
        <w:rPr>
          <w:b/>
          <w:bCs/>
        </w:rPr>
        <w:t xml:space="preserve">Commentaire : </w:t>
      </w:r>
      <w:r>
        <w:t xml:space="preserve">cette capture montre la gestion des conteneurs.</w:t>
      </w:r>
    </w:p>
    <w:p>
      <w:pPr>
        <w:pStyle w:val="Heading1"/>
        <w:pageBreakBefore/>
      </w:pPr>
      <w:bookmarkStart w:name="h31" w:id="32"/>
      <w:r>
        <w:t xml:space="preserve">7. Démonstration 5 — Site Web, supervision et pare-feux</w:t>
      </w:r>
      <w:bookmarkEnd w:id="32"/>
    </w:p>
    <w:p>
      <w:pPr>
        <w:spacing w:after="120"/>
      </w:pPr>
      <w:r>
        <w:rPr>
          <w:b/>
          <w:bCs/>
        </w:rPr>
        <w:t xml:space="preserve">Date de la démonstration : </w:t>
      </w:r>
      <w:r>
        <w:t xml:space="preserve">9 octobre 2026</w:t>
      </w:r>
    </w:p>
    <w:p>
      <w:pPr>
        <w:spacing w:after="120"/>
      </w:pPr>
      <w:r>
        <w:t xml:space="preserve">Cette démonstration termine le projet avec l'intranet sécurisé, la supervision complète, l'automatisation et la sécurité des hôtes.</w:t>
      </w:r>
    </w:p>
    <w:p>
      <w:pPr>
        <w:pStyle w:val="Heading2"/>
      </w:pPr>
      <w:bookmarkStart w:name="h32" w:id="33"/>
      <w:r>
        <w:t xml:space="preserve">Étape 23 — Site Web sécurisé HTTPS (VIR-QC-WEB-01)</w:t>
      </w:r>
      <w:bookmarkEnd w:id="33"/>
    </w:p>
    <w:p>
      <w:pPr>
        <w:spacing w:after="120"/>
      </w:pPr>
      <w:r>
        <w:rPr>
          <w:b/>
          <w:bCs/>
        </w:rPr>
        <w:t xml:space="preserve">Objectif : </w:t>
      </w:r>
      <w:r>
        <w:t xml:space="preserve">publier un intranet en HTTPS, accessible seulement depuis l'interne et géré par l'utilisateur tux.</w:t>
      </w:r>
    </w:p>
    <w:p>
      <w:pPr>
        <w:pStyle w:val="Heading3"/>
      </w:pPr>
      <w:r>
        <w:t xml:space="preserve">Manipulation réalisée</w:t>
      </w:r>
    </w:p>
    <w:p>
      <w:pPr>
        <w:pStyle w:val="ListParagraph"/>
        <w:numPr>
          <w:ilvl w:val="0"/>
          <w:numId w:val="2"/>
        </w:numPr>
        <w:spacing w:after="60"/>
      </w:pPr>
      <w:r>
        <w:t xml:space="preserve">Conteneur nginx avec certificat TLS auto-signé.</w:t>
      </w:r>
    </w:p>
    <w:p>
      <w:pPr>
        <w:pStyle w:val="ListParagraph"/>
        <w:numPr>
          <w:ilvl w:val="0"/>
          <w:numId w:val="2"/>
        </w:numPr>
        <w:spacing w:after="60"/>
      </w:pPr>
      <w:r>
        <w:t xml:space="preserve">Création de l'utilisateur tux ; root reste propriétaire des répertoires.</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useradd -m tux</w:t>
      </w:r>
    </w:p>
    <w:p>
      <w:pPr>
        <w:shd w:fill="F2F2F2" w:color="auto" w:val="clear"/>
        <w:spacing w:after="0" w:line="260"/>
        <w:ind w:left="120" w:right="120"/>
      </w:pPr>
      <w:r>
        <w:rPr>
          <w:rFonts w:ascii="Consolas" w:cs="Consolas" w:eastAsia="Consolas" w:hAnsi="Consolas"/>
          <w:sz w:val="18"/>
          <w:szCs w:val="18"/>
        </w:rPr>
        <w:t xml:space="preserve">chown -R root:tux /var/www/intranet</w:t>
      </w:r>
    </w:p>
    <w:p>
      <w:pPr>
        <w:shd w:fill="F2F2F2" w:color="auto" w:val="clear"/>
        <w:spacing w:after="0" w:line="260"/>
        <w:ind w:left="120" w:right="120"/>
      </w:pPr>
      <w:r>
        <w:rPr>
          <w:rFonts w:ascii="Consolas" w:cs="Consolas" w:eastAsia="Consolas" w:hAnsi="Consolas"/>
          <w:sz w:val="18"/>
          <w:szCs w:val="18"/>
        </w:rPr>
        <w:t xml:space="preserve">chmod -R 750 /var/www/intranet</w:t>
      </w:r>
    </w:p>
    <w:p>
      <w:pPr>
        <w:shd w:fill="F2F2F2" w:color="auto" w:val="clear"/>
        <w:spacing w:after="0" w:line="260"/>
        <w:ind w:left="120" w:right="120"/>
      </w:pPr>
      <w:r>
        <w:rPr>
          <w:rFonts w:ascii="Consolas" w:cs="Consolas" w:eastAsia="Consolas" w:hAnsi="Consolas"/>
          <w:sz w:val="18"/>
          <w:szCs w:val="18"/>
        </w:rPr>
        <w:t xml:space="preserve">openssl req -x509 -nodes -days 365 -newkey rsa:2048 -keyout intranet.key -out intranet.crt -subj "/CN=intranet.equipe4.lan"</w:t>
      </w:r>
    </w:p>
    <w:p>
      <w:pPr>
        <w:shd w:fill="F2F2F2" w:color="auto" w:val="clear"/>
        <w:spacing w:after="0" w:line="260"/>
        <w:ind w:left="120" w:right="120"/>
      </w:pPr>
      <w:r>
        <w:rPr>
          <w:rFonts w:ascii="Consolas" w:cs="Consolas" w:eastAsia="Consolas" w:hAnsi="Consolas"/>
          <w:sz w:val="18"/>
          <w:szCs w:val="18"/>
        </w:rPr>
        <w:t xml:space="preserve">ls -ld /var/www/intranet</w:t>
      </w:r>
    </w:p>
    <w:p>
      <w:pPr>
        <w:shd w:fill="F2F2F2" w:color="auto" w:val="clear"/>
        <w:spacing w:after="160" w:line="260"/>
        <w:ind w:left="120" w:right="120"/>
      </w:pPr>
      <w:r>
        <w:rPr>
          <w:rFonts w:ascii="Consolas" w:cs="Consolas" w:eastAsia="Consolas" w:hAnsi="Consolas"/>
          <w:sz w:val="18"/>
          <w:szCs w:val="18"/>
        </w:rPr>
        <w:t xml:space="preserve">curl -kI https://intranet.equipe4.lan</w:t>
      </w:r>
    </w:p>
    <w:p>
      <w:pPr>
        <w:pStyle w:val="Heading3"/>
      </w:pPr>
      <w:r>
        <w:t xml:space="preserve">Réponse du système</w:t>
      </w:r>
    </w:p>
    <w:p>
      <w:pPr>
        <w:spacing w:after="120"/>
      </w:pPr>
      <w:r>
        <w:t xml:space="preserve">Le site répond en HTTPS avec le certificat intranet.equipe4.lan ; les répertoires appartiennent à root avec le groupe tux.</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46 ici</w:t>
            </w:r>
          </w:p>
          <w:p>
            <w:pPr>
              <w:jc w:val="center"/>
            </w:pPr>
            <w:r>
              <w:rPr>
                <w:color w:val="808080"/>
                <w:sz w:val="20"/>
                <w:szCs w:val="20"/>
              </w:rPr>
              <w:t xml:space="preserve">Permissions de /var/www/intranet et id tux</w:t>
            </w:r>
          </w:p>
        </w:tc>
      </w:tr>
    </w:tbl>
    <w:p>
      <w:pPr>
        <w:spacing w:after="60" w:before="80"/>
        <w:jc w:val="center"/>
      </w:pPr>
      <w:r>
        <w:rPr>
          <w:i/>
          <w:iCs/>
          <w:sz w:val="20"/>
          <w:szCs w:val="20"/>
        </w:rPr>
        <w:t xml:space="preserve">Figure 46 — Permissions de /var/www/intranet et id tux</w:t>
      </w:r>
    </w:p>
    <w:p>
      <w:pPr>
        <w:spacing w:after="200"/>
      </w:pPr>
      <w:r>
        <w:rPr>
          <w:b/>
          <w:bCs/>
        </w:rPr>
        <w:t xml:space="preserve">Commentaire : </w:t>
      </w:r>
      <w:r>
        <w:t xml:space="preserve">cette capture montre la séparation des droits root / tux.</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47 ici</w:t>
            </w:r>
          </w:p>
          <w:p>
            <w:pPr>
              <w:jc w:val="center"/>
            </w:pPr>
            <w:r>
              <w:rPr>
                <w:color w:val="808080"/>
                <w:sz w:val="20"/>
                <w:szCs w:val="20"/>
              </w:rPr>
              <w:t xml:space="preserve">Site ouvert dans le navigateur</w:t>
            </w:r>
          </w:p>
        </w:tc>
      </w:tr>
    </w:tbl>
    <w:p>
      <w:pPr>
        <w:spacing w:after="60" w:before="80"/>
        <w:jc w:val="center"/>
      </w:pPr>
      <w:r>
        <w:rPr>
          <w:i/>
          <w:iCs/>
          <w:sz w:val="20"/>
          <w:szCs w:val="20"/>
        </w:rPr>
        <w:t xml:space="preserve">Figure 47 — Site ouvert dans le navigateur</w:t>
      </w:r>
    </w:p>
    <w:p>
      <w:pPr>
        <w:spacing w:after="200"/>
      </w:pPr>
      <w:r>
        <w:rPr>
          <w:b/>
          <w:bCs/>
        </w:rPr>
        <w:t xml:space="preserve">Commentaire : </w:t>
      </w:r>
      <w:r>
        <w:t xml:space="preserve">cette capture montre la connexion HTTPS.</w:t>
      </w:r>
    </w:p>
    <w:p>
      <w:pPr>
        <w:pStyle w:val="Heading2"/>
      </w:pPr>
      <w:bookmarkStart w:name="h33" w:id="34"/>
      <w:r>
        <w:t xml:space="preserve">Étape 24 — Supervision d'un serveur Windows et d'un serveur Linux</w:t>
      </w:r>
      <w:bookmarkEnd w:id="34"/>
    </w:p>
    <w:p>
      <w:pPr>
        <w:spacing w:after="120"/>
      </w:pPr>
      <w:r>
        <w:rPr>
          <w:b/>
          <w:bCs/>
        </w:rPr>
        <w:t xml:space="preserve">Objectif : </w:t>
      </w:r>
      <w:r>
        <w:t xml:space="preserve">surveiller au moins un serveur de chaque système avec les dépendances configurées.</w:t>
      </w:r>
    </w:p>
    <w:p>
      <w:pPr>
        <w:pStyle w:val="Heading3"/>
      </w:pPr>
      <w:r>
        <w:t xml:space="preserve">Manipulation réalisée</w:t>
      </w:r>
    </w:p>
    <w:p>
      <w:pPr>
        <w:pStyle w:val="ListParagraph"/>
        <w:numPr>
          <w:ilvl w:val="0"/>
          <w:numId w:val="2"/>
        </w:numPr>
        <w:spacing w:after="60"/>
      </w:pPr>
      <w:r>
        <w:t xml:space="preserve">Ajout d'un serveur Windows et d'un serveur Linux à la supervision.</w:t>
      </w:r>
    </w:p>
    <w:p>
      <w:pPr>
        <w:pStyle w:val="ListParagraph"/>
        <w:numPr>
          <w:ilvl w:val="0"/>
          <w:numId w:val="2"/>
        </w:numPr>
        <w:spacing w:after="60"/>
      </w:pPr>
      <w:r>
        <w:t xml:space="preserve">Configuration des dépendances (ex. un serveur dépend de pfSense).</w:t>
      </w:r>
    </w:p>
    <w:p>
      <w:pPr>
        <w:pStyle w:val="Heading3"/>
      </w:pPr>
      <w:r>
        <w:t xml:space="preserve">Réponse du système</w:t>
      </w:r>
    </w:p>
    <w:p>
      <w:pPr>
        <w:spacing w:after="120"/>
      </w:pPr>
      <w:r>
        <w:t xml:space="preserve">Les deux serveurs apparaissent « en ligne » et les dépendances sont définies.</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48 ici</w:t>
            </w:r>
          </w:p>
          <w:p>
            <w:pPr>
              <w:jc w:val="center"/>
            </w:pPr>
            <w:r>
              <w:rPr>
                <w:color w:val="808080"/>
                <w:sz w:val="20"/>
                <w:szCs w:val="20"/>
              </w:rPr>
              <w:t xml:space="preserve">Tableau de bord : serveurs Windows et Linux</w:t>
            </w:r>
          </w:p>
        </w:tc>
      </w:tr>
    </w:tbl>
    <w:p>
      <w:pPr>
        <w:spacing w:after="60" w:before="80"/>
        <w:jc w:val="center"/>
      </w:pPr>
      <w:r>
        <w:rPr>
          <w:i/>
          <w:iCs/>
          <w:sz w:val="20"/>
          <w:szCs w:val="20"/>
        </w:rPr>
        <w:t xml:space="preserve">Figure 48 — Tableau de bord : serveurs Windows et Linux</w:t>
      </w:r>
    </w:p>
    <w:p>
      <w:pPr>
        <w:spacing w:after="200"/>
      </w:pPr>
      <w:r>
        <w:rPr>
          <w:b/>
          <w:bCs/>
        </w:rPr>
        <w:t xml:space="preserve">Commentaire : </w:t>
      </w:r>
      <w:r>
        <w:t xml:space="preserve">cette capture montre la supervision des deux systèmes.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49 ici</w:t>
            </w:r>
          </w:p>
          <w:p>
            <w:pPr>
              <w:jc w:val="center"/>
            </w:pPr>
            <w:r>
              <w:rPr>
                <w:color w:val="808080"/>
                <w:sz w:val="20"/>
                <w:szCs w:val="20"/>
              </w:rPr>
              <w:t xml:space="preserve">Configuration des dépendances</w:t>
            </w:r>
          </w:p>
        </w:tc>
      </w:tr>
    </w:tbl>
    <w:p>
      <w:pPr>
        <w:spacing w:after="60" w:before="80"/>
        <w:jc w:val="center"/>
      </w:pPr>
      <w:r>
        <w:rPr>
          <w:i/>
          <w:iCs/>
          <w:sz w:val="20"/>
          <w:szCs w:val="20"/>
        </w:rPr>
        <w:t xml:space="preserve">Figure 49 — Configuration des dépendances</w:t>
      </w:r>
    </w:p>
    <w:p>
      <w:pPr>
        <w:spacing w:after="200"/>
      </w:pPr>
      <w:r>
        <w:rPr>
          <w:b/>
          <w:bCs/>
        </w:rPr>
        <w:t xml:space="preserve">Commentaire : </w:t>
      </w:r>
      <w:r>
        <w:t xml:space="preserve">cette capture montre les liens de dépendance.</w:t>
      </w:r>
    </w:p>
    <w:p>
      <w:pPr>
        <w:pStyle w:val="Heading2"/>
      </w:pPr>
      <w:bookmarkStart w:name="h34" w:id="35"/>
      <w:r>
        <w:t xml:space="preserve">Étape 25 — Pare-feux d'hôtes</w:t>
      </w:r>
      <w:bookmarkEnd w:id="35"/>
    </w:p>
    <w:p>
      <w:pPr>
        <w:spacing w:after="120"/>
      </w:pPr>
      <w:r>
        <w:rPr>
          <w:b/>
          <w:bCs/>
        </w:rPr>
        <w:t xml:space="preserve">Objectif : </w:t>
      </w:r>
      <w:r>
        <w:t xml:space="preserve">garder le pare-feu actif sur chaque serveur et poste.</w:t>
      </w:r>
    </w:p>
    <w:p>
      <w:pPr>
        <w:pStyle w:val="Heading3"/>
      </w:pPr>
      <w:r>
        <w:t xml:space="preserve">Manipulation réalisée</w:t>
      </w:r>
    </w:p>
    <w:p>
      <w:pPr>
        <w:pStyle w:val="ListParagraph"/>
        <w:numPr>
          <w:ilvl w:val="0"/>
          <w:numId w:val="2"/>
        </w:numPr>
        <w:spacing w:after="60"/>
      </w:pPr>
      <w:r>
        <w:t xml:space="preserve">Vérification des trois profils du pare-feu Windows.</w:t>
      </w:r>
    </w:p>
    <w:p>
      <w:pPr>
        <w:pStyle w:val="ListParagraph"/>
        <w:numPr>
          <w:ilvl w:val="0"/>
          <w:numId w:val="2"/>
        </w:numPr>
        <w:spacing w:after="60"/>
      </w:pPr>
      <w:r>
        <w:t xml:space="preserve">Activation et vérification du pare-feu sur les serveurs Linux.</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Get-NetFirewallProfile | Format-Table Name,Enabled</w:t>
      </w:r>
    </w:p>
    <w:p>
      <w:pPr>
        <w:shd w:fill="F2F2F2" w:color="auto" w:val="clear"/>
        <w:spacing w:after="160" w:line="260"/>
        <w:ind w:left="120" w:right="120"/>
      </w:pPr>
      <w:r>
        <w:rPr>
          <w:rFonts w:ascii="Consolas" w:cs="Consolas" w:eastAsia="Consolas" w:hAnsi="Consolas"/>
          <w:sz w:val="18"/>
          <w:szCs w:val="18"/>
        </w:rPr>
        <w:t xml:space="preserve">sudo ufw status verbose</w:t>
      </w:r>
    </w:p>
    <w:p>
      <w:pPr>
        <w:pStyle w:val="Heading3"/>
      </w:pPr>
      <w:r>
        <w:t xml:space="preserve">Réponse du système</w:t>
      </w:r>
    </w:p>
    <w:p>
      <w:pPr>
        <w:spacing w:after="120"/>
      </w:pPr>
      <w:r>
        <w:t xml:space="preserve">Les trois profils Windows sont à True et le pare-feu Linux est actif.</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50 ici</w:t>
            </w:r>
          </w:p>
          <w:p>
            <w:pPr>
              <w:jc w:val="center"/>
            </w:pPr>
            <w:r>
              <w:rPr>
                <w:color w:val="808080"/>
                <w:sz w:val="20"/>
                <w:szCs w:val="20"/>
              </w:rPr>
              <w:t xml:space="preserve">Get-NetFirewallProfile</w:t>
            </w:r>
          </w:p>
        </w:tc>
      </w:tr>
    </w:tbl>
    <w:p>
      <w:pPr>
        <w:spacing w:after="60" w:before="80"/>
        <w:jc w:val="center"/>
      </w:pPr>
      <w:r>
        <w:rPr>
          <w:i/>
          <w:iCs/>
          <w:sz w:val="20"/>
          <w:szCs w:val="20"/>
        </w:rPr>
        <w:t xml:space="preserve">Figure 50 — Get-NetFirewallProfile</w:t>
      </w:r>
    </w:p>
    <w:p>
      <w:pPr>
        <w:spacing w:after="200"/>
      </w:pPr>
      <w:r>
        <w:rPr>
          <w:b/>
          <w:bCs/>
        </w:rPr>
        <w:t xml:space="preserve">Commentaire : </w:t>
      </w:r>
      <w:r>
        <w:t xml:space="preserve">cette capture montre le pare-feu Windows actif.</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51 ici</w:t>
            </w:r>
          </w:p>
          <w:p>
            <w:pPr>
              <w:jc w:val="center"/>
            </w:pPr>
            <w:r>
              <w:rPr>
                <w:color w:val="808080"/>
                <w:sz w:val="20"/>
                <w:szCs w:val="20"/>
              </w:rPr>
              <w:t xml:space="preserve">ufw status</w:t>
            </w:r>
          </w:p>
        </w:tc>
      </w:tr>
    </w:tbl>
    <w:p>
      <w:pPr>
        <w:spacing w:after="60" w:before="80"/>
        <w:jc w:val="center"/>
      </w:pPr>
      <w:r>
        <w:rPr>
          <w:i/>
          <w:iCs/>
          <w:sz w:val="20"/>
          <w:szCs w:val="20"/>
        </w:rPr>
        <w:t xml:space="preserve">Figure 51 — ufw status</w:t>
      </w:r>
    </w:p>
    <w:p>
      <w:pPr>
        <w:spacing w:after="200"/>
      </w:pPr>
      <w:r>
        <w:rPr>
          <w:b/>
          <w:bCs/>
        </w:rPr>
        <w:t xml:space="preserve">Commentaire : </w:t>
      </w:r>
      <w:r>
        <w:t xml:space="preserve">cette capture montre le pare-feu Linux actif.</w:t>
      </w:r>
    </w:p>
    <w:p>
      <w:pPr>
        <w:pStyle w:val="Heading2"/>
      </w:pPr>
      <w:bookmarkStart w:name="h35" w:id="36"/>
      <w:r>
        <w:t xml:space="preserve">Étape 26 — Automatisation avec Ansible (VIR-QC-ANS-01)</w:t>
      </w:r>
      <w:bookmarkEnd w:id="36"/>
    </w:p>
    <w:p>
      <w:pPr>
        <w:spacing w:after="120"/>
      </w:pPr>
      <w:r>
        <w:rPr>
          <w:b/>
          <w:bCs/>
        </w:rPr>
        <w:t xml:space="preserve">Objectif : </w:t>
      </w:r>
      <w:r>
        <w:t xml:space="preserve">automatiser les mises à jour, l'installation d'outils et la collecte de métriques sur les serveurs Linux.</w:t>
      </w:r>
    </w:p>
    <w:p>
      <w:pPr>
        <w:pStyle w:val="Heading3"/>
      </w:pPr>
      <w:r>
        <w:t xml:space="preserve">Manipulation réalisée</w:t>
      </w:r>
    </w:p>
    <w:p>
      <w:pPr>
        <w:pStyle w:val="ListParagraph"/>
        <w:numPr>
          <w:ilvl w:val="0"/>
          <w:numId w:val="2"/>
        </w:numPr>
        <w:spacing w:after="60"/>
      </w:pPr>
      <w:r>
        <w:t xml:space="preserve">Installation d'Ansible et copie des clés SSH vers chaque cible.</w:t>
      </w:r>
    </w:p>
    <w:p>
      <w:pPr>
        <w:pStyle w:val="ListParagraph"/>
        <w:numPr>
          <w:ilvl w:val="0"/>
          <w:numId w:val="2"/>
        </w:numPr>
        <w:spacing w:after="60"/>
      </w:pPr>
      <w:r>
        <w:t xml:space="preserve">Exécution des playbooks maj-linux.yml, install-outils.yml et metriques.yml.</w:t>
      </w:r>
    </w:p>
    <w:p>
      <w:pPr>
        <w:pStyle w:val="ListParagraph"/>
        <w:numPr>
          <w:ilvl w:val="0"/>
          <w:numId w:val="2"/>
        </w:numPr>
        <w:spacing w:after="60"/>
      </w:pPr>
      <w:r>
        <w:t xml:space="preserve">Planification des mises à jour chaque soir avec cron.</w:t>
      </w:r>
    </w:p>
    <w:p>
      <w:pPr>
        <w:pStyle w:val="Heading3"/>
      </w:pPr>
      <w:r>
        <w:t xml:space="preserve">Commandes utilisées</w:t>
      </w:r>
    </w:p>
    <w:p>
      <w:pPr>
        <w:pBdr>
          <w:top w:val="single" w:color="BFBFBF" w:sz="4" w:space="4"/>
        </w:pBdr>
        <w:shd w:fill="F2F2F2" w:color="auto" w:val="clear"/>
        <w:spacing w:after="0" w:line="260"/>
        <w:ind w:left="120" w:right="120"/>
      </w:pPr>
      <w:r>
        <w:rPr>
          <w:rFonts w:ascii="Consolas" w:cs="Consolas" w:eastAsia="Consolas" w:hAnsi="Consolas"/>
          <w:sz w:val="18"/>
          <w:szCs w:val="18"/>
        </w:rPr>
        <w:t xml:space="preserve">apt install ansible -y</w:t>
      </w:r>
    </w:p>
    <w:p>
      <w:pPr>
        <w:shd w:fill="F2F2F2" w:color="auto" w:val="clear"/>
        <w:spacing w:after="0" w:line="260"/>
        <w:ind w:left="120" w:right="120"/>
      </w:pPr>
      <w:r>
        <w:rPr>
          <w:rFonts w:ascii="Consolas" w:cs="Consolas" w:eastAsia="Consolas" w:hAnsi="Consolas"/>
          <w:sz w:val="18"/>
          <w:szCs w:val="18"/>
        </w:rPr>
        <w:t xml:space="preserve">ssh-copy-id ansible@&lt;hôte&gt;</w:t>
      </w:r>
    </w:p>
    <w:p>
      <w:pPr>
        <w:shd w:fill="F2F2F2" w:color="auto" w:val="clear"/>
        <w:spacing w:after="0" w:line="260"/>
        <w:ind w:left="120" w:right="120"/>
      </w:pPr>
      <w:r>
        <w:rPr>
          <w:rFonts w:ascii="Consolas" w:cs="Consolas" w:eastAsia="Consolas" w:hAnsi="Consolas"/>
          <w:sz w:val="18"/>
          <w:szCs w:val="18"/>
        </w:rPr>
        <w:t xml:space="preserve">ansible-playbook -i inventory.ini maj-linux.yml</w:t>
      </w:r>
    </w:p>
    <w:p>
      <w:pPr>
        <w:shd w:fill="F2F2F2" w:color="auto" w:val="clear"/>
        <w:spacing w:after="160" w:line="260"/>
        <w:ind w:left="120" w:right="120"/>
      </w:pPr>
      <w:r>
        <w:rPr>
          <w:rFonts w:ascii="Consolas" w:cs="Consolas" w:eastAsia="Consolas" w:hAnsi="Consolas"/>
          <w:sz w:val="18"/>
          <w:szCs w:val="18"/>
        </w:rPr>
        <w:t xml:space="preserve">crontab -l</w:t>
      </w:r>
    </w:p>
    <w:p>
      <w:pPr>
        <w:pStyle w:val="Heading3"/>
      </w:pPr>
      <w:r>
        <w:t xml:space="preserve">Réponse du système</w:t>
      </w:r>
    </w:p>
    <w:p>
      <w:pPr>
        <w:spacing w:after="120"/>
      </w:pPr>
      <w:r>
        <w:t xml:space="preserve">Le récapitulatif (PLAY RECAP) indique ok/changed sans échec pour chaque hôte et la tâche cron est planifiée.</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Décrivez ce que votre système a réellement affiché (valeurs, messages) et tout écart par rapport à ce qui était attendu.</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52 ici</w:t>
            </w:r>
          </w:p>
          <w:p>
            <w:pPr>
              <w:jc w:val="center"/>
            </w:pPr>
            <w:r>
              <w:rPr>
                <w:color w:val="808080"/>
                <w:sz w:val="20"/>
                <w:szCs w:val="20"/>
              </w:rPr>
              <w:t xml:space="preserve">PLAY RECAP de maj-linux.yml</w:t>
            </w:r>
          </w:p>
        </w:tc>
      </w:tr>
    </w:tbl>
    <w:p>
      <w:pPr>
        <w:spacing w:after="60" w:before="80"/>
        <w:jc w:val="center"/>
      </w:pPr>
      <w:r>
        <w:rPr>
          <w:i/>
          <w:iCs/>
          <w:sz w:val="20"/>
          <w:szCs w:val="20"/>
        </w:rPr>
        <w:t xml:space="preserve">Figure 52 — PLAY RECAP de maj-linux.yml</w:t>
      </w:r>
    </w:p>
    <w:p>
      <w:pPr>
        <w:spacing w:after="200"/>
      </w:pPr>
      <w:r>
        <w:rPr>
          <w:b/>
          <w:bCs/>
        </w:rPr>
        <w:t xml:space="preserve">Commentaire : </w:t>
      </w:r>
      <w:r>
        <w:t xml:space="preserve">cette capture montre l'exécution réussie sur les hôtes.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8EA9C8" w:sz="6"/>
              <w:left w:val="dashed" w:color="8EA9C8" w:sz="6"/>
              <w:bottom w:val="dashed" w:color="8EA9C8" w:sz="6"/>
              <w:right w:val="dashed" w:color="8EA9C8" w:sz="6"/>
            </w:tcBorders>
            <w:shd w:fill="F7F9FC" w:color="auto" w:val="clear"/>
            <w:vAlign w:val="center"/>
          </w:tcPr>
          <w:p>
            <w:pPr>
              <w:jc w:val="center"/>
            </w:pPr>
            <w:r>
              <w:rPr>
                <w:b/>
                <w:bCs/>
                <w:color w:val="808080"/>
              </w:rPr>
              <w:t xml:space="preserve">Insérer la capture 53 ici</w:t>
            </w:r>
          </w:p>
          <w:p>
            <w:pPr>
              <w:jc w:val="center"/>
            </w:pPr>
            <w:r>
              <w:rPr>
                <w:color w:val="808080"/>
                <w:sz w:val="20"/>
                <w:szCs w:val="20"/>
              </w:rPr>
              <w:t xml:space="preserve">crontab -l</w:t>
            </w:r>
          </w:p>
        </w:tc>
      </w:tr>
    </w:tbl>
    <w:p>
      <w:pPr>
        <w:spacing w:after="60" w:before="80"/>
        <w:jc w:val="center"/>
      </w:pPr>
      <w:r>
        <w:rPr>
          <w:i/>
          <w:iCs/>
          <w:sz w:val="20"/>
          <w:szCs w:val="20"/>
        </w:rPr>
        <w:t xml:space="preserve">Figure 53 — crontab -l</w:t>
      </w:r>
    </w:p>
    <w:p>
      <w:pPr>
        <w:spacing w:after="200"/>
      </w:pPr>
      <w:r>
        <w:rPr>
          <w:b/>
          <w:bCs/>
        </w:rPr>
        <w:t xml:space="preserve">Commentaire : </w:t>
      </w:r>
      <w:r>
        <w:t xml:space="preserve">cette capture montre la planification du soir.</w:t>
      </w:r>
    </w:p>
    <w:p>
      <w:pPr>
        <w:pStyle w:val="Heading1"/>
        <w:pageBreakBefore/>
      </w:pPr>
      <w:bookmarkStart w:name="h36" w:id="37"/>
      <w:r>
        <w:t xml:space="preserve">8. Synthèse de la sécurité de l'infrastructure</w:t>
      </w:r>
      <w:bookmarkEnd w:id="37"/>
    </w:p>
    <w:p>
      <w:pPr>
        <w:pStyle w:val="ListParagraph"/>
        <w:numPr>
          <w:ilvl w:val="0"/>
          <w:numId w:val="2"/>
        </w:numPr>
        <w:spacing w:after="60"/>
      </w:pPr>
      <w:r>
        <w:t xml:space="preserve">Tous les serveurs, sauf les routeurs, reposent sur des volumes redondants (RAID 1 ou RAID 5).</w:t>
      </w:r>
    </w:p>
    <w:p>
      <w:pPr>
        <w:pStyle w:val="ListParagraph"/>
        <w:numPr>
          <w:ilvl w:val="0"/>
          <w:numId w:val="2"/>
        </w:numPr>
        <w:spacing w:after="60"/>
      </w:pPr>
      <w:r>
        <w:t xml:space="preserve">Le siège et les succursales sont reliés par des tunnels VPN pfSense.</w:t>
      </w:r>
    </w:p>
    <w:p>
      <w:pPr>
        <w:pStyle w:val="ListParagraph"/>
        <w:numPr>
          <w:ilvl w:val="0"/>
          <w:numId w:val="2"/>
        </w:numPr>
        <w:spacing w:after="60"/>
      </w:pPr>
      <w:r>
        <w:t xml:space="preserve">Les pare-feux des postes et des serveurs sont activés en tout temps ; pfSense applique un refus par défaut.</w:t>
      </w:r>
    </w:p>
    <w:p>
      <w:pPr>
        <w:pStyle w:val="ListParagraph"/>
        <w:numPr>
          <w:ilvl w:val="0"/>
          <w:numId w:val="2"/>
        </w:numPr>
        <w:spacing w:after="60"/>
      </w:pPr>
      <w:r>
        <w:t xml:space="preserve">Les VM sont sauvegardées chaque semaine sur PBS, avec vérification d'intégrité et snapshots avant chaque modification importante.</w:t>
      </w:r>
    </w:p>
    <w:p>
      <w:pPr>
        <w:pStyle w:val="ListParagraph"/>
        <w:numPr>
          <w:ilvl w:val="0"/>
          <w:numId w:val="2"/>
        </w:numPr>
        <w:spacing w:after="60"/>
      </w:pPr>
      <w:r>
        <w:t xml:space="preserve">Tous les éléments sont supervisés, avec leurs dépendances.</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Ajoutez les difficultés rencontrées et les solutions trouvées (une ou deux par service).</w:t>
      </w:r>
    </w:p>
    <w:p>
      <w:pPr>
        <w:pStyle w:val="Heading1"/>
        <w:pageBreakBefore/>
      </w:pPr>
      <w:bookmarkStart w:name="h37" w:id="38"/>
      <w:r>
        <w:t xml:space="preserve">9. Conclusions</w:t>
      </w:r>
      <w:bookmarkEnd w:id="38"/>
    </w:p>
    <w:p>
      <w:pPr>
        <w:spacing w:after="120"/>
      </w:pPr>
      <w:r>
        <w:t xml:space="preserve">Chaque membre de l'équipe rédige sa propre conclusion : ce qu'il a réalisé, ce qu'il a appris, les difficultés rencontrées et ce qu'il ferait autrement.</w:t>
      </w:r>
    </w:p>
    <w:p>
      <w:pPr>
        <w:pStyle w:val="Heading2"/>
      </w:pPr>
      <w:bookmarkStart w:name="h38" w:id="39"/>
      <w:r>
        <w:t xml:space="preserve">Conclusion de [Nom 1]</w:t>
      </w:r>
      <w:bookmarkEnd w:id="39"/>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Conclusion personnelle (au moins un paragraphe, rédigée par le membre lui-même).</w:t>
      </w:r>
    </w:p>
    <w:p>
      <w:pPr>
        <w:pStyle w:val="Heading2"/>
      </w:pPr>
      <w:bookmarkStart w:name="h39" w:id="40"/>
      <w:r>
        <w:t xml:space="preserve">Conclusion de [Nom 2]</w:t>
      </w:r>
      <w:bookmarkEnd w:id="40"/>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Conclusion personnelle (au moins un paragraphe, rédigée par le membre lui-même).</w:t>
      </w:r>
    </w:p>
    <w:p>
      <w:pPr>
        <w:pStyle w:val="Heading2"/>
      </w:pPr>
      <w:bookmarkStart w:name="h40" w:id="41"/>
      <w:r>
        <w:t xml:space="preserve">Conclusion de [Nom 3]</w:t>
      </w:r>
      <w:bookmarkEnd w:id="41"/>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Conclusion personnelle (au moins un paragraphe, rédigée par le membre lui-même).</w:t>
      </w:r>
    </w:p>
    <w:p>
      <w:pPr>
        <w:pStyle w:val="Heading2"/>
      </w:pPr>
      <w:bookmarkStart w:name="h41" w:id="42"/>
      <w:r>
        <w:t xml:space="preserve">Conclusion de [Nom 4]</w:t>
      </w:r>
      <w:bookmarkEnd w:id="42"/>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Conclusion personnelle (au moins un paragraphe, rédigée par le membre lui-même).</w:t>
      </w:r>
    </w:p>
    <w:p>
      <w:pPr>
        <w:pStyle w:val="Heading1"/>
        <w:pageBreakBefore/>
      </w:pPr>
      <w:bookmarkStart w:name="h42" w:id="43"/>
      <w:r>
        <w:t xml:space="preserve">10. Webographie</w:t>
      </w:r>
      <w:bookmarkEnd w:id="43"/>
    </w:p>
    <w:p>
      <w:pPr>
        <w:pStyle w:val="ListParagraph"/>
        <w:numPr>
          <w:ilvl w:val="0"/>
          <w:numId w:val="2"/>
        </w:numPr>
        <w:spacing w:after="60"/>
      </w:pPr>
      <w:r>
        <w:t xml:space="preserve">Proxmox VE — Documentation officielle . </w:t>
      </w:r>
      <w:r>
        <w:rPr>
          <w:color w:val="0563C1"/>
          <w:u w:val="single"/>
        </w:rPr>
        <w:t xml:space="preserve">https://pve.proxmox.com/wiki/Main_Page</w:t>
      </w:r>
      <w:r>
        <w:t xml:space="preserve"> (consulté le [date]).</w:t>
      </w:r>
    </w:p>
    <w:p>
      <w:pPr>
        <w:pStyle w:val="ListParagraph"/>
        <w:numPr>
          <w:ilvl w:val="0"/>
          <w:numId w:val="2"/>
        </w:numPr>
        <w:spacing w:after="60"/>
      </w:pPr>
      <w:r>
        <w:t xml:space="preserve">Proxmox Backup Server — Documentation . </w:t>
      </w:r>
      <w:r>
        <w:rPr>
          <w:color w:val="0563C1"/>
          <w:u w:val="single"/>
        </w:rPr>
        <w:t xml:space="preserve">https://pbs.proxmox.com/docs/</w:t>
      </w:r>
      <w:r>
        <w:t xml:space="preserve"> (consulté le [date]).</w:t>
      </w:r>
    </w:p>
    <w:p>
      <w:pPr>
        <w:pStyle w:val="ListParagraph"/>
        <w:numPr>
          <w:ilvl w:val="0"/>
          <w:numId w:val="2"/>
        </w:numPr>
        <w:spacing w:after="60"/>
      </w:pPr>
      <w:r>
        <w:t xml:space="preserve">Netgate — Documentation pfSense . </w:t>
      </w:r>
      <w:r>
        <w:rPr>
          <w:color w:val="0563C1"/>
          <w:u w:val="single"/>
        </w:rPr>
        <w:t xml:space="preserve">https://docs.netgate.com/pfsense/en/latest/</w:t>
      </w:r>
      <w:r>
        <w:t xml:space="preserve"> (consulté le [date]).</w:t>
      </w:r>
    </w:p>
    <w:p>
      <w:pPr>
        <w:pStyle w:val="ListParagraph"/>
        <w:numPr>
          <w:ilvl w:val="0"/>
          <w:numId w:val="2"/>
        </w:numPr>
        <w:spacing w:after="60"/>
      </w:pPr>
      <w:r>
        <w:t xml:space="preserve">Microsoft Learn — Active Directory Domain Services . </w:t>
      </w:r>
      <w:r>
        <w:rPr>
          <w:color w:val="0563C1"/>
          <w:u w:val="single"/>
        </w:rPr>
        <w:t xml:space="preserve">https://learn.microsoft.com/windows-server/identity/ad-ds/</w:t>
      </w:r>
      <w:r>
        <w:t xml:space="preserve"> (consulté le [date]).</w:t>
      </w:r>
    </w:p>
    <w:p>
      <w:pPr>
        <w:pStyle w:val="ListParagraph"/>
        <w:numPr>
          <w:ilvl w:val="0"/>
          <w:numId w:val="2"/>
        </w:numPr>
        <w:spacing w:after="60"/>
      </w:pPr>
      <w:r>
        <w:t xml:space="preserve">TrueNAS — Documentation . </w:t>
      </w:r>
      <w:r>
        <w:rPr>
          <w:color w:val="0563C1"/>
          <w:u w:val="single"/>
        </w:rPr>
        <w:t xml:space="preserve">https://www.truenas.com/docs/</w:t>
      </w:r>
      <w:r>
        <w:t xml:space="preserve"> (consulté le [date]).</w:t>
      </w:r>
    </w:p>
    <w:p>
      <w:pPr>
        <w:pStyle w:val="ListParagraph"/>
        <w:numPr>
          <w:ilvl w:val="0"/>
          <w:numId w:val="2"/>
        </w:numPr>
        <w:spacing w:after="60"/>
      </w:pPr>
      <w:r>
        <w:t xml:space="preserve">Ansible — Documentation . </w:t>
      </w:r>
      <w:r>
        <w:rPr>
          <w:color w:val="0563C1"/>
          <w:u w:val="single"/>
        </w:rPr>
        <w:t xml:space="preserve">https://docs.ansible.com/</w:t>
      </w:r>
      <w:r>
        <w:t xml:space="preserve"> (consulté le [date]).</w:t>
      </w:r>
    </w:p>
    <w:p>
      <w:pPr>
        <w:pStyle w:val="ListParagraph"/>
        <w:numPr>
          <w:ilvl w:val="0"/>
          <w:numId w:val="2"/>
        </w:numPr>
        <w:spacing w:after="60"/>
      </w:pPr>
      <w:r>
        <w:t xml:space="preserve">NextCloud — Documentation . </w:t>
      </w:r>
      <w:r>
        <w:rPr>
          <w:color w:val="0563C1"/>
          <w:u w:val="single"/>
        </w:rPr>
        <w:t xml:space="preserve">https://docs.nextcloud.com/</w:t>
      </w:r>
      <w:r>
        <w:t xml:space="preserve"> (consulté le [date]).</w:t>
      </w:r>
    </w:p>
    <w:p>
      <w:pPr>
        <w:pStyle w:val="ListParagraph"/>
        <w:numPr>
          <w:ilvl w:val="0"/>
          <w:numId w:val="2"/>
        </w:numPr>
        <w:spacing w:after="60"/>
      </w:pPr>
      <w:r>
        <w:t xml:space="preserve">Linux Professional Institute — Learning . </w:t>
      </w:r>
      <w:r>
        <w:rPr>
          <w:color w:val="0563C1"/>
          <w:u w:val="single"/>
        </w:rPr>
        <w:t xml:space="preserve">https://learning.lpi.org</w:t>
      </w:r>
      <w:r>
        <w:t xml:space="preserve"> (consulté le [date]).</w:t>
      </w:r>
    </w:p>
    <w:p>
      <w:pPr>
        <w:pBdr>
          <w:left w:val="single" w:color="BF9000" w:sz="18" w:space="6"/>
        </w:pBdr>
        <w:shd w:fill="FFF4CE" w:color="auto" w:val="clear"/>
        <w:spacing w:after="160" w:before="60"/>
        <w:ind w:left="120"/>
      </w:pPr>
      <w:r>
        <w:rPr>
          <w:b/>
          <w:bCs/>
          <w:color w:val="7F6000"/>
        </w:rPr>
        <w:t xml:space="preserve">[À compléter] </w:t>
      </w:r>
      <w:r>
        <w:rPr>
          <w:color w:val="7F6000"/>
        </w:rPr>
        <w:t xml:space="preserve">Ajoutez toutes les autres pages consultées pendant le projet.</w:t>
      </w:r>
    </w:p>
    <w:p>
      <w:pPr>
        <w:pStyle w:val="Heading1"/>
        <w:pageBreakBefore/>
      </w:pPr>
      <w:bookmarkStart w:name="h43" w:id="44"/>
      <w:r>
        <w:t xml:space="preserve">11. Annexe — Scripts utilisés</w:t>
      </w:r>
      <w:bookmarkEnd w:id="44"/>
    </w:p>
    <w:p>
      <w:pPr>
        <w:spacing w:after="120"/>
      </w:pPr>
      <w:r>
        <w:t xml:space="preserve">Les scripts fournis et utilisés pendant le projet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2160"/>
        <w:gridCol w:w="3100"/>
      </w:tblGrid>
      <w:tr>
        <w:trPr>
          <w:tblHeader/>
        </w:trPr>
        <w:tc>
          <w:tcPr>
            <w:tcW w:type="dxa" w:w="2700"/>
            <w:shd w:fill="1F4E79" w:color="auto" w:val="clear"/>
            <w:tcMar>
              <w:top w:type="dxa" w:w="60"/>
              <w:left w:type="dxa" w:w="100"/>
              <w:bottom w:type="dxa" w:w="60"/>
              <w:right w:type="dxa" w:w="100"/>
            </w:tcMar>
          </w:tcPr>
          <w:p>
            <w:r>
              <w:rPr>
                <w:b/>
                <w:bCs/>
                <w:color w:val="FFFFFF"/>
                <w:sz w:val="20"/>
                <w:szCs w:val="20"/>
              </w:rPr>
              <w:t xml:space="preserve">Script</w:t>
            </w:r>
          </w:p>
        </w:tc>
        <w:tc>
          <w:tcPr>
            <w:tcW w:type="dxa" w:w="1400"/>
            <w:shd w:fill="1F4E79" w:color="auto" w:val="clear"/>
            <w:tcMar>
              <w:top w:type="dxa" w:w="60"/>
              <w:left w:type="dxa" w:w="100"/>
              <w:bottom w:type="dxa" w:w="60"/>
              <w:right w:type="dxa" w:w="100"/>
            </w:tcMar>
          </w:tcPr>
          <w:p>
            <w:r>
              <w:rPr>
                <w:b/>
                <w:bCs/>
                <w:color w:val="FFFFFF"/>
                <w:sz w:val="20"/>
                <w:szCs w:val="20"/>
              </w:rPr>
              <w:t xml:space="preserve">Langage</w:t>
            </w:r>
          </w:p>
        </w:tc>
        <w:tc>
          <w:tcPr>
            <w:tcW w:type="dxa" w:w="2160"/>
            <w:shd w:fill="1F4E79" w:color="auto" w:val="clear"/>
            <w:tcMar>
              <w:top w:type="dxa" w:w="60"/>
              <w:left w:type="dxa" w:w="100"/>
              <w:bottom w:type="dxa" w:w="60"/>
              <w:right w:type="dxa" w:w="100"/>
            </w:tcMar>
          </w:tcPr>
          <w:p>
            <w:r>
              <w:rPr>
                <w:b/>
                <w:bCs/>
                <w:color w:val="FFFFFF"/>
                <w:sz w:val="20"/>
                <w:szCs w:val="20"/>
              </w:rPr>
              <w:t xml:space="preserve">Exécuté sur</w:t>
            </w:r>
          </w:p>
        </w:tc>
        <w:tc>
          <w:tcPr>
            <w:tcW w:type="dxa" w:w="3100"/>
            <w:shd w:fill="1F4E79" w:color="auto" w:val="clear"/>
            <w:tcMar>
              <w:top w:type="dxa" w:w="60"/>
              <w:left w:type="dxa" w:w="100"/>
              <w:bottom w:type="dxa" w:w="60"/>
              <w:right w:type="dxa" w:w="100"/>
            </w:tcMar>
          </w:tcPr>
          <w:p>
            <w:r>
              <w:rPr>
                <w:b/>
                <w:bCs/>
                <w:color w:val="FFFFFF"/>
                <w:sz w:val="20"/>
                <w:szCs w:val="20"/>
              </w:rPr>
              <w:t xml:space="preserve">Rôle</w:t>
            </w:r>
          </w:p>
        </w:tc>
      </w:tr>
      <w:tr>
        <w:trPr>
          <w:tblHeader w:val="off"/>
        </w:trPr>
        <w:tc>
          <w:tcPr>
            <w:tcW w:type="dxa" w:w="2700"/>
            <w:tcMar>
              <w:top w:type="dxa" w:w="60"/>
              <w:left w:type="dxa" w:w="100"/>
              <w:bottom w:type="dxa" w:w="60"/>
              <w:right w:type="dxa" w:w="100"/>
            </w:tcMar>
          </w:tcPr>
          <w:p>
            <w:r>
              <w:rPr>
                <w:b w:val="false"/>
                <w:bCs w:val="false"/>
                <w:sz w:val="20"/>
                <w:szCs w:val="20"/>
              </w:rPr>
              <w:t xml:space="preserve">creer-vm.sh</w:t>
            </w:r>
          </w:p>
        </w:tc>
        <w:tc>
          <w:tcPr>
            <w:tcW w:type="dxa" w:w="1400"/>
            <w:tcMar>
              <w:top w:type="dxa" w:w="60"/>
              <w:left w:type="dxa" w:w="100"/>
              <w:bottom w:type="dxa" w:w="60"/>
              <w:right w:type="dxa" w:w="100"/>
            </w:tcMar>
          </w:tcPr>
          <w:p>
            <w:r>
              <w:rPr>
                <w:b w:val="false"/>
                <w:bCs w:val="false"/>
                <w:sz w:val="20"/>
                <w:szCs w:val="20"/>
              </w:rPr>
              <w:t xml:space="preserve">Bash</w:t>
            </w:r>
          </w:p>
        </w:tc>
        <w:tc>
          <w:tcPr>
            <w:tcW w:type="dxa" w:w="2160"/>
            <w:tcMar>
              <w:top w:type="dxa" w:w="60"/>
              <w:left w:type="dxa" w:w="100"/>
              <w:bottom w:type="dxa" w:w="60"/>
              <w:right w:type="dxa" w:w="100"/>
            </w:tcMar>
          </w:tcPr>
          <w:p>
            <w:r>
              <w:rPr>
                <w:b w:val="false"/>
                <w:bCs w:val="false"/>
                <w:sz w:val="20"/>
                <w:szCs w:val="20"/>
              </w:rPr>
              <w:t xml:space="preserve">VIR-QC-PVE-01</w:t>
            </w:r>
          </w:p>
        </w:tc>
        <w:tc>
          <w:tcPr>
            <w:tcW w:type="dxa" w:w="3100"/>
            <w:tcMar>
              <w:top w:type="dxa" w:w="60"/>
              <w:left w:type="dxa" w:w="100"/>
              <w:bottom w:type="dxa" w:w="60"/>
              <w:right w:type="dxa" w:w="100"/>
            </w:tcMar>
          </w:tcPr>
          <w:p>
            <w:r>
              <w:rPr>
                <w:b w:val="false"/>
                <w:bCs w:val="false"/>
                <w:sz w:val="20"/>
                <w:szCs w:val="20"/>
              </w:rPr>
              <w:t xml:space="preserve">Création de VM (clone lié ou vierge)</w:t>
            </w:r>
          </w:p>
        </w:tc>
      </w:tr>
      <w:tr>
        <w:trPr>
          <w:tblHeader w:val="off"/>
        </w:trPr>
        <w:tc>
          <w:tcPr>
            <w:tcW w:type="dxa" w:w="2700"/>
            <w:shd w:fill="F3F6FA" w:color="auto" w:val="clear"/>
            <w:tcMar>
              <w:top w:type="dxa" w:w="60"/>
              <w:left w:type="dxa" w:w="100"/>
              <w:bottom w:type="dxa" w:w="60"/>
              <w:right w:type="dxa" w:w="100"/>
            </w:tcMar>
          </w:tcPr>
          <w:p>
            <w:r>
              <w:rPr>
                <w:b w:val="false"/>
                <w:bCs w:val="false"/>
                <w:sz w:val="20"/>
                <w:szCs w:val="20"/>
              </w:rPr>
              <w:t xml:space="preserve">Creer-Utilisateurs-AD.ps1</w:t>
            </w:r>
          </w:p>
        </w:tc>
        <w:tc>
          <w:tcPr>
            <w:tcW w:type="dxa" w:w="1400"/>
            <w:shd w:fill="F3F6FA" w:color="auto" w:val="clear"/>
            <w:tcMar>
              <w:top w:type="dxa" w:w="60"/>
              <w:left w:type="dxa" w:w="100"/>
              <w:bottom w:type="dxa" w:w="60"/>
              <w:right w:type="dxa" w:w="100"/>
            </w:tcMar>
          </w:tcPr>
          <w:p>
            <w:r>
              <w:rPr>
                <w:b w:val="false"/>
                <w:bCs w:val="false"/>
                <w:sz w:val="20"/>
                <w:szCs w:val="20"/>
              </w:rPr>
              <w:t xml:space="preserve">PowerShell</w:t>
            </w:r>
          </w:p>
        </w:tc>
        <w:tc>
          <w:tcPr>
            <w:tcW w:type="dxa" w:w="2160"/>
            <w:shd w:fill="F3F6FA" w:color="auto" w:val="clear"/>
            <w:tcMar>
              <w:top w:type="dxa" w:w="60"/>
              <w:left w:type="dxa" w:w="100"/>
              <w:bottom w:type="dxa" w:w="60"/>
              <w:right w:type="dxa" w:w="100"/>
            </w:tcMar>
          </w:tcPr>
          <w:p>
            <w:r>
              <w:rPr>
                <w:b w:val="false"/>
                <w:bCs w:val="false"/>
                <w:sz w:val="20"/>
                <w:szCs w:val="20"/>
              </w:rPr>
              <w:t xml:space="preserve">VIR-QC-DC-01</w:t>
            </w:r>
          </w:p>
        </w:tc>
        <w:tc>
          <w:tcPr>
            <w:tcW w:type="dxa" w:w="3100"/>
            <w:shd w:fill="F3F6FA" w:color="auto" w:val="clear"/>
            <w:tcMar>
              <w:top w:type="dxa" w:w="60"/>
              <w:left w:type="dxa" w:w="100"/>
              <w:bottom w:type="dxa" w:w="60"/>
              <w:right w:type="dxa" w:w="100"/>
            </w:tcMar>
          </w:tcPr>
          <w:p>
            <w:r>
              <w:rPr>
                <w:b w:val="false"/>
                <w:bCs w:val="false"/>
                <w:sz w:val="20"/>
                <w:szCs w:val="20"/>
              </w:rPr>
              <w:t xml:space="preserve">OU, groupes et 200 utilisateurs</w:t>
            </w:r>
          </w:p>
        </w:tc>
      </w:tr>
      <w:tr>
        <w:trPr>
          <w:tblHeader w:val="off"/>
        </w:trPr>
        <w:tc>
          <w:tcPr>
            <w:tcW w:type="dxa" w:w="2700"/>
            <w:tcMar>
              <w:top w:type="dxa" w:w="60"/>
              <w:left w:type="dxa" w:w="100"/>
              <w:bottom w:type="dxa" w:w="60"/>
              <w:right w:type="dxa" w:w="100"/>
            </w:tcMar>
          </w:tcPr>
          <w:p>
            <w:r>
              <w:rPr>
                <w:b w:val="false"/>
                <w:bCs w:val="false"/>
                <w:sz w:val="20"/>
                <w:szCs w:val="20"/>
              </w:rPr>
              <w:t xml:space="preserve">maj-linux.yml</w:t>
            </w:r>
          </w:p>
        </w:tc>
        <w:tc>
          <w:tcPr>
            <w:tcW w:type="dxa" w:w="1400"/>
            <w:tcMar>
              <w:top w:type="dxa" w:w="60"/>
              <w:left w:type="dxa" w:w="100"/>
              <w:bottom w:type="dxa" w:w="60"/>
              <w:right w:type="dxa" w:w="100"/>
            </w:tcMar>
          </w:tcPr>
          <w:p>
            <w:r>
              <w:rPr>
                <w:b w:val="false"/>
                <w:bCs w:val="false"/>
                <w:sz w:val="20"/>
                <w:szCs w:val="20"/>
              </w:rPr>
              <w:t xml:space="preserve">Ansible</w:t>
            </w:r>
          </w:p>
        </w:tc>
        <w:tc>
          <w:tcPr>
            <w:tcW w:type="dxa" w:w="2160"/>
            <w:tcMar>
              <w:top w:type="dxa" w:w="60"/>
              <w:left w:type="dxa" w:w="100"/>
              <w:bottom w:type="dxa" w:w="60"/>
              <w:right w:type="dxa" w:w="100"/>
            </w:tcMar>
          </w:tcPr>
          <w:p>
            <w:r>
              <w:rPr>
                <w:b w:val="false"/>
                <w:bCs w:val="false"/>
                <w:sz w:val="20"/>
                <w:szCs w:val="20"/>
              </w:rPr>
              <w:t xml:space="preserve">VIR-QC-ANS-01</w:t>
            </w:r>
          </w:p>
        </w:tc>
        <w:tc>
          <w:tcPr>
            <w:tcW w:type="dxa" w:w="3100"/>
            <w:tcMar>
              <w:top w:type="dxa" w:w="60"/>
              <w:left w:type="dxa" w:w="100"/>
              <w:bottom w:type="dxa" w:w="60"/>
              <w:right w:type="dxa" w:w="100"/>
            </w:tcMar>
          </w:tcPr>
          <w:p>
            <w:r>
              <w:rPr>
                <w:b w:val="false"/>
                <w:bCs w:val="false"/>
                <w:sz w:val="20"/>
                <w:szCs w:val="20"/>
              </w:rPr>
              <w:t xml:space="preserve">Mises à jour tous les soirs</w:t>
            </w:r>
          </w:p>
        </w:tc>
      </w:tr>
      <w:tr>
        <w:trPr>
          <w:tblHeader w:val="off"/>
        </w:trPr>
        <w:tc>
          <w:tcPr>
            <w:tcW w:type="dxa" w:w="2700"/>
            <w:shd w:fill="F3F6FA" w:color="auto" w:val="clear"/>
            <w:tcMar>
              <w:top w:type="dxa" w:w="60"/>
              <w:left w:type="dxa" w:w="100"/>
              <w:bottom w:type="dxa" w:w="60"/>
              <w:right w:type="dxa" w:w="100"/>
            </w:tcMar>
          </w:tcPr>
          <w:p>
            <w:r>
              <w:rPr>
                <w:b w:val="false"/>
                <w:bCs w:val="false"/>
                <w:sz w:val="20"/>
                <w:szCs w:val="20"/>
              </w:rPr>
              <w:t xml:space="preserve">install-outils.yml</w:t>
            </w:r>
          </w:p>
        </w:tc>
        <w:tc>
          <w:tcPr>
            <w:tcW w:type="dxa" w:w="1400"/>
            <w:shd w:fill="F3F6FA" w:color="auto" w:val="clear"/>
            <w:tcMar>
              <w:top w:type="dxa" w:w="60"/>
              <w:left w:type="dxa" w:w="100"/>
              <w:bottom w:type="dxa" w:w="60"/>
              <w:right w:type="dxa" w:w="100"/>
            </w:tcMar>
          </w:tcPr>
          <w:p>
            <w:r>
              <w:rPr>
                <w:b w:val="false"/>
                <w:bCs w:val="false"/>
                <w:sz w:val="20"/>
                <w:szCs w:val="20"/>
              </w:rPr>
              <w:t xml:space="preserve">Ansible</w:t>
            </w:r>
          </w:p>
        </w:tc>
        <w:tc>
          <w:tcPr>
            <w:tcW w:type="dxa" w:w="2160"/>
            <w:shd w:fill="F3F6FA" w:color="auto" w:val="clear"/>
            <w:tcMar>
              <w:top w:type="dxa" w:w="60"/>
              <w:left w:type="dxa" w:w="100"/>
              <w:bottom w:type="dxa" w:w="60"/>
              <w:right w:type="dxa" w:w="100"/>
            </w:tcMar>
          </w:tcPr>
          <w:p>
            <w:r>
              <w:rPr>
                <w:b w:val="false"/>
                <w:bCs w:val="false"/>
                <w:sz w:val="20"/>
                <w:szCs w:val="20"/>
              </w:rPr>
              <w:t xml:space="preserve">VIR-QC-ANS-01</w:t>
            </w:r>
          </w:p>
        </w:tc>
        <w:tc>
          <w:tcPr>
            <w:tcW w:type="dxa" w:w="3100"/>
            <w:shd w:fill="F3F6FA" w:color="auto" w:val="clear"/>
            <w:tcMar>
              <w:top w:type="dxa" w:w="60"/>
              <w:left w:type="dxa" w:w="100"/>
              <w:bottom w:type="dxa" w:w="60"/>
              <w:right w:type="dxa" w:w="100"/>
            </w:tcMar>
          </w:tcPr>
          <w:p>
            <w:r>
              <w:rPr>
                <w:b w:val="false"/>
                <w:bCs w:val="false"/>
                <w:sz w:val="20"/>
                <w:szCs w:val="20"/>
              </w:rPr>
              <w:t xml:space="preserve">curl, tree, net-tools, dnsutils</w:t>
            </w:r>
          </w:p>
        </w:tc>
      </w:tr>
      <w:tr>
        <w:trPr>
          <w:tblHeader w:val="off"/>
        </w:trPr>
        <w:tc>
          <w:tcPr>
            <w:tcW w:type="dxa" w:w="2700"/>
            <w:tcMar>
              <w:top w:type="dxa" w:w="60"/>
              <w:left w:type="dxa" w:w="100"/>
              <w:bottom w:type="dxa" w:w="60"/>
              <w:right w:type="dxa" w:w="100"/>
            </w:tcMar>
          </w:tcPr>
          <w:p>
            <w:r>
              <w:rPr>
                <w:b w:val="false"/>
                <w:bCs w:val="false"/>
                <w:sz w:val="20"/>
                <w:szCs w:val="20"/>
              </w:rPr>
              <w:t xml:space="preserve">metriques.yml</w:t>
            </w:r>
          </w:p>
        </w:tc>
        <w:tc>
          <w:tcPr>
            <w:tcW w:type="dxa" w:w="1400"/>
            <w:tcMar>
              <w:top w:type="dxa" w:w="60"/>
              <w:left w:type="dxa" w:w="100"/>
              <w:bottom w:type="dxa" w:w="60"/>
              <w:right w:type="dxa" w:w="100"/>
            </w:tcMar>
          </w:tcPr>
          <w:p>
            <w:r>
              <w:rPr>
                <w:b w:val="false"/>
                <w:bCs w:val="false"/>
                <w:sz w:val="20"/>
                <w:szCs w:val="20"/>
              </w:rPr>
              <w:t xml:space="preserve">Ansible</w:t>
            </w:r>
          </w:p>
        </w:tc>
        <w:tc>
          <w:tcPr>
            <w:tcW w:type="dxa" w:w="2160"/>
            <w:tcMar>
              <w:top w:type="dxa" w:w="60"/>
              <w:left w:type="dxa" w:w="100"/>
              <w:bottom w:type="dxa" w:w="60"/>
              <w:right w:type="dxa" w:w="100"/>
            </w:tcMar>
          </w:tcPr>
          <w:p>
            <w:r>
              <w:rPr>
                <w:b w:val="false"/>
                <w:bCs w:val="false"/>
                <w:sz w:val="20"/>
                <w:szCs w:val="20"/>
              </w:rPr>
              <w:t xml:space="preserve">VIR-QC-ANS-01</w:t>
            </w:r>
          </w:p>
        </w:tc>
        <w:tc>
          <w:tcPr>
            <w:tcW w:type="dxa" w:w="3100"/>
            <w:tcMar>
              <w:top w:type="dxa" w:w="60"/>
              <w:left w:type="dxa" w:w="100"/>
              <w:bottom w:type="dxa" w:w="60"/>
              <w:right w:type="dxa" w:w="100"/>
            </w:tcMar>
          </w:tcPr>
          <w:p>
            <w:r>
              <w:rPr>
                <w:b w:val="false"/>
                <w:bCs w:val="false"/>
                <w:sz w:val="20"/>
                <w:szCs w:val="20"/>
              </w:rPr>
              <w:t xml:space="preserve">Métriques CPU, RAM, stockage</w:t>
            </w:r>
          </w:p>
        </w:tc>
      </w:tr>
    </w:tbl>
    <w:p>
      <w:pPr>
        <w:pBdr>
          <w:left w:val="single" w:color="BF9000" w:sz="18" w:space="6"/>
        </w:pBdr>
        <w:shd w:fill="FFF4CE" w:color="auto" w:val="clear"/>
        <w:spacing w:after="160" w:before="60"/>
        <w:ind w:left="120"/>
      </w:pPr>
      <w:r>
        <w:rPr>
          <w:b/>
          <w:bCs/>
          <w:color w:val="7F6000"/>
        </w:rPr>
        <w:t xml:space="preserve">[À compléter] </w:t>
      </w:r>
      <w:r>
        <w:rPr>
          <w:color w:val="7F6000"/>
        </w:rPr>
        <w:t xml:space="preserve">Collez ici le code de chaque script, ou joignez-le en fichier séparé selon les consignes de l'enseignant.</w:t>
      </w:r>
    </w:p>
    <w:sectPr>
      <w:headerReference w:type="default" r:id="rId6"/>
      <w:footerReference w:type="default" r:id="rId7"/>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808080"/>
        <w:sz w:val="18"/>
        <w:szCs w:val="18"/>
      </w:rPr>
      <w:t xml:space="preserve">VIREXON Technologies — Rapport final</w:t>
    </w:r>
    <w:r>
      <w:rPr>
        <w:color w:val="808080"/>
        <w:sz w:val="18"/>
        <w:szCs w:val="18"/>
      </w:rPr>
      <w:ptab w:alignment="right" w:relativeTo="margin" w:leader="none"/>
      <w:t xml:space="preserve">Équipe 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32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0d7f46ab8d2c7721544748037895dcc818b48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 — Projet d'intégration 2</dc:title>
  <dc:creator>Équipe 04</dc:creator>
  <dc:description>Infrastructure virtualisée de VIREXON Technologies</dc:description>
  <cp:lastModifiedBy>Un-named</cp:lastModifiedBy>
  <cp:revision>1</cp:revision>
  <dcterms:created xsi:type="dcterms:W3CDTF">2026-09-28T15:04:35.210Z</dcterms:created>
  <dcterms:modified xsi:type="dcterms:W3CDTF">2026-09-28T15:04:35.211Z</dcterms:modified>
</cp:coreProperties>
</file>

<file path=docProps/custom.xml><?xml version="1.0" encoding="utf-8"?>
<Properties xmlns="http://schemas.openxmlformats.org/officeDocument/2006/custom-properties" xmlns:vt="http://schemas.openxmlformats.org/officeDocument/2006/docPropsVTypes"/>
</file>