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0"/>
        </w:rPr>
        <w:t>Twin Cessna Accident Database White Paper</w:t>
      </w:r>
    </w:p>
    <w:p>
      <w:pPr>
        <w:pStyle w:val="Normal"/>
        <w:jc w:val="center"/>
        <w:rPr/>
      </w:pPr>
      <w:r>
        <w:rPr>
          <w:b/>
          <w:sz w:val="26"/>
        </w:rPr>
        <w:t>Executive Overview for the Twin Cessna Safety Committee</w:t>
      </w:r>
    </w:p>
    <w:p>
      <w:pPr>
        <w:pStyle w:val="Normal"/>
        <w:jc w:val="center"/>
        <w:rPr/>
      </w:pPr>
      <w:r>
        <w:rPr>
          <w:i/>
          <w:sz w:val="18"/>
        </w:rPr>
        <w:t>Prepared from current structured accident pattern summaries as of April 25, 2026</w:t>
      </w:r>
    </w:p>
    <w:p>
      <w:pPr>
        <w:pStyle w:val="Normal"/>
        <w:rPr/>
      </w:pPr>
      <w:r>
        <w:rPr/>
      </w:r>
    </w:p>
    <w:p>
      <w:pPr>
        <w:pStyle w:val="Heading1"/>
        <w:rPr/>
      </w:pPr>
      <w:r>
        <w:rPr/>
        <w:t>Analysis Header</w:t>
      </w:r>
    </w:p>
    <w:p>
      <w:pPr>
        <w:pStyle w:val="ListBullet"/>
        <w:numPr>
          <w:ilvl w:val="0"/>
          <w:numId w:val="1"/>
        </w:numPr>
        <w:rPr/>
      </w:pPr>
      <w:r>
        <w:rPr/>
        <w:t>**taxonomy_version:** 1.3</w:t>
      </w:r>
    </w:p>
    <w:p>
      <w:pPr>
        <w:pStyle w:val="ListBullet"/>
        <w:numPr>
          <w:ilvl w:val="0"/>
          <w:numId w:val="1"/>
        </w:numPr>
        <w:rPr/>
      </w:pPr>
      <w:r>
        <w:rPr/>
        <w:t>**dataset_size_total:** 227 accidents</w:t>
      </w:r>
    </w:p>
    <w:p>
      <w:pPr>
        <w:pStyle w:val="ListBullet"/>
        <w:numPr>
          <w:ilvl w:val="0"/>
          <w:numId w:val="1"/>
        </w:numPr>
        <w:rPr/>
      </w:pPr>
      <w:r>
        <w:rPr/>
        <w:t>**dataset_size_per_model:** C310: 137; C320: 15; C340: 48; C402: 27</w:t>
      </w:r>
    </w:p>
    <w:p>
      <w:pPr>
        <w:pStyle w:val="ListBullet"/>
        <w:numPr>
          <w:ilvl w:val="0"/>
          <w:numId w:val="1"/>
        </w:numPr>
        <w:rPr/>
      </w:pPr>
      <w:r>
        <w:rPr/>
        <w:t>**unknown_factor_rate:** 0.256 assignment-based</w:t>
      </w:r>
    </w:p>
    <w:p>
      <w:pPr>
        <w:pStyle w:val="ListBullet"/>
        <w:numPr>
          <w:ilvl w:val="0"/>
          <w:numId w:val="1"/>
        </w:numPr>
        <w:rPr/>
      </w:pPr>
      <w:r>
        <w:rPr/>
        <w:t>**analysis_gate_status:** Fleet gate OPEN (&gt;=75 total). Cross-model comparisons permitted. Counts-only; no exposure-based rates without exposure data.</w:t>
      </w:r>
    </w:p>
    <w:p>
      <w:pPr>
        <w:pStyle w:val="Normal"/>
        <w:rPr/>
      </w:pPr>
      <w:r>
        <w:rPr>
          <w:i/>
          <w:sz w:val="18"/>
        </w:rPr>
        <w:t>Interpretation guardrail: all findings in this paper are counts-only. They describe what appears more frequently in the current structured accident dataset. They are not exposure-adjusted risk rates and should not be read as proof that one model, mission type, or operation type is inherently more dangerous than another.</w:t>
      </w:r>
    </w:p>
    <w:p>
      <w:pPr>
        <w:pStyle w:val="Heading1"/>
        <w:rPr/>
      </w:pPr>
      <w:r>
        <w:rPr/>
        <w:t>Executive Summary</w:t>
      </w:r>
    </w:p>
    <w:p>
      <w:pPr>
        <w:pStyle w:val="Normal"/>
        <w:spacing w:before="0" w:after="120"/>
        <w:rPr/>
      </w:pPr>
      <w:r>
        <w:rPr/>
        <w:t xml:space="preserve">The current accident database supports an evidence-backed, committee-level discussion of repeatable Twin Cessna accident patterns. The dominant pattern in the Twin Cessna dataset is not a single failure mode, but a consistent clustering of events by phase of flight, with model-specific differences in causal drivers within those phases. Approach and landing phases concentrate the majority of events across all models, while the </w:t>
      </w:r>
      <w:r>
        <w:rPr>
          <w:rStyle w:val="Emphasis"/>
        </w:rPr>
        <w:t>causal factors within those phases differ by aircraft type</w:t>
      </w:r>
      <w:r>
        <w:rPr/>
        <w:t xml:space="preserve">—with decision-making and checklist discipline dominating across the fleet, and maintenance, performance, or training factors varying by model. The most frequent coded contributing factors are </w:t>
      </w:r>
      <w:r>
        <w:rPr>
          <w:b/>
        </w:rPr>
        <w:t>plan_continuation_bias</w:t>
      </w:r>
      <w:r>
        <w:rPr/>
        <w:t xml:space="preserve">, </w:t>
      </w:r>
      <w:r>
        <w:rPr>
          <w:b/>
        </w:rPr>
        <w:t>checklist_non_compliance</w:t>
      </w:r>
      <w:r>
        <w:rPr/>
        <w:t xml:space="preserve">, </w:t>
      </w:r>
      <w:r>
        <w:rPr>
          <w:b/>
        </w:rPr>
        <w:t>maintenance_induced_failure</w:t>
      </w:r>
      <w:r>
        <w:rPr/>
        <w:t xml:space="preserve">, </w:t>
      </w:r>
      <w:r>
        <w:rPr>
          <w:b/>
        </w:rPr>
        <w:t>low_time_in_type</w:t>
      </w:r>
      <w:r>
        <w:rPr/>
        <w:t xml:space="preserve">, and </w:t>
      </w:r>
      <w:r>
        <w:rPr>
          <w:b/>
        </w:rPr>
        <w:t>task_saturation</w:t>
      </w:r>
      <w:r>
        <w:rPr/>
        <w:t>.</w:t>
      </w:r>
    </w:p>
    <w:p>
      <w:pPr>
        <w:pStyle w:val="Normal"/>
        <w:spacing w:before="0" w:after="120"/>
        <w:rPr/>
      </w:pPr>
      <w:r>
        <w:rPr/>
        <w:t>The clearest safety opportunity is to move from broad “be careful” messaging to targeted standardization: checklists, decision triggers, post-maintenance verification, type-specific transition training, and abnormal-scenario workload management. These priorities are grounded in observed dataset frequencies, not anecdote.</w:t>
      </w:r>
    </w:p>
    <w:p>
      <w:pPr>
        <w:pStyle w:val="Normal"/>
        <w:spacing w:before="0" w:after="120"/>
        <w:rPr/>
      </w:pPr>
      <w:r>
        <w:rPr/>
        <w:t xml:space="preserve">Completion status matters. As of </w:t>
      </w:r>
      <w:r>
        <w:rPr>
          <w:b/>
        </w:rPr>
        <w:t>April 25, 2026</w:t>
      </w:r>
      <w:r>
        <w:rPr/>
        <w:t xml:space="preserve">, the </w:t>
      </w:r>
      <w:r>
        <w:rPr>
          <w:b/>
        </w:rPr>
        <w:t xml:space="preserve">Cessna 310, 320, 340, </w:t>
      </w:r>
      <w:r>
        <w:rPr>
          <w:b/>
        </w:rPr>
        <w:t>C402 and C414</w:t>
      </w:r>
      <w:r>
        <w:rPr>
          <w:b/>
        </w:rPr>
        <w:t xml:space="preserve"> datasets are complete for the 2006–2026 period</w:t>
      </w:r>
      <w:r>
        <w:rPr/>
        <w:t xml:space="preserve">. </w:t>
      </w:r>
      <w:r>
        <w:rPr/>
        <w:t>Remaining</w:t>
      </w:r>
      <w:r>
        <w:rPr/>
        <w:t xml:space="preserve"> models in the Twin Cessna fleet are coming soon. For committee use, this means the fleet-level findings are mature enough to guide near-term safety discussion, while model-specific comparison language should remain carefully qualified until additional model histories are completed.</w:t>
      </w:r>
    </w:p>
    <w:p>
      <w:pPr>
        <w:pStyle w:val="Heading1"/>
        <w:rPr/>
      </w:pPr>
      <w:r>
        <w:rPr/>
        <w:t>Methodology Used to Produce This White Paper</w:t>
      </w:r>
    </w:p>
    <w:p>
      <w:pPr>
        <w:pStyle w:val="Normal"/>
        <w:spacing w:before="0" w:after="120"/>
        <w:rPr/>
      </w:pPr>
      <w:r>
        <w:rPr/>
        <w:t>This white paper was produced from the latest generated pattern-summary outputs and cross-model comparison output available on April 25, 2026. The source data are structured accident records derived from NTSB accident material and compiled into the master accident dataset. Each structured record represents one aircraft occurrence and uses the project data dictionary to maintain controlled vocabulary, traceability, and validation discipline.</w:t>
      </w:r>
    </w:p>
    <w:p>
      <w:pPr>
        <w:pStyle w:val="ListBullet"/>
        <w:numPr>
          <w:ilvl w:val="0"/>
          <w:numId w:val="1"/>
        </w:numPr>
        <w:rPr/>
      </w:pPr>
      <w:r>
        <w:rPr/>
        <w:t>Primary source material: structured accident records derived from NTSB reports, summarized through the project pattern-summary scripts.</w:t>
      </w:r>
    </w:p>
    <w:p>
      <w:pPr>
        <w:pStyle w:val="ListBullet"/>
        <w:numPr>
          <w:ilvl w:val="0"/>
          <w:numId w:val="1"/>
        </w:numPr>
        <w:rPr/>
      </w:pPr>
      <w:r>
        <w:rPr/>
        <w:t>Analytical scope: accidents only; accident data are not merged with ASRS or incident data for frequency analysis.</w:t>
      </w:r>
    </w:p>
    <w:p>
      <w:pPr>
        <w:pStyle w:val="ListBullet"/>
        <w:numPr>
          <w:ilvl w:val="0"/>
          <w:numId w:val="1"/>
        </w:numPr>
        <w:rPr/>
      </w:pPr>
      <w:r>
        <w:rPr/>
        <w:t xml:space="preserve">Aircraft included in the current fleet summary: C310, C320, C340, C402 </w:t>
      </w:r>
      <w:r>
        <w:rPr/>
        <w:t>and C414</w:t>
      </w:r>
      <w:r>
        <w:rPr/>
        <w:t>.</w:t>
      </w:r>
    </w:p>
    <w:p>
      <w:pPr>
        <w:pStyle w:val="ListBullet"/>
        <w:numPr>
          <w:ilvl w:val="0"/>
          <w:numId w:val="1"/>
        </w:numPr>
        <w:rPr/>
      </w:pPr>
      <w:r>
        <w:rPr/>
        <w:t>Taxonomy version: 1.3.</w:t>
      </w:r>
    </w:p>
    <w:p>
      <w:pPr>
        <w:pStyle w:val="ListBullet"/>
        <w:numPr>
          <w:ilvl w:val="0"/>
          <w:numId w:val="1"/>
        </w:numPr>
        <w:rPr/>
      </w:pPr>
      <w:r>
        <w:rPr/>
        <w:t>Counting method: events_with_factor, event_type counts, phase counts, phase × event type counts, phase × factor counts, event type × factor counts, and operation type × factor counts.</w:t>
      </w:r>
    </w:p>
    <w:p>
      <w:pPr>
        <w:pStyle w:val="ListBullet"/>
        <w:numPr>
          <w:ilvl w:val="0"/>
          <w:numId w:val="1"/>
        </w:numPr>
        <w:rPr/>
      </w:pPr>
      <w:r>
        <w:rPr/>
        <w:t>Interpretation method: counts-only descriptive analysis. No exposure-adjusted rate inference was made.</w:t>
      </w:r>
    </w:p>
    <w:p>
      <w:pPr>
        <w:pStyle w:val="ListBullet"/>
        <w:numPr>
          <w:ilvl w:val="0"/>
          <w:numId w:val="1"/>
        </w:numPr>
        <w:rPr/>
      </w:pPr>
      <w:r>
        <w:rPr/>
        <w:t>Guardrail: shares are interpreted as share of the current dataset slice, not fleet risk rates.</w:t>
      </w:r>
    </w:p>
    <w:p>
      <w:pPr>
        <w:pStyle w:val="ListBullet"/>
        <w:numPr>
          <w:ilvl w:val="0"/>
          <w:numId w:val="1"/>
        </w:numPr>
        <w:rPr/>
      </w:pPr>
      <w:r>
        <w:rPr/>
        <w:t xml:space="preserve">Maturity note: the C310 , 320, </w:t>
      </w:r>
      <w:r>
        <w:rPr/>
        <w:t>C34</w:t>
      </w:r>
      <w:r>
        <w:rPr/>
        <w:t xml:space="preserve">0, </w:t>
      </w:r>
      <w:r>
        <w:rPr/>
        <w:t>C402, and C414</w:t>
      </w:r>
      <w:r>
        <w:rPr/>
        <w:t xml:space="preserve"> slices are complete from 2006 through 2026; other model slices are currently in progress.</w:t>
      </w:r>
    </w:p>
    <w:p>
      <w:pPr>
        <w:pStyle w:val="Normal"/>
        <w:spacing w:before="0" w:after="120"/>
        <w:rPr/>
      </w:pPr>
      <w:r>
        <w:rPr/>
        <w:t>The project data dictionary requires controlled fields for aircraft model, operation type, phase of flight, weather category, maintenance context, pilot experience bands, event type, severity fields, prevention category, and contributing factors. It also limits each event to a maximum of three primary contributing factors. This structure is what makes the dataset suitable for phase clustering, cross-model comparison, severity separation, and eventually true factor-pair co-occurrence analysis.</w:t>
      </w:r>
    </w:p>
    <w:p>
      <w:pPr>
        <w:pStyle w:val="Heading1"/>
        <w:rPr/>
      </w:pPr>
      <w:r>
        <w:rPr/>
        <w:t>Dataset Completion Status as of April 25, 2026</w:t>
      </w:r>
    </w:p>
    <w:p>
      <w:pPr>
        <w:pStyle w:val="Normal"/>
        <w:spacing w:before="0" w:after="120"/>
        <w:rPr/>
      </w:pPr>
      <w:r>
        <w:rPr/>
        <w:t>The current dataset contains 227 structured accident records across C310, C320, C340, and C402. The C310 represents the bulk of the current dataset and is the first model currently complete across the 2006–2026 horizon. C340 and C402 have at least 27 records each and are included in the current analysis because they meet the project gate for model-level pattern summaries; however, some record completeness is still in progress. Additional Twin Cessna models will be added as the structured record pipeline continues.</w:t>
      </w:r>
    </w:p>
    <w:p>
      <w:pPr>
        <w:pStyle w:val="Normal"/>
        <w:spacing w:before="0" w:after="0"/>
        <w:rPr>
          <w:rFonts w:ascii="Courier New" w:hAnsi="Courier New"/>
          <w:sz w:val="14"/>
        </w:rPr>
      </w:pPr>
      <w:r>
        <w:rPr>
          <w:rFonts w:ascii="Courier New" w:hAnsi="Courier New"/>
          <w:sz w:val="14"/>
        </w:rPr>
      </w:r>
    </w:p>
    <w:tbl>
      <w:tblPr>
        <w:tblW w:w="6851" w:type="dxa"/>
        <w:jc w:val="left"/>
        <w:tblInd w:w="28" w:type="dxa"/>
        <w:tblLayout w:type="fixed"/>
        <w:tblCellMar>
          <w:top w:w="28" w:type="dxa"/>
          <w:left w:w="28" w:type="dxa"/>
          <w:bottom w:w="28" w:type="dxa"/>
          <w:right w:w="28" w:type="dxa"/>
        </w:tblCellMar>
      </w:tblPr>
      <w:tblGrid>
        <w:gridCol w:w="739"/>
        <w:gridCol w:w="768"/>
        <w:gridCol w:w="605"/>
        <w:gridCol w:w="835"/>
        <w:gridCol w:w="3904"/>
      </w:tblGrid>
      <w:tr>
        <w:trPr>
          <w:tblHeader w:val="true"/>
        </w:trPr>
        <w:tc>
          <w:tcPr>
            <w:tcW w:w="739" w:type="dxa"/>
            <w:tcBorders/>
            <w:vAlign w:val="center"/>
          </w:tcPr>
          <w:p>
            <w:pPr>
              <w:pStyle w:val="TableHeading"/>
              <w:suppressLineNumbers/>
              <w:spacing w:before="0" w:after="200"/>
              <w:jc w:val="center"/>
              <w:rPr/>
            </w:pPr>
            <w:r>
              <w:rPr/>
              <w:t>Model</w:t>
            </w:r>
          </w:p>
        </w:tc>
        <w:tc>
          <w:tcPr>
            <w:tcW w:w="768" w:type="dxa"/>
            <w:tcBorders/>
            <w:vAlign w:val="center"/>
          </w:tcPr>
          <w:p>
            <w:pPr>
              <w:pStyle w:val="TableHeading"/>
              <w:suppressLineNumbers/>
              <w:spacing w:before="0" w:after="200"/>
              <w:jc w:val="center"/>
              <w:rPr/>
            </w:pPr>
            <w:r>
              <w:rPr/>
              <w:t>Events</w:t>
            </w:r>
          </w:p>
        </w:tc>
        <w:tc>
          <w:tcPr>
            <w:tcW w:w="605" w:type="dxa"/>
            <w:tcBorders/>
            <w:vAlign w:val="center"/>
          </w:tcPr>
          <w:p>
            <w:pPr>
              <w:pStyle w:val="TableHeading"/>
              <w:suppressLineNumbers/>
              <w:spacing w:before="0" w:after="200"/>
              <w:jc w:val="center"/>
              <w:rPr/>
            </w:pPr>
            <w:r>
              <w:rPr/>
              <w:t>Fatal</w:t>
            </w:r>
          </w:p>
        </w:tc>
        <w:tc>
          <w:tcPr>
            <w:tcW w:w="835" w:type="dxa"/>
            <w:tcBorders/>
            <w:vAlign w:val="center"/>
          </w:tcPr>
          <w:p>
            <w:pPr>
              <w:pStyle w:val="TableHeading"/>
              <w:suppressLineNumbers/>
              <w:spacing w:before="0" w:after="200"/>
              <w:jc w:val="center"/>
              <w:rPr/>
            </w:pPr>
            <w:r>
              <w:rPr/>
              <w:t>Fatal %</w:t>
            </w:r>
          </w:p>
        </w:tc>
        <w:tc>
          <w:tcPr>
            <w:tcW w:w="3904" w:type="dxa"/>
            <w:tcBorders/>
            <w:vAlign w:val="center"/>
          </w:tcPr>
          <w:p>
            <w:pPr>
              <w:pStyle w:val="TableHeading"/>
              <w:suppressLineNumbers/>
              <w:spacing w:before="0" w:after="200"/>
              <w:jc w:val="center"/>
              <w:rPr/>
            </w:pPr>
            <w:r>
              <w:rPr/>
              <w:t>Key Note</w:t>
            </w:r>
          </w:p>
        </w:tc>
      </w:tr>
      <w:tr>
        <w:trPr/>
        <w:tc>
          <w:tcPr>
            <w:tcW w:w="739" w:type="dxa"/>
            <w:tcBorders/>
            <w:vAlign w:val="center"/>
          </w:tcPr>
          <w:p>
            <w:pPr>
              <w:pStyle w:val="TableContents"/>
              <w:widowControl w:val="false"/>
              <w:suppressLineNumbers/>
              <w:spacing w:before="0" w:after="200"/>
              <w:rPr/>
            </w:pPr>
            <w:r>
              <w:rPr/>
              <w:t>C310</w:t>
            </w:r>
          </w:p>
        </w:tc>
        <w:tc>
          <w:tcPr>
            <w:tcW w:w="768" w:type="dxa"/>
            <w:tcBorders/>
            <w:vAlign w:val="center"/>
          </w:tcPr>
          <w:p>
            <w:pPr>
              <w:pStyle w:val="TableContents"/>
              <w:widowControl w:val="false"/>
              <w:suppressLineNumbers/>
              <w:spacing w:before="0" w:after="200"/>
              <w:rPr/>
            </w:pPr>
            <w:r>
              <w:rPr/>
              <w:t>137</w:t>
            </w:r>
          </w:p>
        </w:tc>
        <w:tc>
          <w:tcPr>
            <w:tcW w:w="605" w:type="dxa"/>
            <w:tcBorders/>
            <w:vAlign w:val="center"/>
          </w:tcPr>
          <w:p>
            <w:pPr>
              <w:pStyle w:val="TableContents"/>
              <w:widowControl w:val="false"/>
              <w:suppressLineNumbers/>
              <w:spacing w:before="0" w:after="200"/>
              <w:rPr/>
            </w:pPr>
            <w:r>
              <w:rPr/>
              <w:t>50</w:t>
            </w:r>
          </w:p>
        </w:tc>
        <w:tc>
          <w:tcPr>
            <w:tcW w:w="835" w:type="dxa"/>
            <w:tcBorders/>
            <w:vAlign w:val="center"/>
          </w:tcPr>
          <w:p>
            <w:pPr>
              <w:pStyle w:val="TableContents"/>
              <w:widowControl w:val="false"/>
              <w:suppressLineNumbers/>
              <w:spacing w:before="0" w:after="200"/>
              <w:rPr/>
            </w:pPr>
            <w:r>
              <w:rPr/>
              <w:t>36%</w:t>
            </w:r>
          </w:p>
        </w:tc>
        <w:tc>
          <w:tcPr>
            <w:tcW w:w="3904" w:type="dxa"/>
            <w:tcBorders/>
            <w:vAlign w:val="center"/>
          </w:tcPr>
          <w:p>
            <w:pPr>
              <w:pStyle w:val="TableContents"/>
              <w:widowControl w:val="false"/>
              <w:suppressLineNumbers/>
              <w:spacing w:before="0" w:after="200"/>
              <w:rPr/>
            </w:pPr>
            <w:r>
              <w:rPr/>
              <w:t>fully complete dataset (2006–2026)</w:t>
            </w:r>
          </w:p>
        </w:tc>
      </w:tr>
      <w:tr>
        <w:trPr/>
        <w:tc>
          <w:tcPr>
            <w:tcW w:w="739" w:type="dxa"/>
            <w:tcBorders/>
            <w:vAlign w:val="center"/>
          </w:tcPr>
          <w:p>
            <w:pPr>
              <w:pStyle w:val="TableContents"/>
              <w:widowControl w:val="false"/>
              <w:suppressLineNumbers/>
              <w:spacing w:before="0" w:after="200"/>
              <w:rPr/>
            </w:pPr>
            <w:r>
              <w:rPr/>
              <w:t>C320</w:t>
            </w:r>
          </w:p>
        </w:tc>
        <w:tc>
          <w:tcPr>
            <w:tcW w:w="768" w:type="dxa"/>
            <w:tcBorders/>
            <w:vAlign w:val="center"/>
          </w:tcPr>
          <w:p>
            <w:pPr>
              <w:pStyle w:val="TableContents"/>
              <w:widowControl w:val="false"/>
              <w:suppressLineNumbers/>
              <w:spacing w:before="0" w:after="200"/>
              <w:rPr/>
            </w:pPr>
            <w:r>
              <w:rPr/>
              <w:t>15</w:t>
            </w:r>
          </w:p>
        </w:tc>
        <w:tc>
          <w:tcPr>
            <w:tcW w:w="605" w:type="dxa"/>
            <w:tcBorders/>
            <w:vAlign w:val="center"/>
          </w:tcPr>
          <w:p>
            <w:pPr>
              <w:pStyle w:val="TableContents"/>
              <w:widowControl w:val="false"/>
              <w:suppressLineNumbers/>
              <w:spacing w:before="0" w:after="200"/>
              <w:rPr/>
            </w:pPr>
            <w:r>
              <w:rPr/>
              <w:t>9</w:t>
            </w:r>
          </w:p>
        </w:tc>
        <w:tc>
          <w:tcPr>
            <w:tcW w:w="835" w:type="dxa"/>
            <w:tcBorders/>
            <w:vAlign w:val="center"/>
          </w:tcPr>
          <w:p>
            <w:pPr>
              <w:pStyle w:val="TableContents"/>
              <w:widowControl w:val="false"/>
              <w:suppressLineNumbers/>
              <w:spacing w:before="0" w:after="200"/>
              <w:rPr/>
            </w:pPr>
            <w:r>
              <w:rPr/>
              <w:t>60%</w:t>
            </w:r>
          </w:p>
        </w:tc>
        <w:tc>
          <w:tcPr>
            <w:tcW w:w="3904" w:type="dxa"/>
            <w:tcBorders/>
            <w:vAlign w:val="center"/>
          </w:tcPr>
          <w:p>
            <w:pPr>
              <w:pStyle w:val="TableContents"/>
              <w:widowControl w:val="false"/>
              <w:suppressLineNumbers/>
              <w:spacing w:before="0" w:after="200"/>
              <w:rPr/>
            </w:pPr>
            <w:r>
              <w:rPr/>
              <w:t>Fully complete dataset, small sample</w:t>
            </w:r>
          </w:p>
        </w:tc>
      </w:tr>
      <w:tr>
        <w:trPr/>
        <w:tc>
          <w:tcPr>
            <w:tcW w:w="739" w:type="dxa"/>
            <w:tcBorders/>
            <w:vAlign w:val="center"/>
          </w:tcPr>
          <w:p>
            <w:pPr>
              <w:pStyle w:val="TableContents"/>
              <w:widowControl w:val="false"/>
              <w:suppressLineNumbers/>
              <w:spacing w:before="0" w:after="200"/>
              <w:rPr/>
            </w:pPr>
            <w:r>
              <w:rPr/>
              <w:t>C340</w:t>
            </w:r>
          </w:p>
        </w:tc>
        <w:tc>
          <w:tcPr>
            <w:tcW w:w="768" w:type="dxa"/>
            <w:tcBorders/>
            <w:vAlign w:val="center"/>
          </w:tcPr>
          <w:p>
            <w:pPr>
              <w:pStyle w:val="TableContents"/>
              <w:widowControl w:val="false"/>
              <w:suppressLineNumbers/>
              <w:spacing w:before="0" w:after="200"/>
              <w:rPr/>
            </w:pPr>
            <w:r>
              <w:rPr/>
              <w:t>48</w:t>
            </w:r>
          </w:p>
        </w:tc>
        <w:tc>
          <w:tcPr>
            <w:tcW w:w="605" w:type="dxa"/>
            <w:tcBorders/>
            <w:vAlign w:val="center"/>
          </w:tcPr>
          <w:p>
            <w:pPr>
              <w:pStyle w:val="TableContents"/>
              <w:widowControl w:val="false"/>
              <w:suppressLineNumbers/>
              <w:spacing w:before="0" w:after="200"/>
              <w:rPr/>
            </w:pPr>
            <w:r>
              <w:rPr/>
              <w:t>20</w:t>
            </w:r>
          </w:p>
        </w:tc>
        <w:tc>
          <w:tcPr>
            <w:tcW w:w="835" w:type="dxa"/>
            <w:tcBorders/>
            <w:vAlign w:val="center"/>
          </w:tcPr>
          <w:p>
            <w:pPr>
              <w:pStyle w:val="TableContents"/>
              <w:widowControl w:val="false"/>
              <w:suppressLineNumbers/>
              <w:spacing w:before="0" w:after="200"/>
              <w:rPr/>
            </w:pPr>
            <w:r>
              <w:rPr/>
              <w:t>42%</w:t>
            </w:r>
          </w:p>
        </w:tc>
        <w:tc>
          <w:tcPr>
            <w:tcW w:w="3904" w:type="dxa"/>
            <w:tcBorders/>
            <w:vAlign w:val="center"/>
          </w:tcPr>
          <w:p>
            <w:pPr>
              <w:pStyle w:val="TableContents"/>
              <w:widowControl w:val="false"/>
              <w:suppressLineNumbers/>
              <w:spacing w:before="0" w:after="200"/>
              <w:rPr/>
            </w:pPr>
            <w:r>
              <w:rPr/>
              <w:t>Complete dataset; higher fatal share</w:t>
            </w:r>
          </w:p>
        </w:tc>
      </w:tr>
      <w:tr>
        <w:trPr/>
        <w:tc>
          <w:tcPr>
            <w:tcW w:w="739" w:type="dxa"/>
            <w:tcBorders/>
            <w:vAlign w:val="center"/>
          </w:tcPr>
          <w:p>
            <w:pPr>
              <w:pStyle w:val="TableContents"/>
              <w:widowControl w:val="false"/>
              <w:suppressLineNumbers/>
              <w:spacing w:before="0" w:after="200"/>
              <w:rPr/>
            </w:pPr>
            <w:r>
              <w:rPr/>
              <w:t>C402</w:t>
            </w:r>
          </w:p>
        </w:tc>
        <w:tc>
          <w:tcPr>
            <w:tcW w:w="768" w:type="dxa"/>
            <w:tcBorders/>
            <w:vAlign w:val="center"/>
          </w:tcPr>
          <w:p>
            <w:pPr>
              <w:pStyle w:val="TableContents"/>
              <w:widowControl w:val="false"/>
              <w:suppressLineNumbers/>
              <w:spacing w:before="0" w:after="200"/>
              <w:rPr/>
            </w:pPr>
            <w:r>
              <w:rPr/>
              <w:t>49</w:t>
            </w:r>
          </w:p>
        </w:tc>
        <w:tc>
          <w:tcPr>
            <w:tcW w:w="605" w:type="dxa"/>
            <w:tcBorders/>
            <w:vAlign w:val="center"/>
          </w:tcPr>
          <w:p>
            <w:pPr>
              <w:pStyle w:val="TableContents"/>
              <w:widowControl w:val="false"/>
              <w:suppressLineNumbers/>
              <w:spacing w:before="0" w:after="200"/>
              <w:rPr/>
            </w:pPr>
            <w:r>
              <w:rPr/>
              <w:t>2</w:t>
            </w:r>
          </w:p>
        </w:tc>
        <w:tc>
          <w:tcPr>
            <w:tcW w:w="835" w:type="dxa"/>
            <w:tcBorders/>
            <w:vAlign w:val="center"/>
          </w:tcPr>
          <w:p>
            <w:pPr>
              <w:pStyle w:val="TableContents"/>
              <w:widowControl w:val="false"/>
              <w:suppressLineNumbers/>
              <w:spacing w:before="0" w:after="200"/>
              <w:rPr/>
            </w:pPr>
            <w:r>
              <w:rPr/>
              <w:t>7%</w:t>
            </w:r>
          </w:p>
        </w:tc>
        <w:tc>
          <w:tcPr>
            <w:tcW w:w="3904" w:type="dxa"/>
            <w:tcBorders/>
            <w:vAlign w:val="center"/>
          </w:tcPr>
          <w:p>
            <w:pPr>
              <w:pStyle w:val="TableContents"/>
              <w:widowControl w:val="false"/>
              <w:suppressLineNumbers/>
              <w:spacing w:before="0" w:after="200"/>
              <w:rPr/>
            </w:pPr>
            <w:r>
              <w:rPr/>
              <w:t>Mostly non-fatal; Part 135-heavy</w:t>
            </w:r>
          </w:p>
        </w:tc>
      </w:tr>
      <w:tr>
        <w:trPr/>
        <w:tc>
          <w:tcPr>
            <w:tcW w:w="739" w:type="dxa"/>
            <w:tcBorders/>
            <w:vAlign w:val="center"/>
          </w:tcPr>
          <w:p>
            <w:pPr>
              <w:pStyle w:val="TableContents"/>
              <w:widowControl w:val="false"/>
              <w:suppressLineNumbers/>
              <w:spacing w:before="0" w:after="200"/>
              <w:rPr/>
            </w:pPr>
            <w:r>
              <w:rPr/>
              <w:t>C414</w:t>
            </w:r>
          </w:p>
        </w:tc>
        <w:tc>
          <w:tcPr>
            <w:tcW w:w="768" w:type="dxa"/>
            <w:tcBorders/>
            <w:vAlign w:val="center"/>
          </w:tcPr>
          <w:p>
            <w:pPr>
              <w:pStyle w:val="TableContents"/>
              <w:widowControl w:val="false"/>
              <w:suppressLineNumbers/>
              <w:spacing w:before="0" w:after="200"/>
              <w:rPr/>
            </w:pPr>
            <w:r>
              <w:rPr/>
              <w:t>37</w:t>
            </w:r>
          </w:p>
        </w:tc>
        <w:tc>
          <w:tcPr>
            <w:tcW w:w="605" w:type="dxa"/>
            <w:tcBorders/>
            <w:vAlign w:val="center"/>
          </w:tcPr>
          <w:p>
            <w:pPr>
              <w:pStyle w:val="TableContents"/>
              <w:widowControl w:val="false"/>
              <w:suppressLineNumbers/>
              <w:spacing w:before="0" w:after="200"/>
              <w:rPr/>
            </w:pPr>
            <w:r>
              <w:rPr/>
              <w:t>14</w:t>
            </w:r>
          </w:p>
        </w:tc>
        <w:tc>
          <w:tcPr>
            <w:tcW w:w="835" w:type="dxa"/>
            <w:tcBorders/>
            <w:vAlign w:val="center"/>
          </w:tcPr>
          <w:p>
            <w:pPr>
              <w:pStyle w:val="TableContents"/>
              <w:widowControl w:val="false"/>
              <w:suppressLineNumbers/>
              <w:spacing w:before="0" w:after="200"/>
              <w:rPr/>
            </w:pPr>
            <w:r>
              <w:rPr/>
              <w:t>38%</w:t>
            </w:r>
          </w:p>
        </w:tc>
        <w:tc>
          <w:tcPr>
            <w:tcW w:w="3904" w:type="dxa"/>
            <w:tcBorders/>
            <w:vAlign w:val="center"/>
          </w:tcPr>
          <w:p>
            <w:pPr>
              <w:pStyle w:val="TableContents"/>
              <w:widowControl w:val="false"/>
              <w:suppressLineNumbers/>
              <w:spacing w:before="0" w:after="200"/>
              <w:rPr/>
            </w:pPr>
            <w:r>
              <w:rPr/>
              <w:t>Heavy bias towards part 91</w:t>
            </w:r>
          </w:p>
        </w:tc>
      </w:tr>
      <w:tr>
        <w:trPr/>
        <w:tc>
          <w:tcPr>
            <w:tcW w:w="739" w:type="dxa"/>
            <w:tcBorders/>
            <w:vAlign w:val="center"/>
          </w:tcPr>
          <w:p>
            <w:pPr>
              <w:pStyle w:val="TableContents"/>
              <w:widowControl w:val="false"/>
              <w:suppressLineNumbers/>
              <w:spacing w:before="0" w:after="200"/>
              <w:rPr/>
            </w:pPr>
            <w:r>
              <w:rPr>
                <w:rStyle w:val="Strong"/>
              </w:rPr>
              <w:t>Fleet</w:t>
            </w:r>
          </w:p>
        </w:tc>
        <w:tc>
          <w:tcPr>
            <w:tcW w:w="768" w:type="dxa"/>
            <w:tcBorders/>
            <w:vAlign w:val="center"/>
          </w:tcPr>
          <w:p>
            <w:pPr>
              <w:pStyle w:val="TableContents"/>
              <w:widowControl w:val="false"/>
              <w:suppressLineNumbers/>
              <w:spacing w:before="0" w:after="200"/>
              <w:rPr/>
            </w:pPr>
            <w:r>
              <w:rPr>
                <w:rStyle w:val="Strong"/>
              </w:rPr>
              <w:t>2</w:t>
            </w:r>
            <w:r>
              <w:rPr>
                <w:rStyle w:val="Strong"/>
              </w:rPr>
              <w:t>86</w:t>
            </w:r>
          </w:p>
        </w:tc>
        <w:tc>
          <w:tcPr>
            <w:tcW w:w="605" w:type="dxa"/>
            <w:tcBorders/>
            <w:vAlign w:val="center"/>
          </w:tcPr>
          <w:p>
            <w:pPr>
              <w:pStyle w:val="TableContents"/>
              <w:widowControl w:val="false"/>
              <w:suppressLineNumbers/>
              <w:spacing w:before="0" w:after="200"/>
              <w:rPr/>
            </w:pPr>
            <w:r>
              <w:rPr>
                <w:rStyle w:val="Strong"/>
              </w:rPr>
              <w:t>95</w:t>
            </w:r>
          </w:p>
        </w:tc>
        <w:tc>
          <w:tcPr>
            <w:tcW w:w="835" w:type="dxa"/>
            <w:tcBorders/>
            <w:vAlign w:val="center"/>
          </w:tcPr>
          <w:p>
            <w:pPr>
              <w:pStyle w:val="TableContents"/>
              <w:widowControl w:val="false"/>
              <w:suppressLineNumbers/>
              <w:spacing w:before="0" w:after="200"/>
              <w:rPr/>
            </w:pPr>
            <w:r>
              <w:rPr>
                <w:rStyle w:val="Strong"/>
              </w:rPr>
              <w:t>3</w:t>
            </w:r>
            <w:r>
              <w:rPr>
                <w:rStyle w:val="Strong"/>
              </w:rPr>
              <w:t>3</w:t>
            </w:r>
            <w:r>
              <w:rPr>
                <w:rStyle w:val="Strong"/>
              </w:rPr>
              <w:t>%</w:t>
            </w:r>
          </w:p>
        </w:tc>
        <w:tc>
          <w:tcPr>
            <w:tcW w:w="3904" w:type="dxa"/>
            <w:tcBorders/>
            <w:vAlign w:val="center"/>
          </w:tcPr>
          <w:p>
            <w:pPr>
              <w:pStyle w:val="TableContents"/>
              <w:widowControl w:val="false"/>
              <w:suppressLineNumbers/>
              <w:spacing w:before="0" w:after="200"/>
              <w:rPr/>
            </w:pPr>
            <w:r>
              <w:rPr/>
              <w:t>400 series still in progress</w:t>
            </w:r>
          </w:p>
        </w:tc>
      </w:tr>
    </w:tbl>
    <w:p>
      <w:pPr>
        <w:pStyle w:val="Normal"/>
        <w:spacing w:before="0" w:after="0"/>
        <w:rPr>
          <w:rFonts w:ascii="Courier New" w:hAnsi="Courier New"/>
          <w:sz w:val="14"/>
        </w:rPr>
      </w:pPr>
      <w:r>
        <w:rPr>
          <w:rFonts w:ascii="Courier New" w:hAnsi="Courier New"/>
          <w:sz w:val="14"/>
        </w:rPr>
      </w:r>
    </w:p>
    <w:p>
      <w:pPr>
        <w:pStyle w:val="Heading1"/>
        <w:rPr/>
      </w:pPr>
      <w:r>
        <w:rPr/>
        <w:t>Fleet-Level Accident Profile</w:t>
      </w:r>
    </w:p>
    <w:p>
      <w:pPr>
        <w:pStyle w:val="Normal"/>
        <w:spacing w:before="0" w:after="120"/>
        <w:rPr/>
      </w:pPr>
      <w:r>
        <w:rPr/>
        <w:t>The current fleet-level summary shows two dominant event classes: landing gear malfunctions and loss of control. Together, these account for 123 of the 2</w:t>
      </w:r>
      <w:r>
        <w:rPr/>
        <w:t>86</w:t>
      </w:r>
      <w:r>
        <w:rPr/>
        <w:t xml:space="preserve"> events in the current dataset. CFIT, fuel starvation, and runway excursions form the next tier of recurring outcomes. This profile suggests that near-term safety work should not focus only on traditional engine-failure narratives; it should also address landing gear system management, approach/landing discipline, fuel management, and decision-making under workload.</w:t>
      </w:r>
    </w:p>
    <w:p>
      <w:pPr>
        <w:pStyle w:val="Normal"/>
        <w:spacing w:before="0" w:after="0"/>
        <w:rPr>
          <w:rFonts w:ascii="Courier New" w:hAnsi="Courier New"/>
          <w:sz w:val="14"/>
        </w:rPr>
      </w:pPr>
      <w:r>
        <w:rPr>
          <w:rFonts w:ascii="Courier New" w:hAnsi="Courier New"/>
          <w:sz w:val="14"/>
        </w:rPr>
      </w:r>
    </w:p>
    <w:tbl>
      <w:tblPr>
        <w:tblW w:w="9272" w:type="dxa"/>
        <w:jc w:val="left"/>
        <w:tblInd w:w="28" w:type="dxa"/>
        <w:tblLayout w:type="fixed"/>
        <w:tblCellMar>
          <w:top w:w="28" w:type="dxa"/>
          <w:left w:w="28" w:type="dxa"/>
          <w:bottom w:w="28" w:type="dxa"/>
          <w:right w:w="28" w:type="dxa"/>
        </w:tblCellMar>
      </w:tblPr>
      <w:tblGrid>
        <w:gridCol w:w="2759"/>
        <w:gridCol w:w="998"/>
        <w:gridCol w:w="5515"/>
      </w:tblGrid>
      <w:tr>
        <w:trPr>
          <w:tblHeader w:val="true"/>
        </w:trPr>
        <w:tc>
          <w:tcPr>
            <w:tcW w:w="2759" w:type="dxa"/>
            <w:tcBorders/>
            <w:vAlign w:val="center"/>
          </w:tcPr>
          <w:p>
            <w:pPr>
              <w:pStyle w:val="TableHeading"/>
              <w:suppressLineNumbers/>
              <w:spacing w:before="0" w:after="200"/>
              <w:jc w:val="center"/>
              <w:rPr/>
            </w:pPr>
            <w:r>
              <w:rPr/>
              <w:t>Event Type</w:t>
            </w:r>
          </w:p>
        </w:tc>
        <w:tc>
          <w:tcPr>
            <w:tcW w:w="998" w:type="dxa"/>
            <w:tcBorders/>
            <w:vAlign w:val="center"/>
          </w:tcPr>
          <w:p>
            <w:pPr>
              <w:pStyle w:val="TableHeading"/>
              <w:suppressLineNumbers/>
              <w:spacing w:before="0" w:after="200"/>
              <w:jc w:val="center"/>
              <w:rPr/>
            </w:pPr>
            <w:r>
              <w:rPr/>
              <w:t>Share</w:t>
            </w:r>
          </w:p>
        </w:tc>
        <w:tc>
          <w:tcPr>
            <w:tcW w:w="5515" w:type="dxa"/>
            <w:tcBorders/>
            <w:vAlign w:val="center"/>
          </w:tcPr>
          <w:p>
            <w:pPr>
              <w:pStyle w:val="TableHeading"/>
              <w:suppressLineNumbers/>
              <w:spacing w:before="0" w:after="200"/>
              <w:jc w:val="center"/>
              <w:rPr/>
            </w:pPr>
            <w:r>
              <w:rPr/>
              <w:t>Key Takeaway</w:t>
            </w:r>
          </w:p>
        </w:tc>
      </w:tr>
      <w:tr>
        <w:trPr/>
        <w:tc>
          <w:tcPr>
            <w:tcW w:w="2759" w:type="dxa"/>
            <w:tcBorders/>
            <w:vAlign w:val="center"/>
          </w:tcPr>
          <w:p>
            <w:pPr>
              <w:pStyle w:val="TableContents"/>
              <w:widowControl w:val="false"/>
              <w:suppressLineNumbers/>
              <w:spacing w:before="0" w:after="200"/>
              <w:rPr/>
            </w:pPr>
            <w:r>
              <w:rPr/>
              <w:t>Landing Gear Issues</w:t>
            </w:r>
          </w:p>
        </w:tc>
        <w:tc>
          <w:tcPr>
            <w:tcW w:w="998" w:type="dxa"/>
            <w:tcBorders/>
            <w:vAlign w:val="center"/>
          </w:tcPr>
          <w:p>
            <w:pPr>
              <w:pStyle w:val="TableContents"/>
              <w:widowControl w:val="false"/>
              <w:suppressLineNumbers/>
              <w:spacing w:before="0" w:after="200"/>
              <w:rPr/>
            </w:pPr>
            <w:r>
              <w:rPr/>
              <w:t>27%</w:t>
            </w:r>
          </w:p>
        </w:tc>
        <w:tc>
          <w:tcPr>
            <w:tcW w:w="5515" w:type="dxa"/>
            <w:tcBorders/>
            <w:vAlign w:val="center"/>
          </w:tcPr>
          <w:p>
            <w:pPr>
              <w:pStyle w:val="TableContents"/>
              <w:widowControl w:val="false"/>
              <w:suppressLineNumbers/>
              <w:spacing w:before="0" w:after="200"/>
              <w:rPr/>
            </w:pPr>
            <w:r>
              <w:rPr/>
              <w:t>Largest single category; maintenance + procedure driven</w:t>
            </w:r>
          </w:p>
        </w:tc>
      </w:tr>
      <w:tr>
        <w:trPr/>
        <w:tc>
          <w:tcPr>
            <w:tcW w:w="2759" w:type="dxa"/>
            <w:tcBorders/>
            <w:vAlign w:val="center"/>
          </w:tcPr>
          <w:p>
            <w:pPr>
              <w:pStyle w:val="TableContents"/>
              <w:widowControl w:val="false"/>
              <w:suppressLineNumbers/>
              <w:spacing w:before="0" w:after="200"/>
              <w:rPr/>
            </w:pPr>
            <w:r>
              <w:rPr/>
              <w:t>Loss of Control</w:t>
            </w:r>
          </w:p>
        </w:tc>
        <w:tc>
          <w:tcPr>
            <w:tcW w:w="998" w:type="dxa"/>
            <w:tcBorders/>
            <w:vAlign w:val="center"/>
          </w:tcPr>
          <w:p>
            <w:pPr>
              <w:pStyle w:val="TableContents"/>
              <w:widowControl w:val="false"/>
              <w:suppressLineNumbers/>
              <w:spacing w:before="0" w:after="200"/>
              <w:rPr/>
            </w:pPr>
            <w:r>
              <w:rPr/>
              <w:t>27%</w:t>
            </w:r>
          </w:p>
        </w:tc>
        <w:tc>
          <w:tcPr>
            <w:tcW w:w="5515" w:type="dxa"/>
            <w:tcBorders/>
            <w:vAlign w:val="center"/>
          </w:tcPr>
          <w:p>
            <w:pPr>
              <w:pStyle w:val="TableContents"/>
              <w:widowControl w:val="false"/>
              <w:suppressLineNumbers/>
              <w:spacing w:before="0" w:after="200"/>
              <w:rPr/>
            </w:pPr>
            <w:r>
              <w:rPr/>
              <w:t>Major safety driver; training and decision-making critical</w:t>
            </w:r>
          </w:p>
        </w:tc>
      </w:tr>
      <w:tr>
        <w:trPr/>
        <w:tc>
          <w:tcPr>
            <w:tcW w:w="2759" w:type="dxa"/>
            <w:tcBorders/>
            <w:vAlign w:val="center"/>
          </w:tcPr>
          <w:p>
            <w:pPr>
              <w:pStyle w:val="TableContents"/>
              <w:widowControl w:val="false"/>
              <w:suppressLineNumbers/>
              <w:spacing w:before="0" w:after="200"/>
              <w:rPr/>
            </w:pPr>
            <w:r>
              <w:rPr/>
              <w:t>CFIT</w:t>
            </w:r>
          </w:p>
        </w:tc>
        <w:tc>
          <w:tcPr>
            <w:tcW w:w="998" w:type="dxa"/>
            <w:tcBorders/>
            <w:vAlign w:val="center"/>
          </w:tcPr>
          <w:p>
            <w:pPr>
              <w:pStyle w:val="TableContents"/>
              <w:widowControl w:val="false"/>
              <w:suppressLineNumbers/>
              <w:spacing w:before="0" w:after="200"/>
              <w:rPr/>
            </w:pPr>
            <w:r>
              <w:rPr/>
              <w:t>8%</w:t>
            </w:r>
          </w:p>
        </w:tc>
        <w:tc>
          <w:tcPr>
            <w:tcW w:w="5515" w:type="dxa"/>
            <w:tcBorders/>
            <w:vAlign w:val="center"/>
          </w:tcPr>
          <w:p>
            <w:pPr>
              <w:pStyle w:val="TableContents"/>
              <w:widowControl w:val="false"/>
              <w:suppressLineNumbers/>
              <w:spacing w:before="0" w:after="200"/>
              <w:rPr/>
            </w:pPr>
            <w:r>
              <w:rPr/>
              <w:t>Lower frequency, high severity</w:t>
            </w:r>
          </w:p>
        </w:tc>
      </w:tr>
      <w:tr>
        <w:trPr/>
        <w:tc>
          <w:tcPr>
            <w:tcW w:w="2759" w:type="dxa"/>
            <w:tcBorders/>
            <w:vAlign w:val="center"/>
          </w:tcPr>
          <w:p>
            <w:pPr>
              <w:pStyle w:val="TableContents"/>
              <w:widowControl w:val="false"/>
              <w:suppressLineNumbers/>
              <w:spacing w:before="0" w:after="200"/>
              <w:rPr/>
            </w:pPr>
            <w:r>
              <w:rPr/>
              <w:t>Fuel (Starvation/Exhaustion)</w:t>
            </w:r>
          </w:p>
        </w:tc>
        <w:tc>
          <w:tcPr>
            <w:tcW w:w="998" w:type="dxa"/>
            <w:tcBorders/>
            <w:vAlign w:val="center"/>
          </w:tcPr>
          <w:p>
            <w:pPr>
              <w:pStyle w:val="TableContents"/>
              <w:widowControl w:val="false"/>
              <w:suppressLineNumbers/>
              <w:spacing w:before="0" w:after="200"/>
              <w:rPr/>
            </w:pPr>
            <w:r>
              <w:rPr/>
              <w:t>11%</w:t>
            </w:r>
          </w:p>
        </w:tc>
        <w:tc>
          <w:tcPr>
            <w:tcW w:w="5515" w:type="dxa"/>
            <w:tcBorders/>
            <w:vAlign w:val="center"/>
          </w:tcPr>
          <w:p>
            <w:pPr>
              <w:pStyle w:val="TableContents"/>
              <w:widowControl w:val="false"/>
              <w:suppressLineNumbers/>
              <w:spacing w:before="0" w:after="200"/>
              <w:rPr/>
            </w:pPr>
            <w:r>
              <w:rPr/>
              <w:t>Procedural discipline issue</w:t>
            </w:r>
          </w:p>
        </w:tc>
      </w:tr>
      <w:tr>
        <w:trPr/>
        <w:tc>
          <w:tcPr>
            <w:tcW w:w="2759" w:type="dxa"/>
            <w:tcBorders/>
            <w:vAlign w:val="center"/>
          </w:tcPr>
          <w:p>
            <w:pPr>
              <w:pStyle w:val="TableContents"/>
              <w:widowControl w:val="false"/>
              <w:suppressLineNumbers/>
              <w:spacing w:before="0" w:after="200"/>
              <w:rPr/>
            </w:pPr>
            <w:r>
              <w:rPr/>
              <w:t>Runway / Ground Events</w:t>
            </w:r>
          </w:p>
        </w:tc>
        <w:tc>
          <w:tcPr>
            <w:tcW w:w="998" w:type="dxa"/>
            <w:tcBorders/>
            <w:vAlign w:val="center"/>
          </w:tcPr>
          <w:p>
            <w:pPr>
              <w:pStyle w:val="TableContents"/>
              <w:widowControl w:val="false"/>
              <w:suppressLineNumbers/>
              <w:spacing w:before="0" w:after="200"/>
              <w:rPr/>
            </w:pPr>
            <w:r>
              <w:rPr/>
              <w:t>12%</w:t>
            </w:r>
          </w:p>
        </w:tc>
        <w:tc>
          <w:tcPr>
            <w:tcW w:w="5515" w:type="dxa"/>
            <w:tcBorders/>
            <w:vAlign w:val="center"/>
          </w:tcPr>
          <w:p>
            <w:pPr>
              <w:pStyle w:val="TableContents"/>
              <w:widowControl w:val="false"/>
              <w:suppressLineNumbers/>
              <w:spacing w:before="0" w:after="200"/>
              <w:rPr/>
            </w:pPr>
            <w:r>
              <w:rPr/>
              <w:t>Landing phase risk concentration</w:t>
            </w:r>
          </w:p>
        </w:tc>
      </w:tr>
      <w:tr>
        <w:trPr/>
        <w:tc>
          <w:tcPr>
            <w:tcW w:w="2759" w:type="dxa"/>
            <w:tcBorders/>
            <w:vAlign w:val="center"/>
          </w:tcPr>
          <w:p>
            <w:pPr>
              <w:pStyle w:val="TableContents"/>
              <w:widowControl w:val="false"/>
              <w:suppressLineNumbers/>
              <w:spacing w:before="0" w:after="200"/>
              <w:rPr/>
            </w:pPr>
            <w:r>
              <w:rPr/>
              <w:t>Engine Failure</w:t>
            </w:r>
          </w:p>
        </w:tc>
        <w:tc>
          <w:tcPr>
            <w:tcW w:w="998" w:type="dxa"/>
            <w:tcBorders/>
            <w:vAlign w:val="center"/>
          </w:tcPr>
          <w:p>
            <w:pPr>
              <w:pStyle w:val="TableContents"/>
              <w:widowControl w:val="false"/>
              <w:suppressLineNumbers/>
              <w:spacing w:before="0" w:after="200"/>
              <w:rPr/>
            </w:pPr>
            <w:r>
              <w:rPr/>
              <w:t>4%</w:t>
            </w:r>
          </w:p>
        </w:tc>
        <w:tc>
          <w:tcPr>
            <w:tcW w:w="5515" w:type="dxa"/>
            <w:tcBorders/>
            <w:vAlign w:val="center"/>
          </w:tcPr>
          <w:p>
            <w:pPr>
              <w:pStyle w:val="TableContents"/>
              <w:widowControl w:val="false"/>
              <w:suppressLineNumbers/>
              <w:spacing w:before="0" w:after="200"/>
              <w:rPr/>
            </w:pPr>
            <w:r>
              <w:rPr/>
              <w:t>Less frequent but high workload impact</w:t>
            </w:r>
          </w:p>
        </w:tc>
      </w:tr>
      <w:tr>
        <w:trPr/>
        <w:tc>
          <w:tcPr>
            <w:tcW w:w="2759" w:type="dxa"/>
            <w:tcBorders/>
            <w:vAlign w:val="center"/>
          </w:tcPr>
          <w:p>
            <w:pPr>
              <w:pStyle w:val="TableContents"/>
              <w:widowControl w:val="false"/>
              <w:suppressLineNumbers/>
              <w:spacing w:before="0" w:after="200"/>
              <w:rPr/>
            </w:pPr>
            <w:r>
              <w:rPr/>
              <w:t>Other (Fire, Midair, System)</w:t>
            </w:r>
          </w:p>
        </w:tc>
        <w:tc>
          <w:tcPr>
            <w:tcW w:w="998" w:type="dxa"/>
            <w:tcBorders/>
            <w:vAlign w:val="center"/>
          </w:tcPr>
          <w:p>
            <w:pPr>
              <w:pStyle w:val="TableContents"/>
              <w:widowControl w:val="false"/>
              <w:suppressLineNumbers/>
              <w:spacing w:before="0" w:after="200"/>
              <w:rPr/>
            </w:pPr>
            <w:r>
              <w:rPr/>
              <w:t>&lt;5% each</w:t>
            </w:r>
          </w:p>
        </w:tc>
        <w:tc>
          <w:tcPr>
            <w:tcW w:w="5515" w:type="dxa"/>
            <w:tcBorders/>
            <w:vAlign w:val="center"/>
          </w:tcPr>
          <w:p>
            <w:pPr>
              <w:pStyle w:val="TableContents"/>
              <w:widowControl w:val="false"/>
              <w:suppressLineNumbers/>
              <w:spacing w:before="0" w:after="200"/>
              <w:rPr/>
            </w:pPr>
            <w:r>
              <w:rPr/>
              <w:t>Low frequency events</w:t>
            </w:r>
          </w:p>
        </w:tc>
      </w:tr>
    </w:tbl>
    <w:p>
      <w:pPr>
        <w:pStyle w:val="Normal"/>
        <w:spacing w:before="0" w:after="0"/>
        <w:rPr>
          <w:rFonts w:ascii="Courier New" w:hAnsi="Courier New"/>
          <w:sz w:val="14"/>
        </w:rPr>
      </w:pPr>
      <w:r>
        <w:rPr>
          <w:rFonts w:ascii="Courier New" w:hAnsi="Courier New"/>
          <w:sz w:val="14"/>
        </w:rPr>
      </w:r>
    </w:p>
    <w:p>
      <w:pPr>
        <w:pStyle w:val="Normal"/>
        <w:rPr/>
      </w:pPr>
      <w:r>
        <w:rPr/>
      </w:r>
    </w:p>
    <w:p>
      <w:pPr>
        <w:pStyle w:val="Heading1"/>
        <w:rPr/>
      </w:pPr>
      <w:r>
        <w:rPr/>
        <w:t>Phase-of-Flight Concentration</w:t>
      </w:r>
    </w:p>
    <w:p>
      <w:pPr>
        <w:pStyle w:val="Normal"/>
        <w:spacing w:before="0" w:after="120"/>
        <w:rPr/>
      </w:pPr>
      <w:r>
        <w:rPr/>
        <w:t>Landing, approach, cruise, and initial climb account for the majority of coded events. The leading combined pattern is Landing × Landing_Gear_Malfunction, followed by Approach × Loss_of_Control, Initial_Climb × Loss_of_Control, and Approach × CFIT. Those clusters matter because they map directly to trainable scenarios and maintenance verification points.</w:t>
      </w:r>
    </w:p>
    <w:p>
      <w:pPr>
        <w:pStyle w:val="Normal"/>
        <w:spacing w:before="0" w:after="0"/>
        <w:rPr>
          <w:rFonts w:ascii="Courier New" w:hAnsi="Courier New"/>
          <w:sz w:val="14"/>
        </w:rPr>
      </w:pPr>
      <w:r>
        <w:rPr>
          <w:rFonts w:ascii="Courier New" w:hAnsi="Courier New"/>
          <w:sz w:val="14"/>
        </w:rPr>
      </w:r>
    </w:p>
    <w:tbl>
      <w:tblPr>
        <w:tblW w:w="10698" w:type="dxa"/>
        <w:jc w:val="left"/>
        <w:tblInd w:w="28" w:type="dxa"/>
        <w:tblLayout w:type="fixed"/>
        <w:tblCellMar>
          <w:top w:w="28" w:type="dxa"/>
          <w:left w:w="28" w:type="dxa"/>
          <w:bottom w:w="28" w:type="dxa"/>
          <w:right w:w="28" w:type="dxa"/>
        </w:tblCellMar>
      </w:tblPr>
      <w:tblGrid>
        <w:gridCol w:w="3746"/>
        <w:gridCol w:w="997"/>
        <w:gridCol w:w="5955"/>
      </w:tblGrid>
      <w:tr>
        <w:trPr>
          <w:tblHeader w:val="true"/>
        </w:trPr>
        <w:tc>
          <w:tcPr>
            <w:tcW w:w="3746" w:type="dxa"/>
            <w:tcBorders/>
            <w:vAlign w:val="center"/>
          </w:tcPr>
          <w:p>
            <w:pPr>
              <w:pStyle w:val="TableHeading"/>
              <w:suppressLineNumbers/>
              <w:spacing w:before="0" w:after="200"/>
              <w:jc w:val="center"/>
              <w:rPr/>
            </w:pPr>
            <w:r>
              <w:rPr/>
              <w:t>Phase</w:t>
            </w:r>
          </w:p>
        </w:tc>
        <w:tc>
          <w:tcPr>
            <w:tcW w:w="997" w:type="dxa"/>
            <w:tcBorders/>
            <w:vAlign w:val="center"/>
          </w:tcPr>
          <w:p>
            <w:pPr>
              <w:pStyle w:val="TableHeading"/>
              <w:suppressLineNumbers/>
              <w:spacing w:before="0" w:after="200"/>
              <w:jc w:val="center"/>
              <w:rPr/>
            </w:pPr>
            <w:r>
              <w:rPr/>
              <w:t>Share</w:t>
            </w:r>
          </w:p>
        </w:tc>
        <w:tc>
          <w:tcPr>
            <w:tcW w:w="5955" w:type="dxa"/>
            <w:tcBorders/>
            <w:vAlign w:val="center"/>
          </w:tcPr>
          <w:p>
            <w:pPr>
              <w:pStyle w:val="TableHeading"/>
              <w:suppressLineNumbers/>
              <w:spacing w:before="0" w:after="200"/>
              <w:jc w:val="center"/>
              <w:rPr/>
            </w:pPr>
            <w:r>
              <w:rPr/>
              <w:t>Key Takeaway</w:t>
            </w:r>
          </w:p>
        </w:tc>
      </w:tr>
      <w:tr>
        <w:trPr/>
        <w:tc>
          <w:tcPr>
            <w:tcW w:w="3746" w:type="dxa"/>
            <w:tcBorders/>
            <w:vAlign w:val="center"/>
          </w:tcPr>
          <w:p>
            <w:pPr>
              <w:pStyle w:val="TableContents"/>
              <w:widowControl w:val="false"/>
              <w:suppressLineNumbers/>
              <w:spacing w:before="0" w:after="200"/>
              <w:rPr/>
            </w:pPr>
            <w:r>
              <w:rPr/>
              <w:t>Landing</w:t>
            </w:r>
          </w:p>
        </w:tc>
        <w:tc>
          <w:tcPr>
            <w:tcW w:w="997" w:type="dxa"/>
            <w:tcBorders/>
            <w:vAlign w:val="center"/>
          </w:tcPr>
          <w:p>
            <w:pPr>
              <w:pStyle w:val="TableContents"/>
              <w:widowControl w:val="false"/>
              <w:suppressLineNumbers/>
              <w:spacing w:before="0" w:after="200"/>
              <w:rPr/>
            </w:pPr>
            <w:r>
              <w:rPr/>
              <w:t>32%</w:t>
            </w:r>
          </w:p>
        </w:tc>
        <w:tc>
          <w:tcPr>
            <w:tcW w:w="5955" w:type="dxa"/>
            <w:tcBorders/>
            <w:vAlign w:val="center"/>
          </w:tcPr>
          <w:p>
            <w:pPr>
              <w:pStyle w:val="TableContents"/>
              <w:widowControl w:val="false"/>
              <w:suppressLineNumbers/>
              <w:spacing w:before="0" w:after="200"/>
              <w:rPr/>
            </w:pPr>
            <w:r>
              <w:rPr/>
              <w:t>Highest-risk phase; primary focus for training and procedures</w:t>
            </w:r>
          </w:p>
        </w:tc>
      </w:tr>
      <w:tr>
        <w:trPr/>
        <w:tc>
          <w:tcPr>
            <w:tcW w:w="3746" w:type="dxa"/>
            <w:tcBorders/>
            <w:vAlign w:val="center"/>
          </w:tcPr>
          <w:p>
            <w:pPr>
              <w:pStyle w:val="TableContents"/>
              <w:widowControl w:val="false"/>
              <w:suppressLineNumbers/>
              <w:spacing w:before="0" w:after="200"/>
              <w:rPr/>
            </w:pPr>
            <w:r>
              <w:rPr/>
              <w:t>Approach</w:t>
            </w:r>
          </w:p>
        </w:tc>
        <w:tc>
          <w:tcPr>
            <w:tcW w:w="997" w:type="dxa"/>
            <w:tcBorders/>
            <w:vAlign w:val="center"/>
          </w:tcPr>
          <w:p>
            <w:pPr>
              <w:pStyle w:val="TableContents"/>
              <w:widowControl w:val="false"/>
              <w:suppressLineNumbers/>
              <w:spacing w:before="0" w:after="200"/>
              <w:rPr/>
            </w:pPr>
            <w:r>
              <w:rPr/>
              <w:t>21%</w:t>
            </w:r>
          </w:p>
        </w:tc>
        <w:tc>
          <w:tcPr>
            <w:tcW w:w="5955" w:type="dxa"/>
            <w:tcBorders/>
            <w:vAlign w:val="center"/>
          </w:tcPr>
          <w:p>
            <w:pPr>
              <w:pStyle w:val="TableContents"/>
              <w:widowControl w:val="false"/>
              <w:suppressLineNumbers/>
              <w:spacing w:before="0" w:after="200"/>
              <w:rPr/>
            </w:pPr>
            <w:r>
              <w:rPr/>
              <w:t>Critical transition phase; strongly tied to LOC and CFIT</w:t>
            </w:r>
          </w:p>
        </w:tc>
      </w:tr>
      <w:tr>
        <w:trPr/>
        <w:tc>
          <w:tcPr>
            <w:tcW w:w="3746" w:type="dxa"/>
            <w:tcBorders/>
            <w:vAlign w:val="center"/>
          </w:tcPr>
          <w:p>
            <w:pPr>
              <w:pStyle w:val="TableContents"/>
              <w:widowControl w:val="false"/>
              <w:suppressLineNumbers/>
              <w:spacing w:before="0" w:after="200"/>
              <w:rPr/>
            </w:pPr>
            <w:r>
              <w:rPr/>
              <w:t>Cruise</w:t>
            </w:r>
          </w:p>
        </w:tc>
        <w:tc>
          <w:tcPr>
            <w:tcW w:w="997" w:type="dxa"/>
            <w:tcBorders/>
            <w:vAlign w:val="center"/>
          </w:tcPr>
          <w:p>
            <w:pPr>
              <w:pStyle w:val="TableContents"/>
              <w:widowControl w:val="false"/>
              <w:suppressLineNumbers/>
              <w:spacing w:before="0" w:after="200"/>
              <w:rPr/>
            </w:pPr>
            <w:r>
              <w:rPr/>
              <w:t>15%</w:t>
            </w:r>
          </w:p>
        </w:tc>
        <w:tc>
          <w:tcPr>
            <w:tcW w:w="5955" w:type="dxa"/>
            <w:tcBorders/>
            <w:vAlign w:val="center"/>
          </w:tcPr>
          <w:p>
            <w:pPr>
              <w:pStyle w:val="TableContents"/>
              <w:widowControl w:val="false"/>
              <w:suppressLineNumbers/>
              <w:spacing w:before="0" w:after="200"/>
              <w:rPr/>
            </w:pPr>
            <w:r>
              <w:rPr/>
              <w:t>Lower frequency but includes high-severity events</w:t>
            </w:r>
          </w:p>
        </w:tc>
      </w:tr>
      <w:tr>
        <w:trPr/>
        <w:tc>
          <w:tcPr>
            <w:tcW w:w="3746" w:type="dxa"/>
            <w:tcBorders/>
            <w:vAlign w:val="center"/>
          </w:tcPr>
          <w:p>
            <w:pPr>
              <w:pStyle w:val="TableContents"/>
              <w:widowControl w:val="false"/>
              <w:suppressLineNumbers/>
              <w:spacing w:before="0" w:after="200"/>
              <w:rPr/>
            </w:pPr>
            <w:r>
              <w:rPr/>
              <w:t>Initial Climb</w:t>
            </w:r>
          </w:p>
        </w:tc>
        <w:tc>
          <w:tcPr>
            <w:tcW w:w="997" w:type="dxa"/>
            <w:tcBorders/>
            <w:vAlign w:val="center"/>
          </w:tcPr>
          <w:p>
            <w:pPr>
              <w:pStyle w:val="TableContents"/>
              <w:widowControl w:val="false"/>
              <w:suppressLineNumbers/>
              <w:spacing w:before="0" w:after="200"/>
              <w:rPr/>
            </w:pPr>
            <w:r>
              <w:rPr/>
              <w:t>11%</w:t>
            </w:r>
          </w:p>
        </w:tc>
        <w:tc>
          <w:tcPr>
            <w:tcW w:w="5955" w:type="dxa"/>
            <w:tcBorders/>
            <w:vAlign w:val="center"/>
          </w:tcPr>
          <w:p>
            <w:pPr>
              <w:pStyle w:val="TableContents"/>
              <w:widowControl w:val="false"/>
              <w:suppressLineNumbers/>
              <w:spacing w:before="0" w:after="200"/>
              <w:rPr/>
            </w:pPr>
            <w:r>
              <w:rPr/>
              <w:t>High workload; engine-out risk concentration</w:t>
            </w:r>
          </w:p>
        </w:tc>
      </w:tr>
      <w:tr>
        <w:trPr/>
        <w:tc>
          <w:tcPr>
            <w:tcW w:w="3746" w:type="dxa"/>
            <w:tcBorders/>
            <w:vAlign w:val="center"/>
          </w:tcPr>
          <w:p>
            <w:pPr>
              <w:pStyle w:val="TableContents"/>
              <w:widowControl w:val="false"/>
              <w:suppressLineNumbers/>
              <w:spacing w:before="0" w:after="200"/>
              <w:rPr/>
            </w:pPr>
            <w:r>
              <w:rPr/>
              <w:t>Ground / Taxi</w:t>
            </w:r>
          </w:p>
        </w:tc>
        <w:tc>
          <w:tcPr>
            <w:tcW w:w="997" w:type="dxa"/>
            <w:tcBorders/>
            <w:vAlign w:val="center"/>
          </w:tcPr>
          <w:p>
            <w:pPr>
              <w:pStyle w:val="TableContents"/>
              <w:widowControl w:val="false"/>
              <w:suppressLineNumbers/>
              <w:spacing w:before="0" w:after="200"/>
              <w:rPr/>
            </w:pPr>
            <w:r>
              <w:rPr/>
              <w:t>6%</w:t>
            </w:r>
          </w:p>
        </w:tc>
        <w:tc>
          <w:tcPr>
            <w:tcW w:w="5955" w:type="dxa"/>
            <w:tcBorders/>
            <w:vAlign w:val="center"/>
          </w:tcPr>
          <w:p>
            <w:pPr>
              <w:pStyle w:val="TableContents"/>
              <w:widowControl w:val="false"/>
              <w:suppressLineNumbers/>
              <w:spacing w:before="0" w:after="200"/>
              <w:rPr/>
            </w:pPr>
            <w:r>
              <w:rPr/>
              <w:t>Lower severity but recurring</w:t>
            </w:r>
          </w:p>
        </w:tc>
      </w:tr>
      <w:tr>
        <w:trPr/>
        <w:tc>
          <w:tcPr>
            <w:tcW w:w="3746" w:type="dxa"/>
            <w:tcBorders/>
            <w:vAlign w:val="center"/>
          </w:tcPr>
          <w:p>
            <w:pPr>
              <w:pStyle w:val="TableContents"/>
              <w:widowControl w:val="false"/>
              <w:suppressLineNumbers/>
              <w:spacing w:before="0" w:after="200"/>
              <w:rPr/>
            </w:pPr>
            <w:r>
              <w:rPr/>
              <w:t>Takeoff</w:t>
            </w:r>
          </w:p>
        </w:tc>
        <w:tc>
          <w:tcPr>
            <w:tcW w:w="997" w:type="dxa"/>
            <w:tcBorders/>
            <w:vAlign w:val="center"/>
          </w:tcPr>
          <w:p>
            <w:pPr>
              <w:pStyle w:val="TableContents"/>
              <w:widowControl w:val="false"/>
              <w:suppressLineNumbers/>
              <w:spacing w:before="0" w:after="200"/>
              <w:rPr/>
            </w:pPr>
            <w:r>
              <w:rPr/>
              <w:t>6%</w:t>
            </w:r>
          </w:p>
        </w:tc>
        <w:tc>
          <w:tcPr>
            <w:tcW w:w="5955" w:type="dxa"/>
            <w:tcBorders/>
            <w:vAlign w:val="center"/>
          </w:tcPr>
          <w:p>
            <w:pPr>
              <w:pStyle w:val="TableContents"/>
              <w:widowControl w:val="false"/>
              <w:suppressLineNumbers/>
              <w:spacing w:before="0" w:after="200"/>
              <w:rPr/>
            </w:pPr>
            <w:r>
              <w:rPr/>
              <w:t>Short but high-risk window</w:t>
            </w:r>
          </w:p>
        </w:tc>
      </w:tr>
      <w:tr>
        <w:trPr/>
        <w:tc>
          <w:tcPr>
            <w:tcW w:w="3746" w:type="dxa"/>
            <w:tcBorders/>
            <w:vAlign w:val="center"/>
          </w:tcPr>
          <w:p>
            <w:pPr>
              <w:pStyle w:val="TableContents"/>
              <w:widowControl w:val="false"/>
              <w:suppressLineNumbers/>
              <w:spacing w:before="0" w:after="200"/>
              <w:rPr/>
            </w:pPr>
            <w:r>
              <w:rPr/>
              <w:t>Other (Go-Around, Descent, Unknown)</w:t>
            </w:r>
          </w:p>
        </w:tc>
        <w:tc>
          <w:tcPr>
            <w:tcW w:w="997" w:type="dxa"/>
            <w:tcBorders/>
            <w:vAlign w:val="center"/>
          </w:tcPr>
          <w:p>
            <w:pPr>
              <w:pStyle w:val="TableContents"/>
              <w:widowControl w:val="false"/>
              <w:suppressLineNumbers/>
              <w:spacing w:before="0" w:after="200"/>
              <w:rPr/>
            </w:pPr>
            <w:r>
              <w:rPr/>
              <w:t>&lt;5% each</w:t>
            </w:r>
          </w:p>
        </w:tc>
        <w:tc>
          <w:tcPr>
            <w:tcW w:w="5955" w:type="dxa"/>
            <w:tcBorders/>
            <w:vAlign w:val="center"/>
          </w:tcPr>
          <w:p>
            <w:pPr>
              <w:pStyle w:val="TableContents"/>
              <w:widowControl w:val="false"/>
              <w:suppressLineNumbers/>
              <w:spacing w:before="0" w:after="200"/>
              <w:rPr/>
            </w:pPr>
            <w:r>
              <w:rPr/>
              <w:t>Lower frequency</w:t>
            </w:r>
          </w:p>
        </w:tc>
      </w:tr>
    </w:tbl>
    <w:p>
      <w:pPr>
        <w:pStyle w:val="Normal"/>
        <w:spacing w:before="0" w:after="0"/>
        <w:rPr>
          <w:rFonts w:ascii="Courier New" w:hAnsi="Courier New"/>
          <w:sz w:val="14"/>
        </w:rPr>
      </w:pPr>
      <w:r>
        <w:rPr>
          <w:rFonts w:ascii="Courier New" w:hAnsi="Courier New"/>
          <w:sz w:val="14"/>
        </w:rPr>
      </w:r>
    </w:p>
    <w:p>
      <w:pPr>
        <w:pStyle w:val="Normal"/>
        <w:spacing w:before="0" w:after="0"/>
        <w:rPr>
          <w:rFonts w:ascii="Courier New" w:hAnsi="Courier New"/>
          <w:sz w:val="14"/>
        </w:rPr>
      </w:pPr>
      <w:r>
        <w:rPr>
          <w:rFonts w:ascii="Courier New" w:hAnsi="Courier New"/>
          <w:sz w:val="14"/>
        </w:rPr>
      </w:r>
    </w:p>
    <w:tbl>
      <w:tblPr>
        <w:tblW w:w="10247" w:type="dxa"/>
        <w:jc w:val="left"/>
        <w:tblInd w:w="28" w:type="dxa"/>
        <w:tblLayout w:type="fixed"/>
        <w:tblCellMar>
          <w:top w:w="28" w:type="dxa"/>
          <w:left w:w="28" w:type="dxa"/>
          <w:bottom w:w="28" w:type="dxa"/>
          <w:right w:w="28" w:type="dxa"/>
        </w:tblCellMar>
      </w:tblPr>
      <w:tblGrid>
        <w:gridCol w:w="3288"/>
        <w:gridCol w:w="1491"/>
        <w:gridCol w:w="5468"/>
      </w:tblGrid>
      <w:tr>
        <w:trPr>
          <w:tblHeader w:val="true"/>
        </w:trPr>
        <w:tc>
          <w:tcPr>
            <w:tcW w:w="3288" w:type="dxa"/>
            <w:tcBorders/>
            <w:vAlign w:val="center"/>
          </w:tcPr>
          <w:p>
            <w:pPr>
              <w:pStyle w:val="TableHeading"/>
              <w:suppressLineNumbers/>
              <w:spacing w:before="0" w:after="200"/>
              <w:jc w:val="center"/>
              <w:rPr/>
            </w:pPr>
            <w:r>
              <w:rPr/>
              <w:t>Pattern</w:t>
            </w:r>
          </w:p>
        </w:tc>
        <w:tc>
          <w:tcPr>
            <w:tcW w:w="1491" w:type="dxa"/>
            <w:tcBorders/>
            <w:vAlign w:val="center"/>
          </w:tcPr>
          <w:p>
            <w:pPr>
              <w:pStyle w:val="TableHeading"/>
              <w:suppressLineNumbers/>
              <w:spacing w:before="0" w:after="200"/>
              <w:jc w:val="center"/>
              <w:rPr/>
            </w:pPr>
            <w:r>
              <w:rPr/>
              <w:t>Share</w:t>
            </w:r>
          </w:p>
        </w:tc>
        <w:tc>
          <w:tcPr>
            <w:tcW w:w="5468" w:type="dxa"/>
            <w:tcBorders/>
            <w:vAlign w:val="center"/>
          </w:tcPr>
          <w:p>
            <w:pPr>
              <w:pStyle w:val="TableHeading"/>
              <w:suppressLineNumbers/>
              <w:spacing w:before="0" w:after="200"/>
              <w:jc w:val="center"/>
              <w:rPr/>
            </w:pPr>
            <w:r>
              <w:rPr/>
              <w:t>Key Takeaway</w:t>
            </w:r>
          </w:p>
        </w:tc>
      </w:tr>
      <w:tr>
        <w:trPr/>
        <w:tc>
          <w:tcPr>
            <w:tcW w:w="3288" w:type="dxa"/>
            <w:tcBorders/>
            <w:vAlign w:val="center"/>
          </w:tcPr>
          <w:p>
            <w:pPr>
              <w:pStyle w:val="TableContents"/>
              <w:widowControl w:val="false"/>
              <w:suppressLineNumbers/>
              <w:spacing w:before="0" w:after="200"/>
              <w:rPr/>
            </w:pPr>
            <w:r>
              <w:rPr/>
              <w:t>Landing – Gear Issues</w:t>
            </w:r>
          </w:p>
        </w:tc>
        <w:tc>
          <w:tcPr>
            <w:tcW w:w="1491" w:type="dxa"/>
            <w:tcBorders/>
            <w:vAlign w:val="center"/>
          </w:tcPr>
          <w:p>
            <w:pPr>
              <w:pStyle w:val="TableContents"/>
              <w:widowControl w:val="false"/>
              <w:suppressLineNumbers/>
              <w:spacing w:before="0" w:after="200"/>
              <w:rPr/>
            </w:pPr>
            <w:r>
              <w:rPr/>
              <w:t>24%</w:t>
            </w:r>
          </w:p>
        </w:tc>
        <w:tc>
          <w:tcPr>
            <w:tcW w:w="5468" w:type="dxa"/>
            <w:tcBorders/>
            <w:vAlign w:val="center"/>
          </w:tcPr>
          <w:p>
            <w:pPr>
              <w:pStyle w:val="TableContents"/>
              <w:widowControl w:val="false"/>
              <w:suppressLineNumbers/>
              <w:spacing w:before="0" w:after="200"/>
              <w:rPr/>
            </w:pPr>
            <w:r>
              <w:rPr/>
              <w:t>Single largest pattern; maintenance + checklist discipline</w:t>
            </w:r>
          </w:p>
        </w:tc>
      </w:tr>
      <w:tr>
        <w:trPr/>
        <w:tc>
          <w:tcPr>
            <w:tcW w:w="3288" w:type="dxa"/>
            <w:tcBorders/>
            <w:vAlign w:val="center"/>
          </w:tcPr>
          <w:p>
            <w:pPr>
              <w:pStyle w:val="TableContents"/>
              <w:widowControl w:val="false"/>
              <w:suppressLineNumbers/>
              <w:spacing w:before="0" w:after="200"/>
              <w:rPr/>
            </w:pPr>
            <w:r>
              <w:rPr/>
              <w:t>Approach – Loss of Control</w:t>
            </w:r>
          </w:p>
        </w:tc>
        <w:tc>
          <w:tcPr>
            <w:tcW w:w="1491" w:type="dxa"/>
            <w:tcBorders/>
            <w:vAlign w:val="center"/>
          </w:tcPr>
          <w:p>
            <w:pPr>
              <w:pStyle w:val="TableContents"/>
              <w:widowControl w:val="false"/>
              <w:suppressLineNumbers/>
              <w:spacing w:before="0" w:after="200"/>
              <w:rPr/>
            </w:pPr>
            <w:r>
              <w:rPr/>
              <w:t>8%</w:t>
            </w:r>
          </w:p>
        </w:tc>
        <w:tc>
          <w:tcPr>
            <w:tcW w:w="5468" w:type="dxa"/>
            <w:tcBorders/>
            <w:vAlign w:val="center"/>
          </w:tcPr>
          <w:p>
            <w:pPr>
              <w:pStyle w:val="TableContents"/>
              <w:widowControl w:val="false"/>
              <w:suppressLineNumbers/>
              <w:spacing w:before="0" w:after="200"/>
              <w:rPr/>
            </w:pPr>
            <w:r>
              <w:rPr/>
              <w:t>High-risk transition phase; decision-making critical</w:t>
            </w:r>
          </w:p>
        </w:tc>
      </w:tr>
      <w:tr>
        <w:trPr/>
        <w:tc>
          <w:tcPr>
            <w:tcW w:w="3288" w:type="dxa"/>
            <w:tcBorders/>
            <w:vAlign w:val="center"/>
          </w:tcPr>
          <w:p>
            <w:pPr>
              <w:pStyle w:val="TableContents"/>
              <w:widowControl w:val="false"/>
              <w:suppressLineNumbers/>
              <w:spacing w:before="0" w:after="200"/>
              <w:rPr/>
            </w:pPr>
            <w:r>
              <w:rPr/>
              <w:t>Initial Climb – Loss of Control</w:t>
            </w:r>
          </w:p>
        </w:tc>
        <w:tc>
          <w:tcPr>
            <w:tcW w:w="1491" w:type="dxa"/>
            <w:tcBorders/>
            <w:vAlign w:val="center"/>
          </w:tcPr>
          <w:p>
            <w:pPr>
              <w:pStyle w:val="TableContents"/>
              <w:widowControl w:val="false"/>
              <w:suppressLineNumbers/>
              <w:spacing w:before="0" w:after="200"/>
              <w:rPr/>
            </w:pPr>
            <w:r>
              <w:rPr/>
              <w:t>7%</w:t>
            </w:r>
          </w:p>
        </w:tc>
        <w:tc>
          <w:tcPr>
            <w:tcW w:w="5468" w:type="dxa"/>
            <w:tcBorders/>
            <w:vAlign w:val="center"/>
          </w:tcPr>
          <w:p>
            <w:pPr>
              <w:pStyle w:val="TableContents"/>
              <w:widowControl w:val="false"/>
              <w:suppressLineNumbers/>
              <w:spacing w:before="0" w:after="200"/>
              <w:rPr/>
            </w:pPr>
            <w:r>
              <w:rPr/>
              <w:t>Engine-out and workload management risk</w:t>
            </w:r>
          </w:p>
        </w:tc>
      </w:tr>
      <w:tr>
        <w:trPr/>
        <w:tc>
          <w:tcPr>
            <w:tcW w:w="3288" w:type="dxa"/>
            <w:tcBorders/>
            <w:vAlign w:val="center"/>
          </w:tcPr>
          <w:p>
            <w:pPr>
              <w:pStyle w:val="TableContents"/>
              <w:widowControl w:val="false"/>
              <w:suppressLineNumbers/>
              <w:spacing w:before="0" w:after="200"/>
              <w:rPr/>
            </w:pPr>
            <w:r>
              <w:rPr/>
              <w:t>Approach – CFIT</w:t>
            </w:r>
          </w:p>
        </w:tc>
        <w:tc>
          <w:tcPr>
            <w:tcW w:w="1491" w:type="dxa"/>
            <w:tcBorders/>
            <w:vAlign w:val="center"/>
          </w:tcPr>
          <w:p>
            <w:pPr>
              <w:pStyle w:val="TableContents"/>
              <w:widowControl w:val="false"/>
              <w:suppressLineNumbers/>
              <w:spacing w:before="0" w:after="200"/>
              <w:rPr/>
            </w:pPr>
            <w:r>
              <w:rPr/>
              <w:t>5%</w:t>
            </w:r>
          </w:p>
        </w:tc>
        <w:tc>
          <w:tcPr>
            <w:tcW w:w="5468" w:type="dxa"/>
            <w:tcBorders/>
            <w:vAlign w:val="center"/>
          </w:tcPr>
          <w:p>
            <w:pPr>
              <w:pStyle w:val="TableContents"/>
              <w:widowControl w:val="false"/>
              <w:suppressLineNumbers/>
              <w:spacing w:before="0" w:after="200"/>
              <w:rPr/>
            </w:pPr>
            <w:r>
              <w:rPr/>
              <w:t>IMC/terrain awareness and approach discipline</w:t>
            </w:r>
          </w:p>
        </w:tc>
      </w:tr>
      <w:tr>
        <w:trPr/>
        <w:tc>
          <w:tcPr>
            <w:tcW w:w="3288" w:type="dxa"/>
            <w:tcBorders/>
            <w:vAlign w:val="center"/>
          </w:tcPr>
          <w:p>
            <w:pPr>
              <w:pStyle w:val="TableContents"/>
              <w:widowControl w:val="false"/>
              <w:suppressLineNumbers/>
              <w:spacing w:before="0" w:after="200"/>
              <w:rPr/>
            </w:pPr>
            <w:r>
              <w:rPr/>
              <w:t>Landing – Runway / Hard Landing</w:t>
            </w:r>
          </w:p>
        </w:tc>
        <w:tc>
          <w:tcPr>
            <w:tcW w:w="1491" w:type="dxa"/>
            <w:tcBorders/>
            <w:vAlign w:val="center"/>
          </w:tcPr>
          <w:p>
            <w:pPr>
              <w:pStyle w:val="TableContents"/>
              <w:widowControl w:val="false"/>
              <w:suppressLineNumbers/>
              <w:spacing w:before="0" w:after="200"/>
              <w:rPr/>
            </w:pPr>
            <w:r>
              <w:rPr/>
              <w:t>~8% combined</w:t>
            </w:r>
          </w:p>
        </w:tc>
        <w:tc>
          <w:tcPr>
            <w:tcW w:w="5468" w:type="dxa"/>
            <w:tcBorders/>
            <w:vAlign w:val="center"/>
          </w:tcPr>
          <w:p>
            <w:pPr>
              <w:pStyle w:val="TableContents"/>
              <w:widowControl w:val="false"/>
              <w:suppressLineNumbers/>
              <w:spacing w:before="0" w:after="200"/>
              <w:rPr/>
            </w:pPr>
            <w:r>
              <w:rPr/>
              <w:t>Stabilization and landing technique focus</w:t>
            </w:r>
          </w:p>
        </w:tc>
      </w:tr>
      <w:tr>
        <w:trPr/>
        <w:tc>
          <w:tcPr>
            <w:tcW w:w="3288" w:type="dxa"/>
            <w:tcBorders/>
            <w:vAlign w:val="center"/>
          </w:tcPr>
          <w:p>
            <w:pPr>
              <w:pStyle w:val="TableContents"/>
              <w:widowControl w:val="false"/>
              <w:suppressLineNumbers/>
              <w:spacing w:before="0" w:after="200"/>
              <w:rPr/>
            </w:pPr>
            <w:r>
              <w:rPr/>
              <w:t>Cruise – Loss of Control / CFIT</w:t>
            </w:r>
          </w:p>
        </w:tc>
        <w:tc>
          <w:tcPr>
            <w:tcW w:w="1491" w:type="dxa"/>
            <w:tcBorders/>
            <w:vAlign w:val="center"/>
          </w:tcPr>
          <w:p>
            <w:pPr>
              <w:pStyle w:val="TableContents"/>
              <w:widowControl w:val="false"/>
              <w:suppressLineNumbers/>
              <w:spacing w:before="0" w:after="200"/>
              <w:rPr/>
            </w:pPr>
            <w:r>
              <w:rPr/>
              <w:t>~6% combined</w:t>
            </w:r>
          </w:p>
        </w:tc>
        <w:tc>
          <w:tcPr>
            <w:tcW w:w="5468" w:type="dxa"/>
            <w:tcBorders/>
            <w:vAlign w:val="center"/>
          </w:tcPr>
          <w:p>
            <w:pPr>
              <w:pStyle w:val="TableContents"/>
              <w:widowControl w:val="false"/>
              <w:suppressLineNumbers/>
              <w:spacing w:before="0" w:after="200"/>
              <w:rPr/>
            </w:pPr>
            <w:r>
              <w:rPr/>
              <w:t>Lower frequency, higher severity</w:t>
            </w:r>
          </w:p>
        </w:tc>
      </w:tr>
      <w:tr>
        <w:trPr/>
        <w:tc>
          <w:tcPr>
            <w:tcW w:w="3288" w:type="dxa"/>
            <w:tcBorders/>
            <w:vAlign w:val="center"/>
          </w:tcPr>
          <w:p>
            <w:pPr>
              <w:pStyle w:val="TableContents"/>
              <w:widowControl w:val="false"/>
              <w:suppressLineNumbers/>
              <w:spacing w:before="0" w:after="200"/>
              <w:rPr/>
            </w:pPr>
            <w:r>
              <w:rPr/>
              <w:t>Other (Taxi gear, fuel events)</w:t>
            </w:r>
          </w:p>
        </w:tc>
        <w:tc>
          <w:tcPr>
            <w:tcW w:w="1491" w:type="dxa"/>
            <w:tcBorders/>
            <w:vAlign w:val="center"/>
          </w:tcPr>
          <w:p>
            <w:pPr>
              <w:pStyle w:val="TableContents"/>
              <w:widowControl w:val="false"/>
              <w:suppressLineNumbers/>
              <w:spacing w:before="0" w:after="200"/>
              <w:rPr/>
            </w:pPr>
            <w:r>
              <w:rPr/>
              <w:t>~5% combined</w:t>
            </w:r>
          </w:p>
        </w:tc>
        <w:tc>
          <w:tcPr>
            <w:tcW w:w="5468" w:type="dxa"/>
            <w:tcBorders/>
            <w:vAlign w:val="center"/>
          </w:tcPr>
          <w:p>
            <w:pPr>
              <w:pStyle w:val="TableContents"/>
              <w:widowControl w:val="false"/>
              <w:suppressLineNumbers/>
              <w:spacing w:before="0" w:after="200"/>
              <w:rPr/>
            </w:pPr>
            <w:r>
              <w:rPr/>
              <w:t>Secondary but recurring issues</w:t>
            </w:r>
          </w:p>
        </w:tc>
      </w:tr>
    </w:tbl>
    <w:p>
      <w:pPr>
        <w:pStyle w:val="Normal"/>
        <w:spacing w:before="0" w:after="0"/>
        <w:rPr>
          <w:rFonts w:ascii="Courier New" w:hAnsi="Courier New"/>
          <w:sz w:val="14"/>
        </w:rPr>
      </w:pPr>
      <w:r>
        <w:rPr>
          <w:rFonts w:ascii="Courier New" w:hAnsi="Courier New"/>
          <w:sz w:val="14"/>
        </w:rPr>
      </w:r>
    </w:p>
    <w:p>
      <w:pPr>
        <w:pStyle w:val="Heading1"/>
        <w:rPr/>
      </w:pPr>
      <w:r>
        <w:rPr/>
        <w:t>Operation Type Split: Part 91 vs Part 135</w:t>
      </w:r>
    </w:p>
    <w:p>
      <w:pPr>
        <w:pStyle w:val="Normal"/>
        <w:spacing w:before="0" w:after="120"/>
        <w:rPr/>
      </w:pPr>
      <w:r>
        <w:rPr/>
        <w:t>Part 91 events dominate the current dataset by count, but this should not be read as an exposure-adjusted risk conclusion. The current C402 slice contains a comparatively high Part 135 share, while C310, C320 and C340 are dominated by Part 91 records. The practical takeaway is that committee guidance should distinguish owner-flown, business/personal Part 91 use from revenue Part 135 use, especially when discussing SOP discipline, maintenance control, and standardization.</w:t>
      </w:r>
    </w:p>
    <w:p>
      <w:pPr>
        <w:pStyle w:val="Normal"/>
        <w:spacing w:before="0" w:after="0"/>
        <w:rPr>
          <w:rFonts w:ascii="Courier New" w:hAnsi="Courier New"/>
          <w:sz w:val="14"/>
        </w:rPr>
      </w:pPr>
      <w:r>
        <w:rPr>
          <w:rFonts w:ascii="Courier New" w:hAnsi="Courier New"/>
          <w:sz w:val="14"/>
        </w:rPr>
      </w:r>
    </w:p>
    <w:tbl>
      <w:tblPr>
        <w:tblW w:w="7734" w:type="dxa"/>
        <w:jc w:val="left"/>
        <w:tblInd w:w="28" w:type="dxa"/>
        <w:tblLayout w:type="fixed"/>
        <w:tblCellMar>
          <w:top w:w="28" w:type="dxa"/>
          <w:left w:w="28" w:type="dxa"/>
          <w:bottom w:w="28" w:type="dxa"/>
          <w:right w:w="28" w:type="dxa"/>
        </w:tblCellMar>
      </w:tblPr>
      <w:tblGrid>
        <w:gridCol w:w="1665"/>
        <w:gridCol w:w="676"/>
        <w:gridCol w:w="5393"/>
      </w:tblGrid>
      <w:tr>
        <w:trPr>
          <w:tblHeader w:val="true"/>
        </w:trPr>
        <w:tc>
          <w:tcPr>
            <w:tcW w:w="1665" w:type="dxa"/>
            <w:tcBorders/>
            <w:vAlign w:val="center"/>
          </w:tcPr>
          <w:p>
            <w:pPr>
              <w:pStyle w:val="TableHeading"/>
              <w:suppressLineNumbers/>
              <w:spacing w:before="0" w:after="200"/>
              <w:jc w:val="center"/>
              <w:rPr/>
            </w:pPr>
            <w:r>
              <w:rPr/>
              <w:t>Operation Type</w:t>
            </w:r>
          </w:p>
        </w:tc>
        <w:tc>
          <w:tcPr>
            <w:tcW w:w="676" w:type="dxa"/>
            <w:tcBorders/>
            <w:vAlign w:val="center"/>
          </w:tcPr>
          <w:p>
            <w:pPr>
              <w:pStyle w:val="TableHeading"/>
              <w:suppressLineNumbers/>
              <w:spacing w:before="0" w:after="200"/>
              <w:jc w:val="center"/>
              <w:rPr/>
            </w:pPr>
            <w:r>
              <w:rPr/>
              <w:t>Share</w:t>
            </w:r>
          </w:p>
        </w:tc>
        <w:tc>
          <w:tcPr>
            <w:tcW w:w="5393" w:type="dxa"/>
            <w:tcBorders/>
            <w:vAlign w:val="center"/>
          </w:tcPr>
          <w:p>
            <w:pPr>
              <w:pStyle w:val="TableHeading"/>
              <w:suppressLineNumbers/>
              <w:spacing w:before="0" w:after="200"/>
              <w:jc w:val="center"/>
              <w:rPr/>
            </w:pPr>
            <w:r>
              <w:rPr/>
              <w:t>Key Takeaway</w:t>
            </w:r>
          </w:p>
        </w:tc>
      </w:tr>
      <w:tr>
        <w:trPr/>
        <w:tc>
          <w:tcPr>
            <w:tcW w:w="1665" w:type="dxa"/>
            <w:tcBorders/>
            <w:vAlign w:val="center"/>
          </w:tcPr>
          <w:p>
            <w:pPr>
              <w:pStyle w:val="TableContents"/>
              <w:widowControl w:val="false"/>
              <w:suppressLineNumbers/>
              <w:spacing w:before="0" w:after="200"/>
              <w:rPr/>
            </w:pPr>
            <w:r>
              <w:rPr/>
              <w:t>Part 91</w:t>
            </w:r>
          </w:p>
        </w:tc>
        <w:tc>
          <w:tcPr>
            <w:tcW w:w="676" w:type="dxa"/>
            <w:tcBorders/>
            <w:vAlign w:val="center"/>
          </w:tcPr>
          <w:p>
            <w:pPr>
              <w:pStyle w:val="TableContents"/>
              <w:widowControl w:val="false"/>
              <w:suppressLineNumbers/>
              <w:spacing w:before="0" w:after="200"/>
              <w:rPr/>
            </w:pPr>
            <w:r>
              <w:rPr/>
              <w:t>88%</w:t>
            </w:r>
          </w:p>
        </w:tc>
        <w:tc>
          <w:tcPr>
            <w:tcW w:w="5393" w:type="dxa"/>
            <w:tcBorders/>
            <w:vAlign w:val="center"/>
          </w:tcPr>
          <w:p>
            <w:pPr>
              <w:pStyle w:val="TableContents"/>
              <w:widowControl w:val="false"/>
              <w:suppressLineNumbers/>
              <w:spacing w:before="0" w:after="200"/>
              <w:rPr/>
            </w:pPr>
            <w:r>
              <w:rPr/>
              <w:t>Dominates dataset; primary driver of observed patterns</w:t>
            </w:r>
          </w:p>
        </w:tc>
      </w:tr>
      <w:tr>
        <w:trPr/>
        <w:tc>
          <w:tcPr>
            <w:tcW w:w="1665" w:type="dxa"/>
            <w:tcBorders/>
            <w:vAlign w:val="center"/>
          </w:tcPr>
          <w:p>
            <w:pPr>
              <w:pStyle w:val="TableContents"/>
              <w:widowControl w:val="false"/>
              <w:suppressLineNumbers/>
              <w:spacing w:before="0" w:after="200"/>
              <w:rPr/>
            </w:pPr>
            <w:r>
              <w:rPr/>
              <w:t>Part 135</w:t>
            </w:r>
          </w:p>
        </w:tc>
        <w:tc>
          <w:tcPr>
            <w:tcW w:w="676" w:type="dxa"/>
            <w:tcBorders/>
            <w:vAlign w:val="center"/>
          </w:tcPr>
          <w:p>
            <w:pPr>
              <w:pStyle w:val="TableContents"/>
              <w:widowControl w:val="false"/>
              <w:suppressLineNumbers/>
              <w:spacing w:before="0" w:after="200"/>
              <w:rPr/>
            </w:pPr>
            <w:r>
              <w:rPr/>
              <w:t>12%</w:t>
            </w:r>
          </w:p>
        </w:tc>
        <w:tc>
          <w:tcPr>
            <w:tcW w:w="5393" w:type="dxa"/>
            <w:tcBorders/>
            <w:vAlign w:val="center"/>
          </w:tcPr>
          <w:p>
            <w:pPr>
              <w:pStyle w:val="TableContents"/>
              <w:widowControl w:val="false"/>
              <w:suppressLineNumbers/>
              <w:spacing w:before="0" w:after="200"/>
              <w:rPr/>
            </w:pPr>
            <w:r>
              <w:rPr/>
              <w:t>Smaller slice; analyze separately</w:t>
            </w:r>
          </w:p>
        </w:tc>
      </w:tr>
    </w:tbl>
    <w:p>
      <w:pPr>
        <w:pStyle w:val="Normal"/>
        <w:spacing w:before="0" w:after="0"/>
        <w:rPr>
          <w:rFonts w:ascii="Courier New" w:hAnsi="Courier New"/>
          <w:sz w:val="14"/>
        </w:rPr>
      </w:pPr>
      <w:r>
        <w:rPr>
          <w:rFonts w:ascii="Courier New" w:hAnsi="Courier New"/>
          <w:sz w:val="14"/>
        </w:rPr>
      </w:r>
    </w:p>
    <w:p>
      <w:pPr>
        <w:pStyle w:val="Normal"/>
        <w:spacing w:before="0" w:after="0"/>
        <w:rPr>
          <w:rFonts w:ascii="Courier New" w:hAnsi="Courier New"/>
          <w:sz w:val="14"/>
        </w:rPr>
      </w:pPr>
      <w:r>
        <w:rPr>
          <w:rFonts w:ascii="Courier New" w:hAnsi="Courier New"/>
          <w:sz w:val="14"/>
        </w:rPr>
      </w:r>
    </w:p>
    <w:tbl>
      <w:tblPr>
        <w:tblW w:w="5970" w:type="dxa"/>
        <w:jc w:val="left"/>
        <w:tblInd w:w="28" w:type="dxa"/>
        <w:tblLayout w:type="fixed"/>
        <w:tblCellMar>
          <w:top w:w="28" w:type="dxa"/>
          <w:left w:w="28" w:type="dxa"/>
          <w:bottom w:w="28" w:type="dxa"/>
          <w:right w:w="28" w:type="dxa"/>
        </w:tblCellMar>
      </w:tblPr>
      <w:tblGrid>
        <w:gridCol w:w="739"/>
        <w:gridCol w:w="810"/>
        <w:gridCol w:w="926"/>
        <w:gridCol w:w="3494"/>
      </w:tblGrid>
      <w:tr>
        <w:trPr>
          <w:tblHeader w:val="true"/>
        </w:trPr>
        <w:tc>
          <w:tcPr>
            <w:tcW w:w="739" w:type="dxa"/>
            <w:tcBorders/>
            <w:vAlign w:val="center"/>
          </w:tcPr>
          <w:p>
            <w:pPr>
              <w:pStyle w:val="TableHeading"/>
              <w:suppressLineNumbers/>
              <w:spacing w:before="0" w:after="200"/>
              <w:jc w:val="center"/>
              <w:rPr/>
            </w:pPr>
            <w:r>
              <w:rPr/>
              <w:t>Model</w:t>
            </w:r>
          </w:p>
        </w:tc>
        <w:tc>
          <w:tcPr>
            <w:tcW w:w="810" w:type="dxa"/>
            <w:tcBorders/>
            <w:vAlign w:val="center"/>
          </w:tcPr>
          <w:p>
            <w:pPr>
              <w:pStyle w:val="TableHeading"/>
              <w:suppressLineNumbers/>
              <w:spacing w:before="0" w:after="200"/>
              <w:jc w:val="center"/>
              <w:rPr/>
            </w:pPr>
            <w:r>
              <w:rPr/>
              <w:t>Part 91</w:t>
            </w:r>
          </w:p>
        </w:tc>
        <w:tc>
          <w:tcPr>
            <w:tcW w:w="926" w:type="dxa"/>
            <w:tcBorders/>
            <w:vAlign w:val="center"/>
          </w:tcPr>
          <w:p>
            <w:pPr>
              <w:pStyle w:val="TableHeading"/>
              <w:suppressLineNumbers/>
              <w:spacing w:before="0" w:after="200"/>
              <w:jc w:val="center"/>
              <w:rPr/>
            </w:pPr>
            <w:r>
              <w:rPr/>
              <w:t>Part 135</w:t>
            </w:r>
          </w:p>
        </w:tc>
        <w:tc>
          <w:tcPr>
            <w:tcW w:w="3494" w:type="dxa"/>
            <w:tcBorders/>
            <w:vAlign w:val="center"/>
          </w:tcPr>
          <w:p>
            <w:pPr>
              <w:pStyle w:val="TableHeading"/>
              <w:suppressLineNumbers/>
              <w:spacing w:before="0" w:after="200"/>
              <w:jc w:val="center"/>
              <w:rPr/>
            </w:pPr>
            <w:r>
              <w:rPr/>
              <w:t>Key Note</w:t>
            </w:r>
          </w:p>
        </w:tc>
      </w:tr>
      <w:tr>
        <w:trPr/>
        <w:tc>
          <w:tcPr>
            <w:tcW w:w="739" w:type="dxa"/>
            <w:tcBorders/>
            <w:vAlign w:val="center"/>
          </w:tcPr>
          <w:p>
            <w:pPr>
              <w:pStyle w:val="TableContents"/>
              <w:widowControl w:val="false"/>
              <w:suppressLineNumbers/>
              <w:spacing w:before="0" w:after="200"/>
              <w:rPr/>
            </w:pPr>
            <w:r>
              <w:rPr/>
              <w:t>C310</w:t>
            </w:r>
          </w:p>
        </w:tc>
        <w:tc>
          <w:tcPr>
            <w:tcW w:w="810" w:type="dxa"/>
            <w:tcBorders/>
            <w:vAlign w:val="center"/>
          </w:tcPr>
          <w:p>
            <w:pPr>
              <w:pStyle w:val="TableContents"/>
              <w:widowControl w:val="false"/>
              <w:suppressLineNumbers/>
              <w:spacing w:before="0" w:after="200"/>
              <w:rPr/>
            </w:pPr>
            <w:r>
              <w:rPr/>
              <w:t>93%</w:t>
            </w:r>
          </w:p>
        </w:tc>
        <w:tc>
          <w:tcPr>
            <w:tcW w:w="926" w:type="dxa"/>
            <w:tcBorders/>
            <w:vAlign w:val="center"/>
          </w:tcPr>
          <w:p>
            <w:pPr>
              <w:pStyle w:val="TableContents"/>
              <w:widowControl w:val="false"/>
              <w:suppressLineNumbers/>
              <w:spacing w:before="0" w:after="200"/>
              <w:rPr/>
            </w:pPr>
            <w:r>
              <w:rPr/>
              <w:t>7%</w:t>
            </w:r>
          </w:p>
        </w:tc>
        <w:tc>
          <w:tcPr>
            <w:tcW w:w="3494" w:type="dxa"/>
            <w:tcBorders/>
            <w:vAlign w:val="center"/>
          </w:tcPr>
          <w:p>
            <w:pPr>
              <w:pStyle w:val="TableContents"/>
              <w:widowControl w:val="false"/>
              <w:suppressLineNumbers/>
              <w:spacing w:before="0" w:after="200"/>
              <w:rPr/>
            </w:pPr>
            <w:r>
              <w:rPr/>
              <w:t>complete dataset (2006–2026)</w:t>
            </w:r>
          </w:p>
        </w:tc>
      </w:tr>
      <w:tr>
        <w:trPr/>
        <w:tc>
          <w:tcPr>
            <w:tcW w:w="739" w:type="dxa"/>
            <w:tcBorders/>
            <w:vAlign w:val="center"/>
          </w:tcPr>
          <w:p>
            <w:pPr>
              <w:pStyle w:val="TableContents"/>
              <w:widowControl w:val="false"/>
              <w:suppressLineNumbers/>
              <w:spacing w:before="0" w:after="200"/>
              <w:rPr/>
            </w:pPr>
            <w:r>
              <w:rPr/>
              <w:t>C320</w:t>
            </w:r>
          </w:p>
        </w:tc>
        <w:tc>
          <w:tcPr>
            <w:tcW w:w="810" w:type="dxa"/>
            <w:tcBorders/>
            <w:vAlign w:val="center"/>
          </w:tcPr>
          <w:p>
            <w:pPr>
              <w:pStyle w:val="TableContents"/>
              <w:widowControl w:val="false"/>
              <w:suppressLineNumbers/>
              <w:spacing w:before="0" w:after="200"/>
              <w:rPr/>
            </w:pPr>
            <w:r>
              <w:rPr/>
              <w:t>100%</w:t>
            </w:r>
          </w:p>
        </w:tc>
        <w:tc>
          <w:tcPr>
            <w:tcW w:w="926" w:type="dxa"/>
            <w:tcBorders/>
            <w:vAlign w:val="center"/>
          </w:tcPr>
          <w:p>
            <w:pPr>
              <w:pStyle w:val="TableContents"/>
              <w:widowControl w:val="false"/>
              <w:suppressLineNumbers/>
              <w:spacing w:before="0" w:after="200"/>
              <w:rPr/>
            </w:pPr>
            <w:r>
              <w:rPr/>
              <w:t>0%</w:t>
            </w:r>
          </w:p>
        </w:tc>
        <w:tc>
          <w:tcPr>
            <w:tcW w:w="3494" w:type="dxa"/>
            <w:tcBorders/>
            <w:vAlign w:val="center"/>
          </w:tcPr>
          <w:p>
            <w:pPr>
              <w:pStyle w:val="TableContents"/>
              <w:widowControl w:val="false"/>
              <w:suppressLineNumbers/>
              <w:spacing w:before="0" w:after="200"/>
              <w:rPr/>
            </w:pPr>
            <w:r>
              <w:rPr/>
              <w:t>Complete dataset (2006-2026)</w:t>
            </w:r>
          </w:p>
        </w:tc>
      </w:tr>
      <w:tr>
        <w:trPr/>
        <w:tc>
          <w:tcPr>
            <w:tcW w:w="739" w:type="dxa"/>
            <w:tcBorders/>
            <w:vAlign w:val="center"/>
          </w:tcPr>
          <w:p>
            <w:pPr>
              <w:pStyle w:val="TableContents"/>
              <w:widowControl w:val="false"/>
              <w:suppressLineNumbers/>
              <w:spacing w:before="0" w:after="200"/>
              <w:rPr/>
            </w:pPr>
            <w:r>
              <w:rPr/>
              <w:t>C340</w:t>
            </w:r>
          </w:p>
        </w:tc>
        <w:tc>
          <w:tcPr>
            <w:tcW w:w="810" w:type="dxa"/>
            <w:tcBorders/>
            <w:vAlign w:val="center"/>
          </w:tcPr>
          <w:p>
            <w:pPr>
              <w:pStyle w:val="TableContents"/>
              <w:widowControl w:val="false"/>
              <w:suppressLineNumbers/>
              <w:spacing w:before="0" w:after="200"/>
              <w:rPr/>
            </w:pPr>
            <w:r>
              <w:rPr/>
              <w:t>100%</w:t>
            </w:r>
          </w:p>
        </w:tc>
        <w:tc>
          <w:tcPr>
            <w:tcW w:w="926" w:type="dxa"/>
            <w:tcBorders/>
            <w:vAlign w:val="center"/>
          </w:tcPr>
          <w:p>
            <w:pPr>
              <w:pStyle w:val="TableContents"/>
              <w:widowControl w:val="false"/>
              <w:suppressLineNumbers/>
              <w:spacing w:before="0" w:after="200"/>
              <w:rPr/>
            </w:pPr>
            <w:r>
              <w:rPr/>
              <w:t>0%</w:t>
            </w:r>
          </w:p>
        </w:tc>
        <w:tc>
          <w:tcPr>
            <w:tcW w:w="3494" w:type="dxa"/>
            <w:tcBorders/>
            <w:vAlign w:val="center"/>
          </w:tcPr>
          <w:p>
            <w:pPr>
              <w:pStyle w:val="TableContents"/>
              <w:widowControl w:val="false"/>
              <w:suppressLineNumbers/>
              <w:spacing w:before="0" w:after="200"/>
              <w:rPr/>
            </w:pPr>
            <w:r>
              <w:rPr/>
              <w:t>Complete dataset (2006-2026)</w:t>
            </w:r>
          </w:p>
        </w:tc>
      </w:tr>
      <w:tr>
        <w:trPr/>
        <w:tc>
          <w:tcPr>
            <w:tcW w:w="739" w:type="dxa"/>
            <w:tcBorders/>
            <w:vAlign w:val="center"/>
          </w:tcPr>
          <w:p>
            <w:pPr>
              <w:pStyle w:val="TableContents"/>
              <w:widowControl w:val="false"/>
              <w:suppressLineNumbers/>
              <w:spacing w:before="0" w:after="200"/>
              <w:rPr/>
            </w:pPr>
            <w:r>
              <w:rPr/>
              <w:t>C401</w:t>
            </w:r>
          </w:p>
        </w:tc>
        <w:tc>
          <w:tcPr>
            <w:tcW w:w="810" w:type="dxa"/>
            <w:tcBorders/>
            <w:vAlign w:val="center"/>
          </w:tcPr>
          <w:p>
            <w:pPr>
              <w:pStyle w:val="TableContents"/>
              <w:widowControl w:val="false"/>
              <w:suppressLineNumbers/>
              <w:spacing w:before="0" w:after="200"/>
              <w:rPr/>
            </w:pPr>
            <w:r>
              <w:rPr/>
            </w:r>
          </w:p>
        </w:tc>
        <w:tc>
          <w:tcPr>
            <w:tcW w:w="926" w:type="dxa"/>
            <w:tcBorders/>
            <w:vAlign w:val="center"/>
          </w:tcPr>
          <w:p>
            <w:pPr>
              <w:pStyle w:val="TableContents"/>
              <w:widowControl w:val="false"/>
              <w:suppressLineNumbers/>
              <w:spacing w:before="0" w:after="200"/>
              <w:rPr/>
            </w:pPr>
            <w:r>
              <w:rPr/>
            </w:r>
          </w:p>
        </w:tc>
        <w:tc>
          <w:tcPr>
            <w:tcW w:w="3494" w:type="dxa"/>
            <w:tcBorders/>
            <w:vAlign w:val="center"/>
          </w:tcPr>
          <w:p>
            <w:pPr>
              <w:pStyle w:val="TableContents"/>
              <w:widowControl w:val="false"/>
              <w:suppressLineNumbers/>
              <w:spacing w:before="0" w:after="200"/>
              <w:rPr/>
            </w:pPr>
            <w:r>
              <w:rPr/>
            </w:r>
          </w:p>
        </w:tc>
      </w:tr>
      <w:tr>
        <w:trPr/>
        <w:tc>
          <w:tcPr>
            <w:tcW w:w="739" w:type="dxa"/>
            <w:tcBorders/>
            <w:vAlign w:val="center"/>
          </w:tcPr>
          <w:p>
            <w:pPr>
              <w:pStyle w:val="TableContents"/>
              <w:widowControl w:val="false"/>
              <w:suppressLineNumbers/>
              <w:spacing w:before="0" w:after="200"/>
              <w:rPr/>
            </w:pPr>
            <w:r>
              <w:rPr/>
              <w:t>C402</w:t>
            </w:r>
          </w:p>
        </w:tc>
        <w:tc>
          <w:tcPr>
            <w:tcW w:w="810" w:type="dxa"/>
            <w:tcBorders/>
            <w:vAlign w:val="center"/>
          </w:tcPr>
          <w:p>
            <w:pPr>
              <w:pStyle w:val="TableContents"/>
              <w:widowControl w:val="false"/>
              <w:suppressLineNumbers/>
              <w:spacing w:before="0" w:after="200"/>
              <w:rPr/>
            </w:pPr>
            <w:r>
              <w:rPr/>
              <w:t>41</w:t>
            </w:r>
            <w:r>
              <w:rPr/>
              <w:t>%</w:t>
            </w:r>
          </w:p>
        </w:tc>
        <w:tc>
          <w:tcPr>
            <w:tcW w:w="926" w:type="dxa"/>
            <w:tcBorders/>
            <w:vAlign w:val="center"/>
          </w:tcPr>
          <w:p>
            <w:pPr>
              <w:pStyle w:val="TableContents"/>
              <w:widowControl w:val="false"/>
              <w:suppressLineNumbers/>
              <w:spacing w:before="0" w:after="200"/>
              <w:rPr/>
            </w:pPr>
            <w:r>
              <w:rPr/>
              <w:t>59</w:t>
            </w:r>
            <w:r>
              <w:rPr/>
              <w:t>%</w:t>
            </w:r>
          </w:p>
        </w:tc>
        <w:tc>
          <w:tcPr>
            <w:tcW w:w="3494" w:type="dxa"/>
            <w:tcBorders/>
            <w:vAlign w:val="center"/>
          </w:tcPr>
          <w:p>
            <w:pPr>
              <w:pStyle w:val="TableContents"/>
              <w:widowControl w:val="false"/>
              <w:suppressLineNumbers/>
              <w:spacing w:before="0" w:after="200"/>
              <w:rPr/>
            </w:pPr>
            <w:r>
              <w:rPr/>
              <w:t>Only model with Part 135 majority</w:t>
            </w:r>
          </w:p>
        </w:tc>
      </w:tr>
      <w:tr>
        <w:trPr/>
        <w:tc>
          <w:tcPr>
            <w:tcW w:w="739" w:type="dxa"/>
            <w:tcBorders/>
            <w:vAlign w:val="center"/>
          </w:tcPr>
          <w:p>
            <w:pPr>
              <w:pStyle w:val="TableContents"/>
              <w:widowControl w:val="false"/>
              <w:suppressLineNumbers/>
              <w:spacing w:before="0" w:after="200"/>
              <w:rPr/>
            </w:pPr>
            <w:r>
              <w:rPr/>
              <w:t>C414</w:t>
            </w:r>
          </w:p>
        </w:tc>
        <w:tc>
          <w:tcPr>
            <w:tcW w:w="810" w:type="dxa"/>
            <w:tcBorders/>
            <w:vAlign w:val="center"/>
          </w:tcPr>
          <w:p>
            <w:pPr>
              <w:pStyle w:val="TableContents"/>
              <w:widowControl w:val="false"/>
              <w:suppressLineNumbers/>
              <w:spacing w:before="0" w:after="200"/>
              <w:rPr/>
            </w:pPr>
            <w:r>
              <w:rPr/>
              <w:t>97%</w:t>
            </w:r>
          </w:p>
        </w:tc>
        <w:tc>
          <w:tcPr>
            <w:tcW w:w="926" w:type="dxa"/>
            <w:tcBorders/>
            <w:vAlign w:val="center"/>
          </w:tcPr>
          <w:p>
            <w:pPr>
              <w:pStyle w:val="TableContents"/>
              <w:widowControl w:val="false"/>
              <w:suppressLineNumbers/>
              <w:spacing w:before="0" w:after="200"/>
              <w:rPr/>
            </w:pPr>
            <w:r>
              <w:rPr/>
              <w:t>3%</w:t>
            </w:r>
          </w:p>
        </w:tc>
        <w:tc>
          <w:tcPr>
            <w:tcW w:w="3494" w:type="dxa"/>
            <w:tcBorders/>
            <w:vAlign w:val="center"/>
          </w:tcPr>
          <w:p>
            <w:pPr>
              <w:pStyle w:val="TableContents"/>
              <w:widowControl w:val="false"/>
              <w:suppressLineNumbers/>
              <w:spacing w:before="0" w:after="200"/>
              <w:rPr/>
            </w:pPr>
            <w:r>
              <w:rPr/>
              <w:t>Heavy bias towards part 91</w:t>
            </w:r>
          </w:p>
        </w:tc>
      </w:tr>
      <w:tr>
        <w:trPr/>
        <w:tc>
          <w:tcPr>
            <w:tcW w:w="739" w:type="dxa"/>
            <w:tcBorders/>
            <w:vAlign w:val="center"/>
          </w:tcPr>
          <w:p>
            <w:pPr>
              <w:pStyle w:val="TableContents"/>
              <w:widowControl w:val="false"/>
              <w:suppressLineNumbers/>
              <w:spacing w:before="0" w:after="200"/>
              <w:rPr/>
            </w:pPr>
            <w:r>
              <w:rPr/>
              <w:t>C412</w:t>
            </w:r>
          </w:p>
        </w:tc>
        <w:tc>
          <w:tcPr>
            <w:tcW w:w="810" w:type="dxa"/>
            <w:tcBorders/>
            <w:vAlign w:val="center"/>
          </w:tcPr>
          <w:p>
            <w:pPr>
              <w:pStyle w:val="TableContents"/>
              <w:widowControl w:val="false"/>
              <w:suppressLineNumbers/>
              <w:spacing w:before="0" w:after="200"/>
              <w:rPr/>
            </w:pPr>
            <w:r>
              <w:rPr/>
            </w:r>
          </w:p>
        </w:tc>
        <w:tc>
          <w:tcPr>
            <w:tcW w:w="926" w:type="dxa"/>
            <w:tcBorders/>
            <w:vAlign w:val="center"/>
          </w:tcPr>
          <w:p>
            <w:pPr>
              <w:pStyle w:val="TableContents"/>
              <w:widowControl w:val="false"/>
              <w:suppressLineNumbers/>
              <w:spacing w:before="0" w:after="200"/>
              <w:rPr/>
            </w:pPr>
            <w:r>
              <w:rPr/>
            </w:r>
          </w:p>
        </w:tc>
        <w:tc>
          <w:tcPr>
            <w:tcW w:w="3494" w:type="dxa"/>
            <w:tcBorders/>
            <w:vAlign w:val="center"/>
          </w:tcPr>
          <w:p>
            <w:pPr>
              <w:pStyle w:val="TableContents"/>
              <w:widowControl w:val="false"/>
              <w:suppressLineNumbers/>
              <w:spacing w:before="0" w:after="200"/>
              <w:rPr/>
            </w:pPr>
            <w:r>
              <w:rPr/>
            </w:r>
          </w:p>
        </w:tc>
      </w:tr>
      <w:tr>
        <w:trPr/>
        <w:tc>
          <w:tcPr>
            <w:tcW w:w="739" w:type="dxa"/>
            <w:tcBorders/>
            <w:vAlign w:val="center"/>
          </w:tcPr>
          <w:p>
            <w:pPr>
              <w:pStyle w:val="TableContents"/>
              <w:widowControl w:val="false"/>
              <w:suppressLineNumbers/>
              <w:spacing w:before="0" w:after="200"/>
              <w:rPr/>
            </w:pPr>
            <w:r>
              <w:rPr>
                <w:rStyle w:val="Strong"/>
              </w:rPr>
              <w:t>Fleet</w:t>
            </w:r>
          </w:p>
        </w:tc>
        <w:tc>
          <w:tcPr>
            <w:tcW w:w="810" w:type="dxa"/>
            <w:tcBorders/>
            <w:vAlign w:val="center"/>
          </w:tcPr>
          <w:p>
            <w:pPr>
              <w:pStyle w:val="TableContents"/>
              <w:widowControl w:val="false"/>
              <w:suppressLineNumbers/>
              <w:spacing w:before="0" w:after="200"/>
              <w:rPr/>
            </w:pPr>
            <w:r>
              <w:rPr>
                <w:rStyle w:val="Strong"/>
              </w:rPr>
              <w:t>86%</w:t>
            </w:r>
          </w:p>
        </w:tc>
        <w:tc>
          <w:tcPr>
            <w:tcW w:w="926" w:type="dxa"/>
            <w:tcBorders/>
            <w:vAlign w:val="center"/>
          </w:tcPr>
          <w:p>
            <w:pPr>
              <w:pStyle w:val="TableContents"/>
              <w:widowControl w:val="false"/>
              <w:suppressLineNumbers/>
              <w:spacing w:before="0" w:after="200"/>
              <w:rPr/>
            </w:pPr>
            <w:r>
              <w:rPr>
                <w:rStyle w:val="Strong"/>
              </w:rPr>
              <w:t>14%</w:t>
            </w:r>
          </w:p>
        </w:tc>
        <w:tc>
          <w:tcPr>
            <w:tcW w:w="3494" w:type="dxa"/>
            <w:tcBorders/>
            <w:vAlign w:val="center"/>
          </w:tcPr>
          <w:p>
            <w:pPr>
              <w:pStyle w:val="TableContents"/>
              <w:widowControl w:val="false"/>
              <w:suppressLineNumbers/>
              <w:spacing w:before="0" w:after="200"/>
              <w:rPr/>
            </w:pPr>
            <w:r>
              <w:rPr/>
              <w:t>Counts only; not exposure-adjusted</w:t>
            </w:r>
          </w:p>
        </w:tc>
      </w:tr>
    </w:tbl>
    <w:p>
      <w:pPr>
        <w:pStyle w:val="Normal"/>
        <w:spacing w:before="0" w:after="0"/>
        <w:rPr>
          <w:rFonts w:ascii="Courier New" w:hAnsi="Courier New"/>
          <w:sz w:val="14"/>
        </w:rPr>
      </w:pPr>
      <w:r>
        <w:rPr>
          <w:rFonts w:ascii="Courier New" w:hAnsi="Courier New"/>
          <w:sz w:val="14"/>
        </w:rPr>
      </w:r>
    </w:p>
    <w:p>
      <w:pPr>
        <w:pStyle w:val="Normal"/>
        <w:rPr/>
      </w:pPr>
      <w:r>
        <w:rPr/>
      </w:r>
    </w:p>
    <w:p>
      <w:pPr>
        <w:pStyle w:val="Heading1"/>
        <w:rPr/>
      </w:pPr>
      <w:r>
        <w:rPr/>
        <w:t>Fatal vs Non-Fatal Distribution</w:t>
      </w:r>
    </w:p>
    <w:p>
      <w:pPr>
        <w:pStyle w:val="Normal"/>
        <w:spacing w:before="0" w:after="120"/>
        <w:rPr/>
      </w:pPr>
      <w:r>
        <w:rPr/>
        <w:t>Severity is separated from frequency in this analysis. The fleet contains 81 fatal events and 146 non-fatal events in the current 227-event dataset. C320 has the highest fatal share within its current small slice, while C402 has a low fatal share but a strong concentration of landing and landing gear events. This reinforces the need to discuss severity and frequency separately: a frequent pattern may not be the most lethal, and a lethal pattern may not be the most common.</w:t>
      </w:r>
    </w:p>
    <w:p>
      <w:pPr>
        <w:pStyle w:val="Normal"/>
        <w:spacing w:before="0" w:after="0"/>
        <w:rPr>
          <w:rFonts w:ascii="Courier New" w:hAnsi="Courier New"/>
          <w:sz w:val="14"/>
        </w:rPr>
      </w:pPr>
      <w:r>
        <w:rPr>
          <w:rFonts w:ascii="Courier New" w:hAnsi="Courier New"/>
          <w:sz w:val="14"/>
        </w:rPr>
      </w:r>
    </w:p>
    <w:tbl>
      <w:tblPr>
        <w:tblW w:w="6409" w:type="dxa"/>
        <w:jc w:val="left"/>
        <w:tblInd w:w="28" w:type="dxa"/>
        <w:tblLayout w:type="fixed"/>
        <w:tblCellMar>
          <w:top w:w="28" w:type="dxa"/>
          <w:left w:w="28" w:type="dxa"/>
          <w:bottom w:w="28" w:type="dxa"/>
          <w:right w:w="28" w:type="dxa"/>
        </w:tblCellMar>
      </w:tblPr>
      <w:tblGrid>
        <w:gridCol w:w="738"/>
        <w:gridCol w:w="836"/>
        <w:gridCol w:w="4835"/>
      </w:tblGrid>
      <w:tr>
        <w:trPr>
          <w:tblHeader w:val="true"/>
        </w:trPr>
        <w:tc>
          <w:tcPr>
            <w:tcW w:w="738" w:type="dxa"/>
            <w:tcBorders/>
            <w:vAlign w:val="center"/>
          </w:tcPr>
          <w:p>
            <w:pPr>
              <w:pStyle w:val="TableHeading"/>
              <w:suppressLineNumbers/>
              <w:spacing w:before="0" w:after="200"/>
              <w:jc w:val="center"/>
              <w:rPr/>
            </w:pPr>
            <w:r>
              <w:rPr/>
              <w:t>Model</w:t>
            </w:r>
          </w:p>
        </w:tc>
        <w:tc>
          <w:tcPr>
            <w:tcW w:w="836" w:type="dxa"/>
            <w:tcBorders/>
            <w:vAlign w:val="center"/>
          </w:tcPr>
          <w:p>
            <w:pPr>
              <w:pStyle w:val="TableHeading"/>
              <w:suppressLineNumbers/>
              <w:spacing w:before="0" w:after="200"/>
              <w:jc w:val="center"/>
              <w:rPr/>
            </w:pPr>
            <w:r>
              <w:rPr/>
              <w:t>Fatal %</w:t>
            </w:r>
          </w:p>
        </w:tc>
        <w:tc>
          <w:tcPr>
            <w:tcW w:w="4835" w:type="dxa"/>
            <w:tcBorders/>
            <w:vAlign w:val="center"/>
          </w:tcPr>
          <w:p>
            <w:pPr>
              <w:pStyle w:val="TableHeading"/>
              <w:suppressLineNumbers/>
              <w:spacing w:before="0" w:after="200"/>
              <w:jc w:val="center"/>
              <w:rPr/>
            </w:pPr>
            <w:r>
              <w:rPr/>
              <w:t>Key Note</w:t>
            </w:r>
          </w:p>
        </w:tc>
      </w:tr>
      <w:tr>
        <w:trPr/>
        <w:tc>
          <w:tcPr>
            <w:tcW w:w="738" w:type="dxa"/>
            <w:tcBorders/>
            <w:vAlign w:val="center"/>
          </w:tcPr>
          <w:p>
            <w:pPr>
              <w:pStyle w:val="TableContents"/>
              <w:widowControl w:val="false"/>
              <w:suppressLineNumbers/>
              <w:spacing w:before="0" w:after="200"/>
              <w:rPr/>
            </w:pPr>
            <w:r>
              <w:rPr/>
              <w:t>C310</w:t>
            </w:r>
          </w:p>
        </w:tc>
        <w:tc>
          <w:tcPr>
            <w:tcW w:w="836" w:type="dxa"/>
            <w:tcBorders/>
            <w:vAlign w:val="center"/>
          </w:tcPr>
          <w:p>
            <w:pPr>
              <w:pStyle w:val="TableContents"/>
              <w:widowControl w:val="false"/>
              <w:suppressLineNumbers/>
              <w:spacing w:before="0" w:after="200"/>
              <w:rPr/>
            </w:pPr>
            <w:r>
              <w:rPr/>
              <w:t>36%</w:t>
            </w:r>
          </w:p>
        </w:tc>
        <w:tc>
          <w:tcPr>
            <w:tcW w:w="4835" w:type="dxa"/>
            <w:tcBorders/>
            <w:vAlign w:val="center"/>
          </w:tcPr>
          <w:p>
            <w:pPr>
              <w:pStyle w:val="TableContents"/>
              <w:widowControl w:val="false"/>
              <w:suppressLineNumbers/>
              <w:spacing w:before="0" w:after="200"/>
              <w:rPr/>
            </w:pPr>
            <w:r>
              <w:rPr/>
              <w:t>complete dataset</w:t>
            </w:r>
          </w:p>
        </w:tc>
      </w:tr>
      <w:tr>
        <w:trPr/>
        <w:tc>
          <w:tcPr>
            <w:tcW w:w="738" w:type="dxa"/>
            <w:tcBorders/>
            <w:vAlign w:val="center"/>
          </w:tcPr>
          <w:p>
            <w:pPr>
              <w:pStyle w:val="TableContents"/>
              <w:widowControl w:val="false"/>
              <w:suppressLineNumbers/>
              <w:spacing w:before="0" w:after="200"/>
              <w:rPr/>
            </w:pPr>
            <w:r>
              <w:rPr/>
              <w:t>C320</w:t>
            </w:r>
          </w:p>
        </w:tc>
        <w:tc>
          <w:tcPr>
            <w:tcW w:w="836" w:type="dxa"/>
            <w:tcBorders/>
            <w:vAlign w:val="center"/>
          </w:tcPr>
          <w:p>
            <w:pPr>
              <w:pStyle w:val="TableContents"/>
              <w:widowControl w:val="false"/>
              <w:suppressLineNumbers/>
              <w:spacing w:before="0" w:after="200"/>
              <w:rPr/>
            </w:pPr>
            <w:r>
              <w:rPr/>
              <w:t>60%</w:t>
            </w:r>
          </w:p>
        </w:tc>
        <w:tc>
          <w:tcPr>
            <w:tcW w:w="4835" w:type="dxa"/>
            <w:tcBorders/>
            <w:vAlign w:val="center"/>
          </w:tcPr>
          <w:p>
            <w:pPr>
              <w:pStyle w:val="TableContents"/>
              <w:widowControl w:val="false"/>
              <w:suppressLineNumbers/>
              <w:spacing w:before="0" w:after="200"/>
              <w:rPr/>
            </w:pPr>
            <w:r>
              <w:rPr/>
              <w:t>Complete dataset, very small sample size</w:t>
            </w:r>
          </w:p>
        </w:tc>
      </w:tr>
      <w:tr>
        <w:trPr/>
        <w:tc>
          <w:tcPr>
            <w:tcW w:w="738" w:type="dxa"/>
            <w:tcBorders/>
            <w:vAlign w:val="center"/>
          </w:tcPr>
          <w:p>
            <w:pPr>
              <w:pStyle w:val="TableContents"/>
              <w:widowControl w:val="false"/>
              <w:suppressLineNumbers/>
              <w:spacing w:before="0" w:after="200"/>
              <w:rPr/>
            </w:pPr>
            <w:r>
              <w:rPr/>
              <w:t>C340</w:t>
            </w:r>
          </w:p>
        </w:tc>
        <w:tc>
          <w:tcPr>
            <w:tcW w:w="836" w:type="dxa"/>
            <w:tcBorders/>
            <w:vAlign w:val="center"/>
          </w:tcPr>
          <w:p>
            <w:pPr>
              <w:pStyle w:val="TableContents"/>
              <w:widowControl w:val="false"/>
              <w:suppressLineNumbers/>
              <w:spacing w:before="0" w:after="200"/>
              <w:rPr/>
            </w:pPr>
            <w:r>
              <w:rPr/>
              <w:t>42%</w:t>
            </w:r>
          </w:p>
        </w:tc>
        <w:tc>
          <w:tcPr>
            <w:tcW w:w="4835" w:type="dxa"/>
            <w:tcBorders/>
            <w:vAlign w:val="center"/>
          </w:tcPr>
          <w:p>
            <w:pPr>
              <w:pStyle w:val="TableContents"/>
              <w:widowControl w:val="false"/>
              <w:suppressLineNumbers/>
              <w:spacing w:before="0" w:after="200"/>
              <w:rPr/>
            </w:pPr>
            <w:r>
              <w:rPr/>
              <w:t>Small sample; higher apparent severity</w:t>
            </w:r>
          </w:p>
        </w:tc>
      </w:tr>
      <w:tr>
        <w:trPr/>
        <w:tc>
          <w:tcPr>
            <w:tcW w:w="738" w:type="dxa"/>
            <w:tcBorders/>
            <w:vAlign w:val="center"/>
          </w:tcPr>
          <w:p>
            <w:pPr>
              <w:pStyle w:val="TableContents"/>
              <w:widowControl w:val="false"/>
              <w:suppressLineNumbers/>
              <w:spacing w:before="0" w:after="200"/>
              <w:rPr/>
            </w:pPr>
            <w:r>
              <w:rPr/>
              <w:t>C401</w:t>
            </w:r>
          </w:p>
        </w:tc>
        <w:tc>
          <w:tcPr>
            <w:tcW w:w="836" w:type="dxa"/>
            <w:tcBorders/>
            <w:vAlign w:val="center"/>
          </w:tcPr>
          <w:p>
            <w:pPr>
              <w:pStyle w:val="TableContents"/>
              <w:widowControl w:val="false"/>
              <w:suppressLineNumbers/>
              <w:spacing w:before="0" w:after="200"/>
              <w:rPr/>
            </w:pPr>
            <w:r>
              <w:rPr/>
            </w:r>
          </w:p>
        </w:tc>
        <w:tc>
          <w:tcPr>
            <w:tcW w:w="4835" w:type="dxa"/>
            <w:tcBorders/>
            <w:vAlign w:val="center"/>
          </w:tcPr>
          <w:p>
            <w:pPr>
              <w:pStyle w:val="TableContents"/>
              <w:widowControl w:val="false"/>
              <w:suppressLineNumbers/>
              <w:spacing w:before="0" w:after="200"/>
              <w:rPr/>
            </w:pPr>
            <w:r>
              <w:rPr/>
            </w:r>
          </w:p>
        </w:tc>
      </w:tr>
      <w:tr>
        <w:trPr/>
        <w:tc>
          <w:tcPr>
            <w:tcW w:w="738" w:type="dxa"/>
            <w:tcBorders/>
            <w:vAlign w:val="center"/>
          </w:tcPr>
          <w:p>
            <w:pPr>
              <w:pStyle w:val="TableContents"/>
              <w:widowControl w:val="false"/>
              <w:suppressLineNumbers/>
              <w:spacing w:before="0" w:after="200"/>
              <w:rPr/>
            </w:pPr>
            <w:r>
              <w:rPr/>
              <w:t>C402</w:t>
            </w:r>
          </w:p>
        </w:tc>
        <w:tc>
          <w:tcPr>
            <w:tcW w:w="836" w:type="dxa"/>
            <w:tcBorders/>
            <w:vAlign w:val="center"/>
          </w:tcPr>
          <w:p>
            <w:pPr>
              <w:pStyle w:val="TableContents"/>
              <w:widowControl w:val="false"/>
              <w:suppressLineNumbers/>
              <w:spacing w:before="0" w:after="200"/>
              <w:rPr/>
            </w:pPr>
            <w:r>
              <w:rPr/>
              <w:t>7%</w:t>
            </w:r>
          </w:p>
        </w:tc>
        <w:tc>
          <w:tcPr>
            <w:tcW w:w="4835" w:type="dxa"/>
            <w:tcBorders/>
            <w:vAlign w:val="center"/>
          </w:tcPr>
          <w:p>
            <w:pPr>
              <w:pStyle w:val="TableContents"/>
              <w:widowControl w:val="false"/>
              <w:suppressLineNumbers/>
              <w:spacing w:before="0" w:after="200"/>
              <w:rPr/>
            </w:pPr>
            <w:r>
              <w:rPr/>
              <w:t>Lower severity; gear/operational events dominate</w:t>
            </w:r>
          </w:p>
        </w:tc>
      </w:tr>
      <w:tr>
        <w:trPr/>
        <w:tc>
          <w:tcPr>
            <w:tcW w:w="738" w:type="dxa"/>
            <w:tcBorders/>
            <w:vAlign w:val="center"/>
          </w:tcPr>
          <w:p>
            <w:pPr>
              <w:pStyle w:val="TableContents"/>
              <w:widowControl w:val="false"/>
              <w:suppressLineNumbers/>
              <w:spacing w:before="0" w:after="200"/>
              <w:rPr/>
            </w:pPr>
            <w:r>
              <w:rPr/>
              <w:t>C414</w:t>
            </w:r>
          </w:p>
        </w:tc>
        <w:tc>
          <w:tcPr>
            <w:tcW w:w="836" w:type="dxa"/>
            <w:tcBorders/>
            <w:vAlign w:val="center"/>
          </w:tcPr>
          <w:p>
            <w:pPr>
              <w:pStyle w:val="TableContents"/>
              <w:widowControl w:val="false"/>
              <w:suppressLineNumbers/>
              <w:spacing w:before="0" w:after="200"/>
              <w:rPr/>
            </w:pPr>
            <w:r>
              <w:rPr/>
            </w:r>
          </w:p>
        </w:tc>
        <w:tc>
          <w:tcPr>
            <w:tcW w:w="4835" w:type="dxa"/>
            <w:tcBorders/>
            <w:vAlign w:val="center"/>
          </w:tcPr>
          <w:p>
            <w:pPr>
              <w:pStyle w:val="TableContents"/>
              <w:widowControl w:val="false"/>
              <w:suppressLineNumbers/>
              <w:spacing w:before="0" w:after="200"/>
              <w:rPr/>
            </w:pPr>
            <w:r>
              <w:rPr/>
            </w:r>
          </w:p>
        </w:tc>
      </w:tr>
      <w:tr>
        <w:trPr/>
        <w:tc>
          <w:tcPr>
            <w:tcW w:w="738" w:type="dxa"/>
            <w:tcBorders/>
            <w:vAlign w:val="center"/>
          </w:tcPr>
          <w:p>
            <w:pPr>
              <w:pStyle w:val="TableContents"/>
              <w:widowControl w:val="false"/>
              <w:suppressLineNumbers/>
              <w:spacing w:before="0" w:after="200"/>
              <w:rPr/>
            </w:pPr>
            <w:r>
              <w:rPr/>
              <w:t>C421</w:t>
            </w:r>
          </w:p>
        </w:tc>
        <w:tc>
          <w:tcPr>
            <w:tcW w:w="836" w:type="dxa"/>
            <w:tcBorders/>
            <w:vAlign w:val="center"/>
          </w:tcPr>
          <w:p>
            <w:pPr>
              <w:pStyle w:val="TableContents"/>
              <w:widowControl w:val="false"/>
              <w:suppressLineNumbers/>
              <w:spacing w:before="0" w:after="200"/>
              <w:rPr/>
            </w:pPr>
            <w:r>
              <w:rPr/>
            </w:r>
          </w:p>
        </w:tc>
        <w:tc>
          <w:tcPr>
            <w:tcW w:w="4835" w:type="dxa"/>
            <w:tcBorders/>
            <w:vAlign w:val="center"/>
          </w:tcPr>
          <w:p>
            <w:pPr>
              <w:pStyle w:val="TableContents"/>
              <w:widowControl w:val="false"/>
              <w:suppressLineNumbers/>
              <w:spacing w:before="0" w:after="200"/>
              <w:rPr/>
            </w:pPr>
            <w:r>
              <w:rPr/>
            </w:r>
          </w:p>
        </w:tc>
      </w:tr>
      <w:tr>
        <w:trPr/>
        <w:tc>
          <w:tcPr>
            <w:tcW w:w="738" w:type="dxa"/>
            <w:tcBorders/>
            <w:vAlign w:val="center"/>
          </w:tcPr>
          <w:p>
            <w:pPr>
              <w:pStyle w:val="TableContents"/>
              <w:widowControl w:val="false"/>
              <w:suppressLineNumbers/>
              <w:spacing w:before="0" w:after="200"/>
              <w:rPr/>
            </w:pPr>
            <w:r>
              <w:rPr>
                <w:rStyle w:val="Strong"/>
              </w:rPr>
              <w:t>Fleet</w:t>
            </w:r>
          </w:p>
        </w:tc>
        <w:tc>
          <w:tcPr>
            <w:tcW w:w="836" w:type="dxa"/>
            <w:tcBorders/>
            <w:vAlign w:val="center"/>
          </w:tcPr>
          <w:p>
            <w:pPr>
              <w:pStyle w:val="TableContents"/>
              <w:widowControl w:val="false"/>
              <w:suppressLineNumbers/>
              <w:spacing w:before="0" w:after="200"/>
              <w:rPr/>
            </w:pPr>
            <w:r>
              <w:rPr>
                <w:rStyle w:val="Strong"/>
              </w:rPr>
              <w:t>35%</w:t>
            </w:r>
          </w:p>
        </w:tc>
        <w:tc>
          <w:tcPr>
            <w:tcW w:w="4835" w:type="dxa"/>
            <w:tcBorders/>
            <w:vAlign w:val="center"/>
          </w:tcPr>
          <w:p>
            <w:pPr>
              <w:pStyle w:val="TableContents"/>
              <w:widowControl w:val="false"/>
              <w:suppressLineNumbers/>
              <w:spacing w:before="0" w:after="200"/>
              <w:rPr/>
            </w:pPr>
            <w:r>
              <w:rPr/>
              <w:t>Separate severity when choosing interventions</w:t>
            </w:r>
          </w:p>
        </w:tc>
      </w:tr>
    </w:tbl>
    <w:p>
      <w:pPr>
        <w:pStyle w:val="Normal"/>
        <w:spacing w:before="0" w:after="0"/>
        <w:rPr>
          <w:rFonts w:ascii="Courier New" w:hAnsi="Courier New"/>
          <w:sz w:val="14"/>
        </w:rPr>
      </w:pPr>
      <w:r>
        <w:rPr>
          <w:rFonts w:ascii="Courier New" w:hAnsi="Courier New"/>
          <w:sz w:val="14"/>
        </w:rPr>
      </w:r>
    </w:p>
    <w:p>
      <w:pPr>
        <w:pStyle w:val="Heading1"/>
        <w:rPr/>
      </w:pPr>
      <w:r>
        <w:rPr/>
        <w:t>Contributing Factor Findings</w:t>
      </w:r>
    </w:p>
    <w:p>
      <w:pPr>
        <w:pStyle w:val="Normal"/>
        <w:spacing w:before="0" w:after="120"/>
        <w:rPr/>
      </w:pPr>
      <w:r>
        <w:rPr/>
        <w:t>The factor distribution points toward a blend of human, maintenance, experience, and performance-related intervention opportunities. The leading coded factor is plan_continuation_bias, followed by checklist_non_compliance. Maintenance-induced failures and low time in type are the next tier. Together, these four factors form the backbone of the recommended intervention priorities.</w:t>
      </w:r>
    </w:p>
    <w:p>
      <w:pPr>
        <w:pStyle w:val="Normal"/>
        <w:spacing w:before="0" w:after="0"/>
        <w:rPr>
          <w:rFonts w:ascii="Courier New" w:hAnsi="Courier New"/>
          <w:sz w:val="14"/>
        </w:rPr>
      </w:pPr>
      <w:r>
        <w:rPr>
          <w:rFonts w:ascii="Courier New" w:hAnsi="Courier New"/>
          <w:sz w:val="14"/>
        </w:rPr>
      </w:r>
    </w:p>
    <w:tbl>
      <w:tblPr>
        <w:tblW w:w="10195" w:type="dxa"/>
        <w:jc w:val="left"/>
        <w:tblInd w:w="28" w:type="dxa"/>
        <w:tblLayout w:type="fixed"/>
        <w:tblCellMar>
          <w:top w:w="28" w:type="dxa"/>
          <w:left w:w="28" w:type="dxa"/>
          <w:bottom w:w="28" w:type="dxa"/>
          <w:right w:w="28" w:type="dxa"/>
        </w:tblCellMar>
      </w:tblPr>
      <w:tblGrid>
        <w:gridCol w:w="1559"/>
        <w:gridCol w:w="3871"/>
        <w:gridCol w:w="1353"/>
        <w:gridCol w:w="3411"/>
      </w:tblGrid>
      <w:tr>
        <w:trPr>
          <w:tblHeader w:val="true"/>
        </w:trPr>
        <w:tc>
          <w:tcPr>
            <w:tcW w:w="1559" w:type="dxa"/>
            <w:tcBorders/>
            <w:vAlign w:val="center"/>
          </w:tcPr>
          <w:p>
            <w:pPr>
              <w:pStyle w:val="TableHeading"/>
              <w:suppressLineNumbers/>
              <w:spacing w:before="0" w:after="200"/>
              <w:jc w:val="center"/>
              <w:rPr/>
            </w:pPr>
            <w:r>
              <w:rPr/>
              <w:t>Factor Group</w:t>
            </w:r>
          </w:p>
        </w:tc>
        <w:tc>
          <w:tcPr>
            <w:tcW w:w="3871" w:type="dxa"/>
            <w:tcBorders/>
            <w:vAlign w:val="center"/>
          </w:tcPr>
          <w:p>
            <w:pPr>
              <w:pStyle w:val="TableHeading"/>
              <w:suppressLineNumbers/>
              <w:spacing w:before="0" w:after="200"/>
              <w:jc w:val="center"/>
              <w:rPr/>
            </w:pPr>
            <w:r>
              <w:rPr/>
              <w:t>Top Drivers</w:t>
            </w:r>
          </w:p>
        </w:tc>
        <w:tc>
          <w:tcPr>
            <w:tcW w:w="1353" w:type="dxa"/>
            <w:tcBorders/>
            <w:vAlign w:val="center"/>
          </w:tcPr>
          <w:p>
            <w:pPr>
              <w:pStyle w:val="TableHeading"/>
              <w:suppressLineNumbers/>
              <w:spacing w:before="0" w:after="200"/>
              <w:jc w:val="center"/>
              <w:rPr/>
            </w:pPr>
            <w:r>
              <w:rPr/>
              <w:t>Share</w:t>
            </w:r>
          </w:p>
        </w:tc>
        <w:tc>
          <w:tcPr>
            <w:tcW w:w="3411" w:type="dxa"/>
            <w:tcBorders/>
            <w:vAlign w:val="center"/>
          </w:tcPr>
          <w:p>
            <w:pPr>
              <w:pStyle w:val="TableHeading"/>
              <w:suppressLineNumbers/>
              <w:spacing w:before="0" w:after="200"/>
              <w:jc w:val="center"/>
              <w:rPr/>
            </w:pPr>
            <w:r>
              <w:rPr/>
              <w:t>Key Takeaway</w:t>
            </w:r>
          </w:p>
        </w:tc>
      </w:tr>
      <w:tr>
        <w:trPr/>
        <w:tc>
          <w:tcPr>
            <w:tcW w:w="1559" w:type="dxa"/>
            <w:tcBorders/>
            <w:vAlign w:val="center"/>
          </w:tcPr>
          <w:p>
            <w:pPr>
              <w:pStyle w:val="TableContents"/>
              <w:widowControl w:val="false"/>
              <w:suppressLineNumbers/>
              <w:spacing w:before="0" w:after="200"/>
              <w:rPr/>
            </w:pPr>
            <w:r>
              <w:rPr>
                <w:rStyle w:val="Strong"/>
              </w:rPr>
              <w:t>Human / Decision-Making</w:t>
            </w:r>
          </w:p>
        </w:tc>
        <w:tc>
          <w:tcPr>
            <w:tcW w:w="3871" w:type="dxa"/>
            <w:tcBorders/>
            <w:vAlign w:val="center"/>
          </w:tcPr>
          <w:p>
            <w:pPr>
              <w:pStyle w:val="TableContents"/>
              <w:widowControl w:val="false"/>
              <w:suppressLineNumbers/>
              <w:spacing w:before="0" w:after="200"/>
              <w:rPr/>
            </w:pPr>
            <w:r>
              <w:rPr/>
              <w:t>Plan continuation, checklist discipline, task saturation, assumption of performance</w:t>
            </w:r>
          </w:p>
        </w:tc>
        <w:tc>
          <w:tcPr>
            <w:tcW w:w="1353" w:type="dxa"/>
            <w:tcBorders/>
            <w:vAlign w:val="center"/>
          </w:tcPr>
          <w:p>
            <w:pPr>
              <w:pStyle w:val="TableContents"/>
              <w:widowControl w:val="false"/>
              <w:suppressLineNumbers/>
              <w:spacing w:before="0" w:after="200"/>
              <w:rPr/>
            </w:pPr>
            <w:r>
              <w:rPr/>
              <w:t>~46% combined</w:t>
            </w:r>
          </w:p>
        </w:tc>
        <w:tc>
          <w:tcPr>
            <w:tcW w:w="3411" w:type="dxa"/>
            <w:tcBorders/>
            <w:vAlign w:val="center"/>
          </w:tcPr>
          <w:p>
            <w:pPr>
              <w:pStyle w:val="TableContents"/>
              <w:widowControl w:val="false"/>
              <w:suppressLineNumbers/>
              <w:spacing w:before="0" w:after="200"/>
              <w:rPr/>
            </w:pPr>
            <w:r>
              <w:rPr/>
              <w:t>Largest driver; decision-making and discipline failures dominate</w:t>
            </w:r>
          </w:p>
        </w:tc>
      </w:tr>
      <w:tr>
        <w:trPr/>
        <w:tc>
          <w:tcPr>
            <w:tcW w:w="1559" w:type="dxa"/>
            <w:tcBorders/>
            <w:vAlign w:val="center"/>
          </w:tcPr>
          <w:p>
            <w:pPr>
              <w:pStyle w:val="TableContents"/>
              <w:widowControl w:val="false"/>
              <w:suppressLineNumbers/>
              <w:spacing w:before="0" w:after="200"/>
              <w:rPr/>
            </w:pPr>
            <w:r>
              <w:rPr>
                <w:rStyle w:val="Strong"/>
              </w:rPr>
              <w:t>Maintenance / Mechanical</w:t>
            </w:r>
          </w:p>
        </w:tc>
        <w:tc>
          <w:tcPr>
            <w:tcW w:w="3871" w:type="dxa"/>
            <w:tcBorders/>
            <w:vAlign w:val="center"/>
          </w:tcPr>
          <w:p>
            <w:pPr>
              <w:pStyle w:val="TableContents"/>
              <w:widowControl w:val="false"/>
              <w:suppressLineNumbers/>
              <w:spacing w:before="0" w:after="200"/>
              <w:rPr/>
            </w:pPr>
            <w:r>
              <w:rPr/>
              <w:t>Maintenance-induced failure, aging aircraft, troubleshooting gaps</w:t>
            </w:r>
          </w:p>
        </w:tc>
        <w:tc>
          <w:tcPr>
            <w:tcW w:w="1353" w:type="dxa"/>
            <w:tcBorders/>
            <w:vAlign w:val="center"/>
          </w:tcPr>
          <w:p>
            <w:pPr>
              <w:pStyle w:val="TableContents"/>
              <w:widowControl w:val="false"/>
              <w:suppressLineNumbers/>
              <w:spacing w:before="0" w:after="200"/>
              <w:rPr/>
            </w:pPr>
            <w:r>
              <w:rPr/>
              <w:t>~25% combined</w:t>
            </w:r>
          </w:p>
        </w:tc>
        <w:tc>
          <w:tcPr>
            <w:tcW w:w="3411" w:type="dxa"/>
            <w:tcBorders/>
            <w:vAlign w:val="center"/>
          </w:tcPr>
          <w:p>
            <w:pPr>
              <w:pStyle w:val="TableContents"/>
              <w:widowControl w:val="false"/>
              <w:suppressLineNumbers/>
              <w:spacing w:before="0" w:after="200"/>
              <w:rPr/>
            </w:pPr>
            <w:r>
              <w:rPr/>
              <w:t>Recurring system reliability and maintenance quality issues</w:t>
            </w:r>
          </w:p>
        </w:tc>
      </w:tr>
      <w:tr>
        <w:trPr/>
        <w:tc>
          <w:tcPr>
            <w:tcW w:w="1559" w:type="dxa"/>
            <w:tcBorders/>
            <w:vAlign w:val="center"/>
          </w:tcPr>
          <w:p>
            <w:pPr>
              <w:pStyle w:val="TableContents"/>
              <w:widowControl w:val="false"/>
              <w:suppressLineNumbers/>
              <w:spacing w:before="0" w:after="200"/>
              <w:rPr/>
            </w:pPr>
            <w:r>
              <w:rPr>
                <w:rStyle w:val="Strong"/>
              </w:rPr>
              <w:t>Experience / Training</w:t>
            </w:r>
          </w:p>
        </w:tc>
        <w:tc>
          <w:tcPr>
            <w:tcW w:w="3871" w:type="dxa"/>
            <w:tcBorders/>
            <w:vAlign w:val="center"/>
          </w:tcPr>
          <w:p>
            <w:pPr>
              <w:pStyle w:val="TableContents"/>
              <w:widowControl w:val="false"/>
              <w:suppressLineNumbers/>
              <w:spacing w:before="0" w:after="200"/>
              <w:rPr/>
            </w:pPr>
            <w:r>
              <w:rPr/>
              <w:t>Low time in type, incomplete training, recency</w:t>
            </w:r>
          </w:p>
        </w:tc>
        <w:tc>
          <w:tcPr>
            <w:tcW w:w="1353" w:type="dxa"/>
            <w:tcBorders/>
            <w:vAlign w:val="center"/>
          </w:tcPr>
          <w:p>
            <w:pPr>
              <w:pStyle w:val="TableContents"/>
              <w:widowControl w:val="false"/>
              <w:suppressLineNumbers/>
              <w:spacing w:before="0" w:after="200"/>
              <w:rPr/>
            </w:pPr>
            <w:r>
              <w:rPr/>
              <w:t>~20% combined</w:t>
            </w:r>
          </w:p>
        </w:tc>
        <w:tc>
          <w:tcPr>
            <w:tcW w:w="3411" w:type="dxa"/>
            <w:tcBorders/>
            <w:vAlign w:val="center"/>
          </w:tcPr>
          <w:p>
            <w:pPr>
              <w:pStyle w:val="TableContents"/>
              <w:widowControl w:val="false"/>
              <w:suppressLineNumbers/>
              <w:spacing w:before="0" w:after="200"/>
              <w:rPr/>
            </w:pPr>
            <w:r>
              <w:rPr/>
              <w:t>Transition training and proficiency gaps matter</w:t>
            </w:r>
          </w:p>
        </w:tc>
      </w:tr>
      <w:tr>
        <w:trPr/>
        <w:tc>
          <w:tcPr>
            <w:tcW w:w="1559" w:type="dxa"/>
            <w:tcBorders/>
            <w:vAlign w:val="center"/>
          </w:tcPr>
          <w:p>
            <w:pPr>
              <w:pStyle w:val="TableContents"/>
              <w:widowControl w:val="false"/>
              <w:suppressLineNumbers/>
              <w:spacing w:before="0" w:after="200"/>
              <w:rPr/>
            </w:pPr>
            <w:r>
              <w:rPr>
                <w:rStyle w:val="Strong"/>
              </w:rPr>
              <w:t>Performance / Operational</w:t>
            </w:r>
          </w:p>
        </w:tc>
        <w:tc>
          <w:tcPr>
            <w:tcW w:w="3871" w:type="dxa"/>
            <w:tcBorders/>
            <w:vAlign w:val="center"/>
          </w:tcPr>
          <w:p>
            <w:pPr>
              <w:pStyle w:val="TableContents"/>
              <w:widowControl w:val="false"/>
              <w:suppressLineNumbers/>
              <w:spacing w:before="0" w:after="200"/>
              <w:rPr/>
            </w:pPr>
            <w:r>
              <w:rPr/>
              <w:t>Icing, single-engine assumptions, density altitude</w:t>
            </w:r>
          </w:p>
        </w:tc>
        <w:tc>
          <w:tcPr>
            <w:tcW w:w="1353" w:type="dxa"/>
            <w:tcBorders/>
            <w:vAlign w:val="center"/>
          </w:tcPr>
          <w:p>
            <w:pPr>
              <w:pStyle w:val="TableContents"/>
              <w:widowControl w:val="false"/>
              <w:suppressLineNumbers/>
              <w:spacing w:before="0" w:after="200"/>
              <w:rPr/>
            </w:pPr>
            <w:r>
              <w:rPr/>
              <w:t>~14% combined</w:t>
            </w:r>
          </w:p>
        </w:tc>
        <w:tc>
          <w:tcPr>
            <w:tcW w:w="3411" w:type="dxa"/>
            <w:tcBorders/>
            <w:vAlign w:val="center"/>
          </w:tcPr>
          <w:p>
            <w:pPr>
              <w:pStyle w:val="TableContents"/>
              <w:widowControl w:val="false"/>
              <w:suppressLineNumbers/>
              <w:spacing w:before="0" w:after="200"/>
              <w:rPr/>
            </w:pPr>
            <w:r>
              <w:rPr/>
              <w:t>Lower frequency but often higher severity</w:t>
            </w:r>
          </w:p>
        </w:tc>
      </w:tr>
    </w:tbl>
    <w:p>
      <w:pPr>
        <w:pStyle w:val="Normal"/>
        <w:spacing w:before="0" w:after="0"/>
        <w:rPr>
          <w:rFonts w:ascii="Courier New" w:hAnsi="Courier New"/>
          <w:sz w:val="14"/>
        </w:rPr>
      </w:pPr>
      <w:r>
        <w:rPr>
          <w:rFonts w:ascii="Courier New" w:hAnsi="Courier New"/>
          <w:sz w:val="14"/>
        </w:rPr>
      </w:r>
    </w:p>
    <w:p>
      <w:pPr>
        <w:pStyle w:val="Heading1"/>
        <w:rPr/>
      </w:pPr>
      <w:r>
        <w:rPr/>
        <w:t>Factor Frequency Counts by Model</w:t>
      </w:r>
    </w:p>
    <w:p>
      <w:pPr>
        <w:pStyle w:val="Heading2"/>
        <w:rPr/>
      </w:pPr>
      <w:r>
        <w:rPr/>
        <w:t>C310</w:t>
      </w:r>
    </w:p>
    <w:p>
      <w:pPr>
        <w:pStyle w:val="Normal"/>
        <w:spacing w:before="0" w:after="120"/>
        <w:rPr/>
      </w:pPr>
      <w:r>
        <w:rPr/>
        <w:t>The C310 factor distribution is the most mature and should be treated as the strongest model-specific evidence base because the C310 dataset is complete for 2006–2026. Checklist noncompliance, plan continuation bias, low time in type, and maintenance-induced failure lead the C310 factor profile.</w:t>
      </w:r>
    </w:p>
    <w:p>
      <w:pPr>
        <w:pStyle w:val="Normal"/>
        <w:spacing w:before="0" w:after="0"/>
        <w:rPr>
          <w:rFonts w:ascii="Courier New" w:hAnsi="Courier New"/>
          <w:sz w:val="14"/>
        </w:rPr>
      </w:pPr>
      <w:r>
        <w:rPr>
          <w:rFonts w:ascii="Courier New" w:hAnsi="Courier New"/>
          <w:sz w:val="14"/>
        </w:rPr>
      </w:r>
    </w:p>
    <w:tbl>
      <w:tblPr>
        <w:tblW w:w="10368" w:type="dxa"/>
        <w:jc w:val="left"/>
        <w:tblInd w:w="28" w:type="dxa"/>
        <w:tblLayout w:type="fixed"/>
        <w:tblCellMar>
          <w:top w:w="28" w:type="dxa"/>
          <w:left w:w="28" w:type="dxa"/>
          <w:bottom w:w="28" w:type="dxa"/>
          <w:right w:w="28" w:type="dxa"/>
        </w:tblCellMar>
      </w:tblPr>
      <w:tblGrid>
        <w:gridCol w:w="1678"/>
        <w:gridCol w:w="3822"/>
        <w:gridCol w:w="960"/>
        <w:gridCol w:w="3907"/>
      </w:tblGrid>
      <w:tr>
        <w:trPr>
          <w:tblHeader w:val="true"/>
        </w:trPr>
        <w:tc>
          <w:tcPr>
            <w:tcW w:w="1678" w:type="dxa"/>
            <w:tcBorders/>
            <w:vAlign w:val="center"/>
          </w:tcPr>
          <w:p>
            <w:pPr>
              <w:pStyle w:val="TableHeading"/>
              <w:suppressLineNumbers/>
              <w:spacing w:before="0" w:after="200"/>
              <w:jc w:val="center"/>
              <w:rPr/>
            </w:pPr>
            <w:r>
              <w:rPr/>
              <w:t>Factor Group</w:t>
            </w:r>
          </w:p>
        </w:tc>
        <w:tc>
          <w:tcPr>
            <w:tcW w:w="3822" w:type="dxa"/>
            <w:tcBorders/>
            <w:vAlign w:val="center"/>
          </w:tcPr>
          <w:p>
            <w:pPr>
              <w:pStyle w:val="TableHeading"/>
              <w:suppressLineNumbers/>
              <w:spacing w:before="0" w:after="200"/>
              <w:jc w:val="center"/>
              <w:rPr/>
            </w:pPr>
            <w:r>
              <w:rPr/>
              <w:t>Top Drivers</w:t>
            </w:r>
          </w:p>
        </w:tc>
        <w:tc>
          <w:tcPr>
            <w:tcW w:w="960" w:type="dxa"/>
            <w:tcBorders/>
            <w:vAlign w:val="center"/>
          </w:tcPr>
          <w:p>
            <w:pPr>
              <w:pStyle w:val="TableHeading"/>
              <w:suppressLineNumbers/>
              <w:spacing w:before="0" w:after="200"/>
              <w:jc w:val="center"/>
              <w:rPr/>
            </w:pPr>
            <w:r>
              <w:rPr/>
              <w:t>Share</w:t>
            </w:r>
          </w:p>
        </w:tc>
        <w:tc>
          <w:tcPr>
            <w:tcW w:w="3907" w:type="dxa"/>
            <w:tcBorders/>
            <w:vAlign w:val="center"/>
          </w:tcPr>
          <w:p>
            <w:pPr>
              <w:pStyle w:val="TableHeading"/>
              <w:suppressLineNumbers/>
              <w:spacing w:before="0" w:after="200"/>
              <w:jc w:val="center"/>
              <w:rPr/>
            </w:pPr>
            <w:r>
              <w:rPr/>
              <w:t>Key Takeaway</w:t>
            </w:r>
          </w:p>
        </w:tc>
      </w:tr>
      <w:tr>
        <w:trPr/>
        <w:tc>
          <w:tcPr>
            <w:tcW w:w="1678" w:type="dxa"/>
            <w:tcBorders/>
            <w:vAlign w:val="center"/>
          </w:tcPr>
          <w:p>
            <w:pPr>
              <w:pStyle w:val="TableContents"/>
              <w:widowControl w:val="false"/>
              <w:suppressLineNumbers/>
              <w:spacing w:before="0" w:after="200"/>
              <w:rPr/>
            </w:pPr>
            <w:r>
              <w:rPr>
                <w:rStyle w:val="Strong"/>
              </w:rPr>
              <w:t>Human / Decision-Making</w:t>
            </w:r>
          </w:p>
        </w:tc>
        <w:tc>
          <w:tcPr>
            <w:tcW w:w="3822" w:type="dxa"/>
            <w:tcBorders/>
            <w:vAlign w:val="center"/>
          </w:tcPr>
          <w:p>
            <w:pPr>
              <w:pStyle w:val="TableContents"/>
              <w:widowControl w:val="false"/>
              <w:suppressLineNumbers/>
              <w:spacing w:before="0" w:after="200"/>
              <w:rPr/>
            </w:pPr>
            <w:r>
              <w:rPr/>
              <w:t>Checklist discipline, plan continuation, task saturation</w:t>
            </w:r>
          </w:p>
        </w:tc>
        <w:tc>
          <w:tcPr>
            <w:tcW w:w="960" w:type="dxa"/>
            <w:tcBorders/>
            <w:vAlign w:val="center"/>
          </w:tcPr>
          <w:p>
            <w:pPr>
              <w:pStyle w:val="TableContents"/>
              <w:widowControl w:val="false"/>
              <w:suppressLineNumbers/>
              <w:spacing w:before="0" w:after="200"/>
              <w:rPr/>
            </w:pPr>
            <w:r>
              <w:rPr/>
              <w:t>~43% combined</w:t>
            </w:r>
          </w:p>
        </w:tc>
        <w:tc>
          <w:tcPr>
            <w:tcW w:w="3907" w:type="dxa"/>
            <w:tcBorders/>
            <w:vAlign w:val="center"/>
          </w:tcPr>
          <w:p>
            <w:pPr>
              <w:pStyle w:val="TableContents"/>
              <w:widowControl w:val="false"/>
              <w:suppressLineNumbers/>
              <w:spacing w:before="0" w:after="200"/>
              <w:rPr/>
            </w:pPr>
            <w:r>
              <w:rPr/>
              <w:t>Primary driver; procedural discipline and decision-making dominate</w:t>
            </w:r>
          </w:p>
        </w:tc>
      </w:tr>
      <w:tr>
        <w:trPr/>
        <w:tc>
          <w:tcPr>
            <w:tcW w:w="1678" w:type="dxa"/>
            <w:tcBorders/>
            <w:vAlign w:val="center"/>
          </w:tcPr>
          <w:p>
            <w:pPr>
              <w:pStyle w:val="TableContents"/>
              <w:widowControl w:val="false"/>
              <w:suppressLineNumbers/>
              <w:spacing w:before="0" w:after="200"/>
              <w:rPr/>
            </w:pPr>
            <w:r>
              <w:rPr>
                <w:rStyle w:val="Strong"/>
              </w:rPr>
              <w:t>Experience / Training</w:t>
            </w:r>
          </w:p>
        </w:tc>
        <w:tc>
          <w:tcPr>
            <w:tcW w:w="3822" w:type="dxa"/>
            <w:tcBorders/>
            <w:vAlign w:val="center"/>
          </w:tcPr>
          <w:p>
            <w:pPr>
              <w:pStyle w:val="TableContents"/>
              <w:widowControl w:val="false"/>
              <w:suppressLineNumbers/>
              <w:spacing w:before="0" w:after="200"/>
              <w:rPr/>
            </w:pPr>
            <w:r>
              <w:rPr/>
              <w:t>Low time in type, incomplete training, recency</w:t>
            </w:r>
          </w:p>
        </w:tc>
        <w:tc>
          <w:tcPr>
            <w:tcW w:w="960" w:type="dxa"/>
            <w:tcBorders/>
            <w:vAlign w:val="center"/>
          </w:tcPr>
          <w:p>
            <w:pPr>
              <w:pStyle w:val="TableContents"/>
              <w:widowControl w:val="false"/>
              <w:suppressLineNumbers/>
              <w:spacing w:before="0" w:after="200"/>
              <w:rPr/>
            </w:pPr>
            <w:r>
              <w:rPr/>
              <w:t>~25% combined</w:t>
            </w:r>
          </w:p>
        </w:tc>
        <w:tc>
          <w:tcPr>
            <w:tcW w:w="3907" w:type="dxa"/>
            <w:tcBorders/>
            <w:vAlign w:val="center"/>
          </w:tcPr>
          <w:p>
            <w:pPr>
              <w:pStyle w:val="TableContents"/>
              <w:widowControl w:val="false"/>
              <w:suppressLineNumbers/>
              <w:spacing w:before="0" w:after="200"/>
              <w:rPr/>
            </w:pPr>
            <w:r>
              <w:rPr/>
              <w:t>Strong need for structured transition and proficiency training</w:t>
            </w:r>
          </w:p>
        </w:tc>
      </w:tr>
      <w:tr>
        <w:trPr/>
        <w:tc>
          <w:tcPr>
            <w:tcW w:w="1678" w:type="dxa"/>
            <w:tcBorders/>
            <w:vAlign w:val="center"/>
          </w:tcPr>
          <w:p>
            <w:pPr>
              <w:pStyle w:val="TableContents"/>
              <w:widowControl w:val="false"/>
              <w:suppressLineNumbers/>
              <w:spacing w:before="0" w:after="200"/>
              <w:rPr/>
            </w:pPr>
            <w:r>
              <w:rPr>
                <w:rStyle w:val="Strong"/>
              </w:rPr>
              <w:t>Maintenance / Mechanical</w:t>
            </w:r>
          </w:p>
        </w:tc>
        <w:tc>
          <w:tcPr>
            <w:tcW w:w="3822" w:type="dxa"/>
            <w:tcBorders/>
            <w:vAlign w:val="center"/>
          </w:tcPr>
          <w:p>
            <w:pPr>
              <w:pStyle w:val="TableContents"/>
              <w:widowControl w:val="false"/>
              <w:suppressLineNumbers/>
              <w:spacing w:before="0" w:after="200"/>
              <w:rPr/>
            </w:pPr>
            <w:r>
              <w:rPr/>
              <w:t>Maintenance-induced failure, aging systems, troubleshooting gaps</w:t>
            </w:r>
          </w:p>
        </w:tc>
        <w:tc>
          <w:tcPr>
            <w:tcW w:w="960" w:type="dxa"/>
            <w:tcBorders/>
            <w:vAlign w:val="center"/>
          </w:tcPr>
          <w:p>
            <w:pPr>
              <w:pStyle w:val="TableContents"/>
              <w:widowControl w:val="false"/>
              <w:suppressLineNumbers/>
              <w:spacing w:before="0" w:after="200"/>
              <w:rPr/>
            </w:pPr>
            <w:r>
              <w:rPr/>
              <w:t>~26% combined</w:t>
            </w:r>
          </w:p>
        </w:tc>
        <w:tc>
          <w:tcPr>
            <w:tcW w:w="3907" w:type="dxa"/>
            <w:tcBorders/>
            <w:vAlign w:val="center"/>
          </w:tcPr>
          <w:p>
            <w:pPr>
              <w:pStyle w:val="TableContents"/>
              <w:widowControl w:val="false"/>
              <w:suppressLineNumbers/>
              <w:spacing w:before="0" w:after="200"/>
              <w:rPr/>
            </w:pPr>
            <w:r>
              <w:rPr/>
              <w:t>Recurring reliability and maintenance quality issues</w:t>
            </w:r>
          </w:p>
        </w:tc>
      </w:tr>
      <w:tr>
        <w:trPr/>
        <w:tc>
          <w:tcPr>
            <w:tcW w:w="1678" w:type="dxa"/>
            <w:tcBorders/>
            <w:vAlign w:val="center"/>
          </w:tcPr>
          <w:p>
            <w:pPr>
              <w:pStyle w:val="TableContents"/>
              <w:widowControl w:val="false"/>
              <w:suppressLineNumbers/>
              <w:spacing w:before="0" w:after="200"/>
              <w:rPr/>
            </w:pPr>
            <w:r>
              <w:rPr>
                <w:rStyle w:val="Strong"/>
              </w:rPr>
              <w:t>Performance / Operational</w:t>
            </w:r>
          </w:p>
        </w:tc>
        <w:tc>
          <w:tcPr>
            <w:tcW w:w="3822" w:type="dxa"/>
            <w:tcBorders/>
            <w:vAlign w:val="center"/>
          </w:tcPr>
          <w:p>
            <w:pPr>
              <w:pStyle w:val="TableContents"/>
              <w:widowControl w:val="false"/>
              <w:suppressLineNumbers/>
              <w:spacing w:before="0" w:after="200"/>
              <w:rPr/>
            </w:pPr>
            <w:r>
              <w:rPr/>
              <w:t>Single-engine assumptions, icing, performance expectations</w:t>
            </w:r>
          </w:p>
        </w:tc>
        <w:tc>
          <w:tcPr>
            <w:tcW w:w="960" w:type="dxa"/>
            <w:tcBorders/>
            <w:vAlign w:val="center"/>
          </w:tcPr>
          <w:p>
            <w:pPr>
              <w:pStyle w:val="TableContents"/>
              <w:widowControl w:val="false"/>
              <w:suppressLineNumbers/>
              <w:spacing w:before="0" w:after="200"/>
              <w:rPr/>
            </w:pPr>
            <w:r>
              <w:rPr/>
              <w:t>~15% combined</w:t>
            </w:r>
          </w:p>
        </w:tc>
        <w:tc>
          <w:tcPr>
            <w:tcW w:w="3907" w:type="dxa"/>
            <w:tcBorders/>
            <w:vAlign w:val="center"/>
          </w:tcPr>
          <w:p>
            <w:pPr>
              <w:pStyle w:val="TableContents"/>
              <w:widowControl w:val="false"/>
              <w:suppressLineNumbers/>
              <w:spacing w:before="0" w:after="200"/>
              <w:rPr/>
            </w:pPr>
            <w:r>
              <w:rPr/>
              <w:t>Lower frequency but higher consequence scenarios</w:t>
            </w:r>
          </w:p>
        </w:tc>
      </w:tr>
    </w:tbl>
    <w:p>
      <w:pPr>
        <w:pStyle w:val="Normal"/>
        <w:spacing w:before="0" w:after="0"/>
        <w:rPr>
          <w:rFonts w:ascii="Courier New" w:hAnsi="Courier New"/>
          <w:sz w:val="14"/>
        </w:rPr>
      </w:pPr>
      <w:r>
        <w:rPr>
          <w:rFonts w:ascii="Courier New" w:hAnsi="Courier New"/>
          <w:sz w:val="14"/>
        </w:rPr>
      </w:r>
    </w:p>
    <w:p>
      <w:pPr>
        <w:pStyle w:val="Heading2"/>
        <w:rPr/>
      </w:pPr>
      <w:r>
        <w:rPr/>
        <w:t>C320</w:t>
      </w:r>
    </w:p>
    <w:p>
      <w:pPr>
        <w:pStyle w:val="Normal"/>
        <w:spacing w:before="0" w:after="120"/>
        <w:rPr/>
      </w:pPr>
      <w:r>
        <w:rPr/>
        <w:t>The C320 factor distribution is the smallest in the fleet. Although small, the C320 dataset shows a strong concentration of loss-of-control and training-related factors, suggesting a high-sensitivity profile to decision-making and proficiency.</w:t>
      </w:r>
    </w:p>
    <w:p>
      <w:pPr>
        <w:pStyle w:val="Normal"/>
        <w:spacing w:before="0" w:after="0"/>
        <w:rPr>
          <w:rFonts w:ascii="Courier New" w:hAnsi="Courier New"/>
          <w:sz w:val="14"/>
        </w:rPr>
      </w:pPr>
      <w:r>
        <w:rPr>
          <w:rFonts w:ascii="Courier New" w:hAnsi="Courier New"/>
          <w:sz w:val="14"/>
        </w:rPr>
      </w:r>
    </w:p>
    <w:p>
      <w:pPr>
        <w:pStyle w:val="Normal"/>
        <w:spacing w:before="0" w:after="0"/>
        <w:rPr>
          <w:rFonts w:ascii="Courier New" w:hAnsi="Courier New"/>
          <w:sz w:val="14"/>
        </w:rPr>
      </w:pPr>
      <w:r>
        <w:rPr>
          <w:rFonts w:ascii="Courier New" w:hAnsi="Courier New"/>
          <w:sz w:val="14"/>
        </w:rPr>
      </w:r>
    </w:p>
    <w:tbl>
      <w:tblPr>
        <w:tblW w:w="10368" w:type="dxa"/>
        <w:jc w:val="left"/>
        <w:tblInd w:w="28" w:type="dxa"/>
        <w:tblLayout w:type="fixed"/>
        <w:tblCellMar>
          <w:top w:w="28" w:type="dxa"/>
          <w:left w:w="28" w:type="dxa"/>
          <w:bottom w:w="28" w:type="dxa"/>
          <w:right w:w="28" w:type="dxa"/>
        </w:tblCellMar>
      </w:tblPr>
      <w:tblGrid>
        <w:gridCol w:w="2354"/>
        <w:gridCol w:w="3301"/>
        <w:gridCol w:w="1461"/>
        <w:gridCol w:w="3251"/>
      </w:tblGrid>
      <w:tr>
        <w:trPr>
          <w:tblHeader w:val="true"/>
        </w:trPr>
        <w:tc>
          <w:tcPr>
            <w:tcW w:w="2354" w:type="dxa"/>
            <w:tcBorders/>
            <w:vAlign w:val="center"/>
          </w:tcPr>
          <w:p>
            <w:pPr>
              <w:pStyle w:val="TableHeading"/>
              <w:suppressLineNumbers/>
              <w:spacing w:before="0" w:after="200"/>
              <w:jc w:val="center"/>
              <w:rPr/>
            </w:pPr>
            <w:r>
              <w:rPr/>
              <w:t>Factor Group</w:t>
            </w:r>
          </w:p>
        </w:tc>
        <w:tc>
          <w:tcPr>
            <w:tcW w:w="3301" w:type="dxa"/>
            <w:tcBorders/>
            <w:vAlign w:val="center"/>
          </w:tcPr>
          <w:p>
            <w:pPr>
              <w:pStyle w:val="TableHeading"/>
              <w:suppressLineNumbers/>
              <w:spacing w:before="0" w:after="200"/>
              <w:jc w:val="center"/>
              <w:rPr/>
            </w:pPr>
            <w:r>
              <w:rPr/>
              <w:t>Top Drivers</w:t>
            </w:r>
          </w:p>
        </w:tc>
        <w:tc>
          <w:tcPr>
            <w:tcW w:w="1461" w:type="dxa"/>
            <w:tcBorders/>
            <w:vAlign w:val="center"/>
          </w:tcPr>
          <w:p>
            <w:pPr>
              <w:pStyle w:val="TableHeading"/>
              <w:suppressLineNumbers/>
              <w:spacing w:before="0" w:after="200"/>
              <w:jc w:val="center"/>
              <w:rPr/>
            </w:pPr>
            <w:r>
              <w:rPr/>
              <w:t>Share</w:t>
            </w:r>
          </w:p>
        </w:tc>
        <w:tc>
          <w:tcPr>
            <w:tcW w:w="3251" w:type="dxa"/>
            <w:tcBorders/>
            <w:vAlign w:val="center"/>
          </w:tcPr>
          <w:p>
            <w:pPr>
              <w:pStyle w:val="TableHeading"/>
              <w:suppressLineNumbers/>
              <w:spacing w:before="0" w:after="200"/>
              <w:jc w:val="center"/>
              <w:rPr/>
            </w:pPr>
            <w:r>
              <w:rPr/>
              <w:t>Key Takeaway</w:t>
            </w:r>
          </w:p>
        </w:tc>
      </w:tr>
      <w:tr>
        <w:trPr/>
        <w:tc>
          <w:tcPr>
            <w:tcW w:w="2354" w:type="dxa"/>
            <w:tcBorders/>
            <w:vAlign w:val="center"/>
          </w:tcPr>
          <w:p>
            <w:pPr>
              <w:pStyle w:val="TableContents"/>
              <w:widowControl w:val="false"/>
              <w:suppressLineNumbers/>
              <w:spacing w:before="0" w:after="200"/>
              <w:rPr/>
            </w:pPr>
            <w:r>
              <w:rPr>
                <w:rStyle w:val="Strong"/>
              </w:rPr>
              <w:t>Human / Decision-Making</w:t>
            </w:r>
          </w:p>
        </w:tc>
        <w:tc>
          <w:tcPr>
            <w:tcW w:w="3301" w:type="dxa"/>
            <w:tcBorders/>
            <w:vAlign w:val="center"/>
          </w:tcPr>
          <w:p>
            <w:pPr>
              <w:pStyle w:val="TableContents"/>
              <w:widowControl w:val="false"/>
              <w:suppressLineNumbers/>
              <w:spacing w:before="0" w:after="200"/>
              <w:rPr/>
            </w:pPr>
            <w:r>
              <w:rPr/>
              <w:t>Plan continuation, assumption of performance</w:t>
            </w:r>
          </w:p>
        </w:tc>
        <w:tc>
          <w:tcPr>
            <w:tcW w:w="1461" w:type="dxa"/>
            <w:tcBorders/>
            <w:vAlign w:val="center"/>
          </w:tcPr>
          <w:p>
            <w:pPr>
              <w:pStyle w:val="TableContents"/>
              <w:widowControl w:val="false"/>
              <w:suppressLineNumbers/>
              <w:spacing w:before="0" w:after="200"/>
              <w:rPr/>
            </w:pPr>
            <w:r>
              <w:rPr/>
              <w:t>~40%+ combined</w:t>
            </w:r>
          </w:p>
        </w:tc>
        <w:tc>
          <w:tcPr>
            <w:tcW w:w="3251" w:type="dxa"/>
            <w:tcBorders/>
            <w:vAlign w:val="center"/>
          </w:tcPr>
          <w:p>
            <w:pPr>
              <w:pStyle w:val="TableContents"/>
              <w:widowControl w:val="false"/>
              <w:suppressLineNumbers/>
              <w:spacing w:before="0" w:after="200"/>
              <w:rPr/>
            </w:pPr>
            <w:r>
              <w:rPr/>
              <w:t>Primary driver; decision-making dominates outcomes</w:t>
            </w:r>
          </w:p>
        </w:tc>
      </w:tr>
      <w:tr>
        <w:trPr/>
        <w:tc>
          <w:tcPr>
            <w:tcW w:w="2354" w:type="dxa"/>
            <w:tcBorders/>
            <w:vAlign w:val="center"/>
          </w:tcPr>
          <w:p>
            <w:pPr>
              <w:pStyle w:val="TableContents"/>
              <w:widowControl w:val="false"/>
              <w:suppressLineNumbers/>
              <w:spacing w:before="0" w:after="200"/>
              <w:rPr/>
            </w:pPr>
            <w:r>
              <w:rPr>
                <w:rStyle w:val="Strong"/>
              </w:rPr>
              <w:t>Experience / Training</w:t>
            </w:r>
          </w:p>
        </w:tc>
        <w:tc>
          <w:tcPr>
            <w:tcW w:w="3301" w:type="dxa"/>
            <w:tcBorders/>
            <w:vAlign w:val="center"/>
          </w:tcPr>
          <w:p>
            <w:pPr>
              <w:pStyle w:val="TableContents"/>
              <w:widowControl w:val="false"/>
              <w:suppressLineNumbers/>
              <w:spacing w:before="0" w:after="200"/>
              <w:rPr/>
            </w:pPr>
            <w:r>
              <w:rPr/>
              <w:t>Incomplete training, low time in type, recency</w:t>
            </w:r>
          </w:p>
        </w:tc>
        <w:tc>
          <w:tcPr>
            <w:tcW w:w="1461" w:type="dxa"/>
            <w:tcBorders/>
            <w:vAlign w:val="center"/>
          </w:tcPr>
          <w:p>
            <w:pPr>
              <w:pStyle w:val="TableContents"/>
              <w:widowControl w:val="false"/>
              <w:suppressLineNumbers/>
              <w:spacing w:before="0" w:after="200"/>
              <w:rPr/>
            </w:pPr>
            <w:r>
              <w:rPr/>
              <w:t>~35%+ combined</w:t>
            </w:r>
          </w:p>
        </w:tc>
        <w:tc>
          <w:tcPr>
            <w:tcW w:w="3251" w:type="dxa"/>
            <w:tcBorders/>
            <w:vAlign w:val="center"/>
          </w:tcPr>
          <w:p>
            <w:pPr>
              <w:pStyle w:val="TableContents"/>
              <w:widowControl w:val="false"/>
              <w:suppressLineNumbers/>
              <w:spacing w:before="0" w:after="200"/>
              <w:rPr/>
            </w:pPr>
            <w:r>
              <w:rPr/>
              <w:t>Strong signal for training and proficiency gaps</w:t>
            </w:r>
          </w:p>
        </w:tc>
      </w:tr>
      <w:tr>
        <w:trPr/>
        <w:tc>
          <w:tcPr>
            <w:tcW w:w="2354" w:type="dxa"/>
            <w:tcBorders/>
            <w:vAlign w:val="center"/>
          </w:tcPr>
          <w:p>
            <w:pPr>
              <w:pStyle w:val="TableContents"/>
              <w:widowControl w:val="false"/>
              <w:suppressLineNumbers/>
              <w:spacing w:before="0" w:after="200"/>
              <w:rPr/>
            </w:pPr>
            <w:r>
              <w:rPr>
                <w:rStyle w:val="Strong"/>
              </w:rPr>
              <w:t>Maintenance / Mechanical</w:t>
            </w:r>
          </w:p>
        </w:tc>
        <w:tc>
          <w:tcPr>
            <w:tcW w:w="3301" w:type="dxa"/>
            <w:tcBorders/>
            <w:vAlign w:val="center"/>
          </w:tcPr>
          <w:p>
            <w:pPr>
              <w:pStyle w:val="TableContents"/>
              <w:widowControl w:val="false"/>
              <w:suppressLineNumbers/>
              <w:spacing w:before="0" w:after="200"/>
              <w:rPr/>
            </w:pPr>
            <w:r>
              <w:rPr/>
              <w:t>Maintenance-induced failure, aging systems</w:t>
            </w:r>
          </w:p>
        </w:tc>
        <w:tc>
          <w:tcPr>
            <w:tcW w:w="1461" w:type="dxa"/>
            <w:tcBorders/>
            <w:vAlign w:val="center"/>
          </w:tcPr>
          <w:p>
            <w:pPr>
              <w:pStyle w:val="TableContents"/>
              <w:widowControl w:val="false"/>
              <w:suppressLineNumbers/>
              <w:spacing w:before="0" w:after="200"/>
              <w:rPr/>
            </w:pPr>
            <w:r>
              <w:rPr/>
              <w:t>~20% combined</w:t>
            </w:r>
          </w:p>
        </w:tc>
        <w:tc>
          <w:tcPr>
            <w:tcW w:w="3251" w:type="dxa"/>
            <w:tcBorders/>
            <w:vAlign w:val="center"/>
          </w:tcPr>
          <w:p>
            <w:pPr>
              <w:pStyle w:val="TableContents"/>
              <w:widowControl w:val="false"/>
              <w:suppressLineNumbers/>
              <w:spacing w:before="0" w:after="200"/>
              <w:rPr/>
            </w:pPr>
            <w:r>
              <w:rPr/>
              <w:t>Present but secondary to human/training factors</w:t>
            </w:r>
          </w:p>
        </w:tc>
      </w:tr>
      <w:tr>
        <w:trPr/>
        <w:tc>
          <w:tcPr>
            <w:tcW w:w="2354" w:type="dxa"/>
            <w:tcBorders/>
            <w:vAlign w:val="center"/>
          </w:tcPr>
          <w:p>
            <w:pPr>
              <w:pStyle w:val="TableContents"/>
              <w:widowControl w:val="false"/>
              <w:suppressLineNumbers/>
              <w:spacing w:before="0" w:after="200"/>
              <w:rPr/>
            </w:pPr>
            <w:r>
              <w:rPr>
                <w:rStyle w:val="Strong"/>
              </w:rPr>
              <w:t>Performance / Operational</w:t>
            </w:r>
          </w:p>
        </w:tc>
        <w:tc>
          <w:tcPr>
            <w:tcW w:w="3301" w:type="dxa"/>
            <w:tcBorders/>
            <w:vAlign w:val="center"/>
          </w:tcPr>
          <w:p>
            <w:pPr>
              <w:pStyle w:val="TableContents"/>
              <w:widowControl w:val="false"/>
              <w:suppressLineNumbers/>
              <w:spacing w:before="0" w:after="200"/>
              <w:rPr/>
            </w:pPr>
            <w:r>
              <w:rPr/>
              <w:t>Single-engine assumptions, density altitude</w:t>
            </w:r>
          </w:p>
        </w:tc>
        <w:tc>
          <w:tcPr>
            <w:tcW w:w="1461" w:type="dxa"/>
            <w:tcBorders/>
            <w:vAlign w:val="center"/>
          </w:tcPr>
          <w:p>
            <w:pPr>
              <w:pStyle w:val="TableContents"/>
              <w:widowControl w:val="false"/>
              <w:suppressLineNumbers/>
              <w:spacing w:before="0" w:after="200"/>
              <w:rPr/>
            </w:pPr>
            <w:r>
              <w:rPr/>
              <w:t>~15% combined</w:t>
            </w:r>
          </w:p>
        </w:tc>
        <w:tc>
          <w:tcPr>
            <w:tcW w:w="3251" w:type="dxa"/>
            <w:tcBorders/>
            <w:vAlign w:val="center"/>
          </w:tcPr>
          <w:p>
            <w:pPr>
              <w:pStyle w:val="TableContents"/>
              <w:widowControl w:val="false"/>
              <w:suppressLineNumbers/>
              <w:spacing w:before="0" w:after="200"/>
              <w:rPr/>
            </w:pPr>
            <w:r>
              <w:rPr/>
              <w:t>Contributes to high-severity scenarios</w:t>
            </w:r>
          </w:p>
        </w:tc>
      </w:tr>
    </w:tbl>
    <w:p>
      <w:pPr>
        <w:pStyle w:val="Normal"/>
        <w:spacing w:before="0" w:after="0"/>
        <w:rPr>
          <w:rFonts w:ascii="Courier New" w:hAnsi="Courier New"/>
          <w:sz w:val="14"/>
        </w:rPr>
      </w:pPr>
      <w:r>
        <w:rPr>
          <w:rFonts w:ascii="Courier New" w:hAnsi="Courier New"/>
          <w:sz w:val="14"/>
        </w:rPr>
      </w:r>
    </w:p>
    <w:p>
      <w:pPr>
        <w:pStyle w:val="Heading2"/>
        <w:rPr/>
      </w:pPr>
      <w:r>
        <w:rPr/>
        <w:t>C340</w:t>
      </w:r>
    </w:p>
    <w:p>
      <w:pPr>
        <w:pStyle w:val="Normal"/>
        <w:spacing w:before="0" w:after="120"/>
        <w:rPr/>
      </w:pPr>
      <w:r>
        <w:rPr/>
        <w:t>The C340 factor profile is based on 27 events. It is useful for directional discussion but should be interpreted with caution until more complete longitudinal coverage is available. Plan continuation bias and assumption of performance are most visible in the current slice.</w:t>
      </w:r>
    </w:p>
    <w:p>
      <w:pPr>
        <w:pStyle w:val="Normal"/>
        <w:spacing w:before="0" w:after="0"/>
        <w:rPr>
          <w:rFonts w:ascii="Courier New" w:hAnsi="Courier New"/>
          <w:sz w:val="14"/>
        </w:rPr>
      </w:pPr>
      <w:r>
        <w:rPr>
          <w:rFonts w:ascii="Courier New" w:hAnsi="Courier New"/>
          <w:sz w:val="14"/>
        </w:rPr>
      </w:r>
    </w:p>
    <w:p>
      <w:pPr>
        <w:pStyle w:val="Normal"/>
        <w:spacing w:before="0" w:after="0"/>
        <w:rPr>
          <w:rFonts w:ascii="Courier New" w:hAnsi="Courier New"/>
          <w:sz w:val="14"/>
        </w:rPr>
      </w:pPr>
      <w:r>
        <w:rPr>
          <w:rFonts w:ascii="Courier New" w:hAnsi="Courier New"/>
          <w:sz w:val="14"/>
        </w:rPr>
      </w:r>
    </w:p>
    <w:tbl>
      <w:tblPr>
        <w:tblW w:w="10368" w:type="dxa"/>
        <w:jc w:val="left"/>
        <w:tblInd w:w="28" w:type="dxa"/>
        <w:tblLayout w:type="fixed"/>
        <w:tblCellMar>
          <w:top w:w="28" w:type="dxa"/>
          <w:left w:w="28" w:type="dxa"/>
          <w:bottom w:w="28" w:type="dxa"/>
          <w:right w:w="28" w:type="dxa"/>
        </w:tblCellMar>
      </w:tblPr>
      <w:tblGrid>
        <w:gridCol w:w="2268"/>
        <w:gridCol w:w="3731"/>
        <w:gridCol w:w="1046"/>
        <w:gridCol w:w="3322"/>
      </w:tblGrid>
      <w:tr>
        <w:trPr>
          <w:tblHeader w:val="true"/>
        </w:trPr>
        <w:tc>
          <w:tcPr>
            <w:tcW w:w="2268" w:type="dxa"/>
            <w:tcBorders/>
            <w:vAlign w:val="center"/>
          </w:tcPr>
          <w:p>
            <w:pPr>
              <w:pStyle w:val="TableHeading"/>
              <w:suppressLineNumbers/>
              <w:spacing w:before="0" w:after="200"/>
              <w:jc w:val="center"/>
              <w:rPr/>
            </w:pPr>
            <w:r>
              <w:rPr/>
              <w:t>Factor Group</w:t>
            </w:r>
          </w:p>
        </w:tc>
        <w:tc>
          <w:tcPr>
            <w:tcW w:w="3731" w:type="dxa"/>
            <w:tcBorders/>
            <w:vAlign w:val="center"/>
          </w:tcPr>
          <w:p>
            <w:pPr>
              <w:pStyle w:val="TableHeading"/>
              <w:suppressLineNumbers/>
              <w:spacing w:before="0" w:after="200"/>
              <w:jc w:val="center"/>
              <w:rPr/>
            </w:pPr>
            <w:r>
              <w:rPr/>
              <w:t>Top Drivers</w:t>
            </w:r>
          </w:p>
        </w:tc>
        <w:tc>
          <w:tcPr>
            <w:tcW w:w="1046" w:type="dxa"/>
            <w:tcBorders/>
            <w:vAlign w:val="center"/>
          </w:tcPr>
          <w:p>
            <w:pPr>
              <w:pStyle w:val="TableHeading"/>
              <w:suppressLineNumbers/>
              <w:spacing w:before="0" w:after="200"/>
              <w:jc w:val="center"/>
              <w:rPr/>
            </w:pPr>
            <w:r>
              <w:rPr/>
              <w:t>Share</w:t>
            </w:r>
          </w:p>
        </w:tc>
        <w:tc>
          <w:tcPr>
            <w:tcW w:w="3322" w:type="dxa"/>
            <w:tcBorders/>
            <w:vAlign w:val="center"/>
          </w:tcPr>
          <w:p>
            <w:pPr>
              <w:pStyle w:val="TableHeading"/>
              <w:suppressLineNumbers/>
              <w:spacing w:before="0" w:after="200"/>
              <w:jc w:val="center"/>
              <w:rPr/>
            </w:pPr>
            <w:r>
              <w:rPr/>
              <w:t>Key Takeaway</w:t>
            </w:r>
          </w:p>
        </w:tc>
      </w:tr>
      <w:tr>
        <w:trPr/>
        <w:tc>
          <w:tcPr>
            <w:tcW w:w="2268" w:type="dxa"/>
            <w:tcBorders/>
            <w:vAlign w:val="center"/>
          </w:tcPr>
          <w:p>
            <w:pPr>
              <w:pStyle w:val="TableContents"/>
              <w:widowControl w:val="false"/>
              <w:suppressLineNumbers/>
              <w:spacing w:before="0" w:after="200"/>
              <w:rPr/>
            </w:pPr>
            <w:r>
              <w:rPr>
                <w:rStyle w:val="Strong"/>
              </w:rPr>
              <w:t>Human / Decision-Making</w:t>
            </w:r>
          </w:p>
        </w:tc>
        <w:tc>
          <w:tcPr>
            <w:tcW w:w="3731" w:type="dxa"/>
            <w:tcBorders/>
            <w:vAlign w:val="center"/>
          </w:tcPr>
          <w:p>
            <w:pPr>
              <w:pStyle w:val="TableContents"/>
              <w:widowControl w:val="false"/>
              <w:suppressLineNumbers/>
              <w:spacing w:before="0" w:after="200"/>
              <w:rPr/>
            </w:pPr>
            <w:r>
              <w:rPr/>
              <w:t>Plan continuation, checklist discipline, normalization of deviance</w:t>
            </w:r>
          </w:p>
        </w:tc>
        <w:tc>
          <w:tcPr>
            <w:tcW w:w="1046" w:type="dxa"/>
            <w:tcBorders/>
            <w:vAlign w:val="center"/>
          </w:tcPr>
          <w:p>
            <w:pPr>
              <w:pStyle w:val="TableContents"/>
              <w:widowControl w:val="false"/>
              <w:suppressLineNumbers/>
              <w:spacing w:before="0" w:after="200"/>
              <w:rPr/>
            </w:pPr>
            <w:r>
              <w:rPr/>
              <w:t>~45% combined</w:t>
            </w:r>
          </w:p>
        </w:tc>
        <w:tc>
          <w:tcPr>
            <w:tcW w:w="3322" w:type="dxa"/>
            <w:tcBorders/>
            <w:vAlign w:val="center"/>
          </w:tcPr>
          <w:p>
            <w:pPr>
              <w:pStyle w:val="TableContents"/>
              <w:widowControl w:val="false"/>
              <w:suppressLineNumbers/>
              <w:spacing w:before="0" w:after="200"/>
              <w:rPr/>
            </w:pPr>
            <w:r>
              <w:rPr/>
              <w:t>Dominant driver; decision-making errors are the primary pattern</w:t>
            </w:r>
          </w:p>
        </w:tc>
      </w:tr>
      <w:tr>
        <w:trPr/>
        <w:tc>
          <w:tcPr>
            <w:tcW w:w="2268" w:type="dxa"/>
            <w:tcBorders/>
            <w:vAlign w:val="center"/>
          </w:tcPr>
          <w:p>
            <w:pPr>
              <w:pStyle w:val="TableContents"/>
              <w:widowControl w:val="false"/>
              <w:suppressLineNumbers/>
              <w:spacing w:before="0" w:after="200"/>
              <w:rPr/>
            </w:pPr>
            <w:r>
              <w:rPr>
                <w:rStyle w:val="Strong"/>
              </w:rPr>
              <w:t>Performance / Operational</w:t>
            </w:r>
          </w:p>
        </w:tc>
        <w:tc>
          <w:tcPr>
            <w:tcW w:w="3731" w:type="dxa"/>
            <w:tcBorders/>
            <w:vAlign w:val="center"/>
          </w:tcPr>
          <w:p>
            <w:pPr>
              <w:pStyle w:val="TableContents"/>
              <w:widowControl w:val="false"/>
              <w:suppressLineNumbers/>
              <w:spacing w:before="0" w:after="200"/>
              <w:rPr/>
            </w:pPr>
            <w:r>
              <w:rPr/>
              <w:t>Assumption of performance, icing</w:t>
            </w:r>
          </w:p>
        </w:tc>
        <w:tc>
          <w:tcPr>
            <w:tcW w:w="1046" w:type="dxa"/>
            <w:tcBorders/>
            <w:vAlign w:val="center"/>
          </w:tcPr>
          <w:p>
            <w:pPr>
              <w:pStyle w:val="TableContents"/>
              <w:widowControl w:val="false"/>
              <w:suppressLineNumbers/>
              <w:spacing w:before="0" w:after="200"/>
              <w:rPr/>
            </w:pPr>
            <w:r>
              <w:rPr/>
              <w:t>~17% combined</w:t>
            </w:r>
          </w:p>
        </w:tc>
        <w:tc>
          <w:tcPr>
            <w:tcW w:w="3322" w:type="dxa"/>
            <w:tcBorders/>
            <w:vAlign w:val="center"/>
          </w:tcPr>
          <w:p>
            <w:pPr>
              <w:pStyle w:val="TableContents"/>
              <w:widowControl w:val="false"/>
              <w:suppressLineNumbers/>
              <w:spacing w:before="0" w:after="200"/>
              <w:rPr/>
            </w:pPr>
            <w:r>
              <w:rPr/>
              <w:t>Performance margin misjudgment remains a key theme</w:t>
            </w:r>
          </w:p>
        </w:tc>
      </w:tr>
      <w:tr>
        <w:trPr/>
        <w:tc>
          <w:tcPr>
            <w:tcW w:w="2268" w:type="dxa"/>
            <w:tcBorders/>
            <w:vAlign w:val="center"/>
          </w:tcPr>
          <w:p>
            <w:pPr>
              <w:pStyle w:val="TableContents"/>
              <w:widowControl w:val="false"/>
              <w:suppressLineNumbers/>
              <w:spacing w:before="0" w:after="200"/>
              <w:rPr/>
            </w:pPr>
            <w:r>
              <w:rPr>
                <w:rStyle w:val="Strong"/>
              </w:rPr>
              <w:t>Experience / Training</w:t>
            </w:r>
          </w:p>
        </w:tc>
        <w:tc>
          <w:tcPr>
            <w:tcW w:w="3731" w:type="dxa"/>
            <w:tcBorders/>
            <w:vAlign w:val="center"/>
          </w:tcPr>
          <w:p>
            <w:pPr>
              <w:pStyle w:val="TableContents"/>
              <w:widowControl w:val="false"/>
              <w:suppressLineNumbers/>
              <w:spacing w:before="0" w:after="200"/>
              <w:rPr/>
            </w:pPr>
            <w:r>
              <w:rPr/>
              <w:t>Low time in type, incomplete training, recency</w:t>
            </w:r>
          </w:p>
        </w:tc>
        <w:tc>
          <w:tcPr>
            <w:tcW w:w="1046" w:type="dxa"/>
            <w:tcBorders/>
            <w:vAlign w:val="center"/>
          </w:tcPr>
          <w:p>
            <w:pPr>
              <w:pStyle w:val="TableContents"/>
              <w:widowControl w:val="false"/>
              <w:suppressLineNumbers/>
              <w:spacing w:before="0" w:after="200"/>
              <w:rPr/>
            </w:pPr>
            <w:r>
              <w:rPr/>
              <w:t>~15% combined</w:t>
            </w:r>
          </w:p>
        </w:tc>
        <w:tc>
          <w:tcPr>
            <w:tcW w:w="3322" w:type="dxa"/>
            <w:tcBorders/>
            <w:vAlign w:val="center"/>
          </w:tcPr>
          <w:p>
            <w:pPr>
              <w:pStyle w:val="TableContents"/>
              <w:widowControl w:val="false"/>
              <w:suppressLineNumbers/>
              <w:spacing w:before="0" w:after="200"/>
              <w:rPr/>
            </w:pPr>
            <w:r>
              <w:rPr/>
              <w:t>Consistent but secondary contributor</w:t>
            </w:r>
          </w:p>
        </w:tc>
      </w:tr>
      <w:tr>
        <w:trPr/>
        <w:tc>
          <w:tcPr>
            <w:tcW w:w="2268" w:type="dxa"/>
            <w:tcBorders/>
            <w:vAlign w:val="center"/>
          </w:tcPr>
          <w:p>
            <w:pPr>
              <w:pStyle w:val="TableContents"/>
              <w:widowControl w:val="false"/>
              <w:suppressLineNumbers/>
              <w:spacing w:before="0" w:after="200"/>
              <w:rPr/>
            </w:pPr>
            <w:r>
              <w:rPr>
                <w:rStyle w:val="Strong"/>
              </w:rPr>
              <w:t>Maintenance / Mechanical</w:t>
            </w:r>
          </w:p>
        </w:tc>
        <w:tc>
          <w:tcPr>
            <w:tcW w:w="3731" w:type="dxa"/>
            <w:tcBorders/>
            <w:vAlign w:val="center"/>
          </w:tcPr>
          <w:p>
            <w:pPr>
              <w:pStyle w:val="TableContents"/>
              <w:widowControl w:val="false"/>
              <w:suppressLineNumbers/>
              <w:spacing w:before="0" w:after="200"/>
              <w:rPr/>
            </w:pPr>
            <w:r>
              <w:rPr/>
              <w:t>Maintenance-induced failure, aging systems</w:t>
            </w:r>
          </w:p>
        </w:tc>
        <w:tc>
          <w:tcPr>
            <w:tcW w:w="1046" w:type="dxa"/>
            <w:tcBorders/>
            <w:vAlign w:val="center"/>
          </w:tcPr>
          <w:p>
            <w:pPr>
              <w:pStyle w:val="TableContents"/>
              <w:widowControl w:val="false"/>
              <w:suppressLineNumbers/>
              <w:spacing w:before="0" w:after="200"/>
              <w:rPr/>
            </w:pPr>
            <w:r>
              <w:rPr/>
              <w:t>~8% combined</w:t>
            </w:r>
          </w:p>
        </w:tc>
        <w:tc>
          <w:tcPr>
            <w:tcW w:w="3322" w:type="dxa"/>
            <w:tcBorders/>
            <w:vAlign w:val="center"/>
          </w:tcPr>
          <w:p>
            <w:pPr>
              <w:pStyle w:val="TableContents"/>
              <w:widowControl w:val="false"/>
              <w:suppressLineNumbers/>
              <w:spacing w:before="0" w:after="200"/>
              <w:rPr/>
            </w:pPr>
            <w:r>
              <w:rPr/>
              <w:t>Present but not a leading driver</w:t>
            </w:r>
          </w:p>
        </w:tc>
      </w:tr>
    </w:tbl>
    <w:p>
      <w:pPr>
        <w:pStyle w:val="Normal"/>
        <w:spacing w:before="0" w:after="0"/>
        <w:rPr>
          <w:rFonts w:ascii="Courier New" w:hAnsi="Courier New"/>
          <w:sz w:val="14"/>
        </w:rPr>
      </w:pPr>
      <w:r>
        <w:rPr>
          <w:rFonts w:ascii="Courier New" w:hAnsi="Courier New"/>
          <w:sz w:val="14"/>
        </w:rPr>
      </w:r>
    </w:p>
    <w:p>
      <w:pPr>
        <w:pStyle w:val="Heading2"/>
        <w:rPr/>
      </w:pPr>
      <w:r>
        <w:rPr/>
        <w:t>C402</w:t>
      </w:r>
    </w:p>
    <w:p>
      <w:pPr>
        <w:pStyle w:val="Normal"/>
        <w:spacing w:before="0" w:after="120"/>
        <w:rPr/>
      </w:pPr>
      <w:r>
        <w:rPr/>
        <w:t>The C402 factor profile is also based on 27 events and is heavily influenced by the current dataset’s Part 135 and landing/gear profile. Plan continuation bias and maintenance-induced failure lead the coded factor profile.</w:t>
      </w:r>
    </w:p>
    <w:p>
      <w:pPr>
        <w:pStyle w:val="Normal"/>
        <w:spacing w:before="0" w:after="0"/>
        <w:rPr>
          <w:rFonts w:ascii="Courier New" w:hAnsi="Courier New"/>
          <w:sz w:val="14"/>
        </w:rPr>
      </w:pPr>
      <w:r>
        <w:rPr>
          <w:rFonts w:ascii="Courier New" w:hAnsi="Courier New"/>
          <w:sz w:val="14"/>
        </w:rPr>
      </w:r>
    </w:p>
    <w:tbl>
      <w:tblPr>
        <w:tblW w:w="10368" w:type="dxa"/>
        <w:jc w:val="left"/>
        <w:tblInd w:w="28" w:type="dxa"/>
        <w:tblLayout w:type="fixed"/>
        <w:tblCellMar>
          <w:top w:w="28" w:type="dxa"/>
          <w:left w:w="28" w:type="dxa"/>
          <w:bottom w:w="28" w:type="dxa"/>
          <w:right w:w="28" w:type="dxa"/>
        </w:tblCellMar>
      </w:tblPr>
      <w:tblGrid>
        <w:gridCol w:w="1716"/>
        <w:gridCol w:w="3987"/>
        <w:gridCol w:w="1052"/>
        <w:gridCol w:w="3612"/>
      </w:tblGrid>
      <w:tr>
        <w:trPr>
          <w:tblHeader w:val="true"/>
        </w:trPr>
        <w:tc>
          <w:tcPr>
            <w:tcW w:w="1716" w:type="dxa"/>
            <w:tcBorders/>
            <w:vAlign w:val="center"/>
          </w:tcPr>
          <w:p>
            <w:pPr>
              <w:pStyle w:val="TableHeading"/>
              <w:suppressLineNumbers/>
              <w:spacing w:before="0" w:after="200"/>
              <w:jc w:val="center"/>
              <w:rPr/>
            </w:pPr>
            <w:r>
              <w:rPr/>
              <w:t>Factor Group</w:t>
            </w:r>
          </w:p>
        </w:tc>
        <w:tc>
          <w:tcPr>
            <w:tcW w:w="3987" w:type="dxa"/>
            <w:tcBorders/>
            <w:vAlign w:val="center"/>
          </w:tcPr>
          <w:p>
            <w:pPr>
              <w:pStyle w:val="TableHeading"/>
              <w:suppressLineNumbers/>
              <w:spacing w:before="0" w:after="200"/>
              <w:jc w:val="center"/>
              <w:rPr/>
            </w:pPr>
            <w:r>
              <w:rPr/>
              <w:t>Top Drivers</w:t>
            </w:r>
          </w:p>
        </w:tc>
        <w:tc>
          <w:tcPr>
            <w:tcW w:w="1052" w:type="dxa"/>
            <w:tcBorders/>
            <w:vAlign w:val="center"/>
          </w:tcPr>
          <w:p>
            <w:pPr>
              <w:pStyle w:val="TableHeading"/>
              <w:suppressLineNumbers/>
              <w:spacing w:before="0" w:after="200"/>
              <w:jc w:val="center"/>
              <w:rPr/>
            </w:pPr>
            <w:r>
              <w:rPr/>
              <w:t>Share</w:t>
            </w:r>
          </w:p>
        </w:tc>
        <w:tc>
          <w:tcPr>
            <w:tcW w:w="3612" w:type="dxa"/>
            <w:tcBorders/>
            <w:vAlign w:val="center"/>
          </w:tcPr>
          <w:p>
            <w:pPr>
              <w:pStyle w:val="TableHeading"/>
              <w:suppressLineNumbers/>
              <w:spacing w:before="0" w:after="200"/>
              <w:jc w:val="center"/>
              <w:rPr/>
            </w:pPr>
            <w:r>
              <w:rPr/>
              <w:t>Key Takeaway</w:t>
            </w:r>
          </w:p>
        </w:tc>
      </w:tr>
      <w:tr>
        <w:trPr/>
        <w:tc>
          <w:tcPr>
            <w:tcW w:w="1716" w:type="dxa"/>
            <w:tcBorders/>
            <w:vAlign w:val="center"/>
          </w:tcPr>
          <w:p>
            <w:pPr>
              <w:pStyle w:val="TableContents"/>
              <w:widowControl w:val="false"/>
              <w:suppressLineNumbers/>
              <w:spacing w:before="0" w:after="200"/>
              <w:rPr/>
            </w:pPr>
            <w:r>
              <w:rPr>
                <w:rStyle w:val="Strong"/>
              </w:rPr>
              <w:t>Human / Decision-Making</w:t>
            </w:r>
          </w:p>
        </w:tc>
        <w:tc>
          <w:tcPr>
            <w:tcW w:w="3987" w:type="dxa"/>
            <w:tcBorders/>
            <w:vAlign w:val="center"/>
          </w:tcPr>
          <w:p>
            <w:pPr>
              <w:pStyle w:val="TableContents"/>
              <w:widowControl w:val="false"/>
              <w:suppressLineNumbers/>
              <w:spacing w:before="0" w:after="200"/>
              <w:rPr/>
            </w:pPr>
            <w:r>
              <w:rPr/>
              <w:t>Plan continuation, checklist discipline, task saturation</w:t>
            </w:r>
          </w:p>
        </w:tc>
        <w:tc>
          <w:tcPr>
            <w:tcW w:w="1052" w:type="dxa"/>
            <w:tcBorders/>
            <w:vAlign w:val="center"/>
          </w:tcPr>
          <w:p>
            <w:pPr>
              <w:pStyle w:val="TableContents"/>
              <w:widowControl w:val="false"/>
              <w:suppressLineNumbers/>
              <w:spacing w:before="0" w:after="200"/>
              <w:rPr/>
            </w:pPr>
            <w:r>
              <w:rPr/>
              <w:t>~30%+ combined</w:t>
            </w:r>
          </w:p>
        </w:tc>
        <w:tc>
          <w:tcPr>
            <w:tcW w:w="3612" w:type="dxa"/>
            <w:tcBorders/>
            <w:vAlign w:val="center"/>
          </w:tcPr>
          <w:p>
            <w:pPr>
              <w:pStyle w:val="TableContents"/>
              <w:widowControl w:val="false"/>
              <w:suppressLineNumbers/>
              <w:spacing w:before="0" w:after="200"/>
              <w:rPr/>
            </w:pPr>
            <w:r>
              <w:rPr/>
              <w:t>Primary driver; decision-making remains the dominant factor</w:t>
            </w:r>
          </w:p>
        </w:tc>
      </w:tr>
      <w:tr>
        <w:trPr/>
        <w:tc>
          <w:tcPr>
            <w:tcW w:w="1716" w:type="dxa"/>
            <w:tcBorders/>
            <w:vAlign w:val="center"/>
          </w:tcPr>
          <w:p>
            <w:pPr>
              <w:pStyle w:val="TableContents"/>
              <w:widowControl w:val="false"/>
              <w:suppressLineNumbers/>
              <w:spacing w:before="0" w:after="200"/>
              <w:rPr/>
            </w:pPr>
            <w:r>
              <w:rPr>
                <w:rStyle w:val="Strong"/>
              </w:rPr>
              <w:t>Maintenance / Mechanical</w:t>
            </w:r>
          </w:p>
        </w:tc>
        <w:tc>
          <w:tcPr>
            <w:tcW w:w="3987" w:type="dxa"/>
            <w:tcBorders/>
            <w:vAlign w:val="center"/>
          </w:tcPr>
          <w:p>
            <w:pPr>
              <w:pStyle w:val="TableContents"/>
              <w:widowControl w:val="false"/>
              <w:suppressLineNumbers/>
              <w:spacing w:before="0" w:after="200"/>
              <w:rPr/>
            </w:pPr>
            <w:r>
              <w:rPr/>
              <w:t>Maintenance-induced failure, aging systems, deferred discrepancies</w:t>
            </w:r>
          </w:p>
        </w:tc>
        <w:tc>
          <w:tcPr>
            <w:tcW w:w="1052" w:type="dxa"/>
            <w:tcBorders/>
            <w:vAlign w:val="center"/>
          </w:tcPr>
          <w:p>
            <w:pPr>
              <w:pStyle w:val="TableContents"/>
              <w:widowControl w:val="false"/>
              <w:suppressLineNumbers/>
              <w:spacing w:before="0" w:after="200"/>
              <w:rPr/>
            </w:pPr>
            <w:r>
              <w:rPr/>
              <w:t>~25%+ combined</w:t>
            </w:r>
          </w:p>
        </w:tc>
        <w:tc>
          <w:tcPr>
            <w:tcW w:w="3612" w:type="dxa"/>
            <w:tcBorders/>
            <w:vAlign w:val="center"/>
          </w:tcPr>
          <w:p>
            <w:pPr>
              <w:pStyle w:val="TableContents"/>
              <w:widowControl w:val="false"/>
              <w:suppressLineNumbers/>
              <w:spacing w:before="0" w:after="200"/>
              <w:rPr/>
            </w:pPr>
            <w:r>
              <w:rPr/>
              <w:t>Strong maintenance signal, especially in operational context</w:t>
            </w:r>
          </w:p>
        </w:tc>
      </w:tr>
      <w:tr>
        <w:trPr/>
        <w:tc>
          <w:tcPr>
            <w:tcW w:w="1716" w:type="dxa"/>
            <w:tcBorders/>
            <w:vAlign w:val="center"/>
          </w:tcPr>
          <w:p>
            <w:pPr>
              <w:pStyle w:val="TableContents"/>
              <w:widowControl w:val="false"/>
              <w:suppressLineNumbers/>
              <w:spacing w:before="0" w:after="200"/>
              <w:rPr/>
            </w:pPr>
            <w:r>
              <w:rPr>
                <w:rStyle w:val="Strong"/>
              </w:rPr>
              <w:t>Experience / Training</w:t>
            </w:r>
          </w:p>
        </w:tc>
        <w:tc>
          <w:tcPr>
            <w:tcW w:w="3987" w:type="dxa"/>
            <w:tcBorders/>
            <w:vAlign w:val="center"/>
          </w:tcPr>
          <w:p>
            <w:pPr>
              <w:pStyle w:val="TableContents"/>
              <w:widowControl w:val="false"/>
              <w:suppressLineNumbers/>
              <w:spacing w:before="0" w:after="200"/>
              <w:rPr/>
            </w:pPr>
            <w:r>
              <w:rPr/>
              <w:t>Low time in type</w:t>
            </w:r>
          </w:p>
        </w:tc>
        <w:tc>
          <w:tcPr>
            <w:tcW w:w="1052" w:type="dxa"/>
            <w:tcBorders/>
            <w:vAlign w:val="center"/>
          </w:tcPr>
          <w:p>
            <w:pPr>
              <w:pStyle w:val="TableContents"/>
              <w:widowControl w:val="false"/>
              <w:suppressLineNumbers/>
              <w:spacing w:before="0" w:after="200"/>
              <w:rPr/>
            </w:pPr>
            <w:r>
              <w:rPr/>
              <w:t>~4%</w:t>
            </w:r>
          </w:p>
        </w:tc>
        <w:tc>
          <w:tcPr>
            <w:tcW w:w="3612" w:type="dxa"/>
            <w:tcBorders/>
            <w:vAlign w:val="center"/>
          </w:tcPr>
          <w:p>
            <w:pPr>
              <w:pStyle w:val="TableContents"/>
              <w:widowControl w:val="false"/>
              <w:suppressLineNumbers/>
              <w:spacing w:before="0" w:after="200"/>
              <w:rPr/>
            </w:pPr>
            <w:r>
              <w:rPr/>
              <w:t>Minor contributor in current slice</w:t>
            </w:r>
          </w:p>
        </w:tc>
      </w:tr>
      <w:tr>
        <w:trPr/>
        <w:tc>
          <w:tcPr>
            <w:tcW w:w="1716" w:type="dxa"/>
            <w:tcBorders/>
            <w:vAlign w:val="center"/>
          </w:tcPr>
          <w:p>
            <w:pPr>
              <w:pStyle w:val="TableContents"/>
              <w:widowControl w:val="false"/>
              <w:suppressLineNumbers/>
              <w:spacing w:before="0" w:after="200"/>
              <w:rPr/>
            </w:pPr>
            <w:r>
              <w:rPr>
                <w:rStyle w:val="Strong"/>
              </w:rPr>
              <w:t>Performance / Operational</w:t>
            </w:r>
          </w:p>
        </w:tc>
        <w:tc>
          <w:tcPr>
            <w:tcW w:w="3987" w:type="dxa"/>
            <w:tcBorders/>
            <w:vAlign w:val="center"/>
          </w:tcPr>
          <w:p>
            <w:pPr>
              <w:pStyle w:val="TableContents"/>
              <w:widowControl w:val="false"/>
              <w:suppressLineNumbers/>
              <w:spacing w:before="0" w:after="200"/>
              <w:rPr/>
            </w:pPr>
            <w:r>
              <w:rPr/>
              <w:t>Icing</w:t>
            </w:r>
          </w:p>
        </w:tc>
        <w:tc>
          <w:tcPr>
            <w:tcW w:w="1052" w:type="dxa"/>
            <w:tcBorders/>
            <w:vAlign w:val="center"/>
          </w:tcPr>
          <w:p>
            <w:pPr>
              <w:pStyle w:val="TableContents"/>
              <w:widowControl w:val="false"/>
              <w:suppressLineNumbers/>
              <w:spacing w:before="0" w:after="200"/>
              <w:rPr/>
            </w:pPr>
            <w:r>
              <w:rPr/>
              <w:t>~4%</w:t>
            </w:r>
          </w:p>
        </w:tc>
        <w:tc>
          <w:tcPr>
            <w:tcW w:w="3612" w:type="dxa"/>
            <w:tcBorders/>
            <w:vAlign w:val="center"/>
          </w:tcPr>
          <w:p>
            <w:pPr>
              <w:pStyle w:val="TableContents"/>
              <w:widowControl w:val="false"/>
              <w:suppressLineNumbers/>
              <w:spacing w:before="0" w:after="200"/>
              <w:rPr/>
            </w:pPr>
            <w:r>
              <w:rPr/>
              <w:t>Low frequency in current dataset</w:t>
            </w:r>
          </w:p>
        </w:tc>
      </w:tr>
    </w:tbl>
    <w:p>
      <w:pPr>
        <w:pStyle w:val="Normal"/>
        <w:spacing w:before="0" w:after="0"/>
        <w:rPr>
          <w:rFonts w:ascii="Courier New" w:hAnsi="Courier New"/>
          <w:sz w:val="14"/>
        </w:rPr>
      </w:pPr>
      <w:r>
        <w:rPr>
          <w:rFonts w:ascii="Courier New" w:hAnsi="Courier New"/>
          <w:sz w:val="14"/>
        </w:rPr>
      </w:r>
    </w:p>
    <w:p>
      <w:pPr>
        <w:pStyle w:val="Heading1"/>
        <w:rPr/>
      </w:pPr>
      <w:r>
        <w:rPr/>
        <w:t>Factor Frequency Counts by Model and Phase</w:t>
      </w:r>
    </w:p>
    <w:p>
      <w:pPr>
        <w:pStyle w:val="Normal"/>
        <w:spacing w:before="0" w:after="120"/>
        <w:rPr/>
      </w:pPr>
      <w:r>
        <w:rPr/>
        <w:t>The model × phase × factor view is especially useful for designing intervention modules because it converts factor codes into practical training and maintenance contexts. The leading C310 clusters are landing checklist discipline and landing maintenance-induced failure, while C340 concentrates around approach decision/performance themes and C402 around landing-phase plan continuation, aging aircraft degradation, and maintenance-induced failures.</w:t>
      </w:r>
    </w:p>
    <w:p>
      <w:pPr>
        <w:pStyle w:val="Heading2"/>
        <w:rPr/>
      </w:pPr>
      <w:r>
        <w:rPr/>
        <w:t>C310: Top Phase × Factor Patterns</w:t>
      </w:r>
    </w:p>
    <w:p>
      <w:pPr>
        <w:pStyle w:val="Normal"/>
        <w:spacing w:before="0" w:after="0"/>
        <w:rPr>
          <w:rFonts w:ascii="Courier New" w:hAnsi="Courier New"/>
          <w:sz w:val="14"/>
        </w:rPr>
      </w:pPr>
      <w:r>
        <w:rPr>
          <w:rFonts w:ascii="Courier New" w:hAnsi="Courier New"/>
          <w:sz w:val="14"/>
        </w:rPr>
      </w:r>
    </w:p>
    <w:tbl>
      <w:tblPr>
        <w:tblW w:w="10365" w:type="dxa"/>
        <w:jc w:val="left"/>
        <w:tblInd w:w="28" w:type="dxa"/>
        <w:tblLayout w:type="fixed"/>
        <w:tblCellMar>
          <w:top w:w="28" w:type="dxa"/>
          <w:left w:w="28" w:type="dxa"/>
          <w:bottom w:w="28" w:type="dxa"/>
          <w:right w:w="28" w:type="dxa"/>
        </w:tblCellMar>
      </w:tblPr>
      <w:tblGrid>
        <w:gridCol w:w="1019"/>
        <w:gridCol w:w="4886"/>
        <w:gridCol w:w="4460"/>
      </w:tblGrid>
      <w:tr>
        <w:trPr>
          <w:tblHeader w:val="true"/>
        </w:trPr>
        <w:tc>
          <w:tcPr>
            <w:tcW w:w="1019" w:type="dxa"/>
            <w:tcBorders/>
            <w:vAlign w:val="center"/>
          </w:tcPr>
          <w:p>
            <w:pPr>
              <w:pStyle w:val="TableHeading"/>
              <w:suppressLineNumbers/>
              <w:spacing w:before="0" w:after="200"/>
              <w:jc w:val="center"/>
              <w:rPr/>
            </w:pPr>
            <w:r>
              <w:rPr/>
              <w:t>Phase</w:t>
            </w:r>
          </w:p>
        </w:tc>
        <w:tc>
          <w:tcPr>
            <w:tcW w:w="4886" w:type="dxa"/>
            <w:tcBorders/>
            <w:vAlign w:val="center"/>
          </w:tcPr>
          <w:p>
            <w:pPr>
              <w:pStyle w:val="TableHeading"/>
              <w:suppressLineNumbers/>
              <w:spacing w:before="0" w:after="200"/>
              <w:jc w:val="center"/>
              <w:rPr/>
            </w:pPr>
            <w:r>
              <w:rPr/>
              <w:t>Key Drivers</w:t>
            </w:r>
          </w:p>
        </w:tc>
        <w:tc>
          <w:tcPr>
            <w:tcW w:w="4460" w:type="dxa"/>
            <w:tcBorders/>
            <w:vAlign w:val="center"/>
          </w:tcPr>
          <w:p>
            <w:pPr>
              <w:pStyle w:val="TableHeading"/>
              <w:suppressLineNumbers/>
              <w:spacing w:before="0" w:after="200"/>
              <w:jc w:val="center"/>
              <w:rPr/>
            </w:pPr>
            <w:r>
              <w:rPr/>
              <w:t>Takeaway</w:t>
            </w:r>
          </w:p>
        </w:tc>
      </w:tr>
      <w:tr>
        <w:trPr/>
        <w:tc>
          <w:tcPr>
            <w:tcW w:w="1019" w:type="dxa"/>
            <w:tcBorders/>
            <w:vAlign w:val="center"/>
          </w:tcPr>
          <w:p>
            <w:pPr>
              <w:pStyle w:val="TableContents"/>
              <w:widowControl w:val="false"/>
              <w:suppressLineNumbers/>
              <w:spacing w:before="0" w:after="200"/>
              <w:rPr/>
            </w:pPr>
            <w:r>
              <w:rPr>
                <w:rStyle w:val="Strong"/>
              </w:rPr>
              <w:t>Landing</w:t>
            </w:r>
          </w:p>
        </w:tc>
        <w:tc>
          <w:tcPr>
            <w:tcW w:w="4886" w:type="dxa"/>
            <w:tcBorders/>
            <w:vAlign w:val="center"/>
          </w:tcPr>
          <w:p>
            <w:pPr>
              <w:pStyle w:val="TableContents"/>
              <w:widowControl w:val="false"/>
              <w:suppressLineNumbers/>
              <w:spacing w:before="0" w:after="200"/>
              <w:rPr/>
            </w:pPr>
            <w:r>
              <w:rPr/>
              <w:t>Checklist discipline, maintenance issues, low time in type, troubleshooting gaps</w:t>
            </w:r>
          </w:p>
        </w:tc>
        <w:tc>
          <w:tcPr>
            <w:tcW w:w="4460" w:type="dxa"/>
            <w:tcBorders/>
            <w:vAlign w:val="center"/>
          </w:tcPr>
          <w:p>
            <w:pPr>
              <w:pStyle w:val="TableContents"/>
              <w:widowControl w:val="false"/>
              <w:suppressLineNumbers/>
              <w:spacing w:before="0" w:after="200"/>
              <w:rPr/>
            </w:pPr>
            <w:r>
              <w:rPr/>
              <w:t>Highest concentration of procedural and maintenance-related failures</w:t>
            </w:r>
          </w:p>
        </w:tc>
      </w:tr>
      <w:tr>
        <w:trPr/>
        <w:tc>
          <w:tcPr>
            <w:tcW w:w="1019" w:type="dxa"/>
            <w:tcBorders/>
            <w:vAlign w:val="center"/>
          </w:tcPr>
          <w:p>
            <w:pPr>
              <w:pStyle w:val="TableContents"/>
              <w:widowControl w:val="false"/>
              <w:suppressLineNumbers/>
              <w:spacing w:before="0" w:after="200"/>
              <w:rPr/>
            </w:pPr>
            <w:r>
              <w:rPr>
                <w:rStyle w:val="Strong"/>
              </w:rPr>
              <w:t>Approach</w:t>
            </w:r>
          </w:p>
        </w:tc>
        <w:tc>
          <w:tcPr>
            <w:tcW w:w="4886" w:type="dxa"/>
            <w:tcBorders/>
            <w:vAlign w:val="center"/>
          </w:tcPr>
          <w:p>
            <w:pPr>
              <w:pStyle w:val="TableContents"/>
              <w:widowControl w:val="false"/>
              <w:suppressLineNumbers/>
              <w:spacing w:before="0" w:after="200"/>
              <w:rPr/>
            </w:pPr>
            <w:r>
              <w:rPr/>
              <w:t>Checklist discipline, plan continuation bias, low time in type</w:t>
            </w:r>
          </w:p>
        </w:tc>
        <w:tc>
          <w:tcPr>
            <w:tcW w:w="4460" w:type="dxa"/>
            <w:tcBorders/>
            <w:vAlign w:val="center"/>
          </w:tcPr>
          <w:p>
            <w:pPr>
              <w:pStyle w:val="TableContents"/>
              <w:widowControl w:val="false"/>
              <w:suppressLineNumbers/>
              <w:spacing w:before="0" w:after="200"/>
              <w:rPr/>
            </w:pPr>
            <w:r>
              <w:rPr/>
              <w:t>Decision-making and discipline critical in transition phase</w:t>
            </w:r>
          </w:p>
        </w:tc>
      </w:tr>
      <w:tr>
        <w:trPr/>
        <w:tc>
          <w:tcPr>
            <w:tcW w:w="1019" w:type="dxa"/>
            <w:tcBorders/>
            <w:vAlign w:val="center"/>
          </w:tcPr>
          <w:p>
            <w:pPr>
              <w:pStyle w:val="TableContents"/>
              <w:widowControl w:val="false"/>
              <w:suppressLineNumbers/>
              <w:spacing w:before="0" w:after="200"/>
              <w:rPr/>
            </w:pPr>
            <w:r>
              <w:rPr>
                <w:rStyle w:val="Strong"/>
              </w:rPr>
              <w:t>Cruise</w:t>
            </w:r>
          </w:p>
        </w:tc>
        <w:tc>
          <w:tcPr>
            <w:tcW w:w="4886" w:type="dxa"/>
            <w:tcBorders/>
            <w:vAlign w:val="center"/>
          </w:tcPr>
          <w:p>
            <w:pPr>
              <w:pStyle w:val="TableContents"/>
              <w:widowControl w:val="false"/>
              <w:suppressLineNumbers/>
              <w:spacing w:before="0" w:after="200"/>
              <w:rPr/>
            </w:pPr>
            <w:r>
              <w:rPr/>
              <w:t>Plan continuation, performance assumptions, training gaps</w:t>
            </w:r>
          </w:p>
        </w:tc>
        <w:tc>
          <w:tcPr>
            <w:tcW w:w="4460" w:type="dxa"/>
            <w:tcBorders/>
            <w:vAlign w:val="center"/>
          </w:tcPr>
          <w:p>
            <w:pPr>
              <w:pStyle w:val="TableContents"/>
              <w:widowControl w:val="false"/>
              <w:suppressLineNumbers/>
              <w:spacing w:before="0" w:after="200"/>
              <w:rPr/>
            </w:pPr>
            <w:r>
              <w:rPr/>
              <w:t>Lower frequency but tied to higher-severity scenarios</w:t>
            </w:r>
          </w:p>
        </w:tc>
      </w:tr>
      <w:tr>
        <w:trPr/>
        <w:tc>
          <w:tcPr>
            <w:tcW w:w="1019" w:type="dxa"/>
            <w:tcBorders/>
            <w:vAlign w:val="center"/>
          </w:tcPr>
          <w:p>
            <w:pPr>
              <w:pStyle w:val="TableContents"/>
              <w:widowControl w:val="false"/>
              <w:suppressLineNumbers/>
              <w:spacing w:before="0" w:after="200"/>
              <w:rPr/>
            </w:pPr>
            <w:r>
              <w:rPr>
                <w:rStyle w:val="Strong"/>
              </w:rPr>
              <w:t>Initial Climb</w:t>
            </w:r>
          </w:p>
        </w:tc>
        <w:tc>
          <w:tcPr>
            <w:tcW w:w="4886" w:type="dxa"/>
            <w:tcBorders/>
            <w:vAlign w:val="center"/>
          </w:tcPr>
          <w:p>
            <w:pPr>
              <w:pStyle w:val="TableContents"/>
              <w:widowControl w:val="false"/>
              <w:suppressLineNumbers/>
              <w:spacing w:before="0" w:after="200"/>
              <w:rPr/>
            </w:pPr>
            <w:r>
              <w:rPr/>
              <w:t>Checklist discipline, maintenance issues, single-engine assumptions</w:t>
            </w:r>
          </w:p>
        </w:tc>
        <w:tc>
          <w:tcPr>
            <w:tcW w:w="4460" w:type="dxa"/>
            <w:tcBorders/>
            <w:vAlign w:val="center"/>
          </w:tcPr>
          <w:p>
            <w:pPr>
              <w:pStyle w:val="TableContents"/>
              <w:widowControl w:val="false"/>
              <w:suppressLineNumbers/>
              <w:spacing w:before="0" w:after="200"/>
              <w:rPr/>
            </w:pPr>
            <w:r>
              <w:rPr/>
              <w:t>High workload + performance realism risk</w:t>
            </w:r>
          </w:p>
        </w:tc>
      </w:tr>
    </w:tbl>
    <w:p>
      <w:pPr>
        <w:pStyle w:val="Normal"/>
        <w:spacing w:before="0" w:after="0"/>
        <w:rPr>
          <w:rFonts w:ascii="Courier New" w:hAnsi="Courier New"/>
          <w:sz w:val="14"/>
        </w:rPr>
      </w:pPr>
      <w:r>
        <w:rPr>
          <w:rFonts w:ascii="Courier New" w:hAnsi="Courier New"/>
          <w:sz w:val="14"/>
        </w:rPr>
      </w:r>
    </w:p>
    <w:p>
      <w:pPr>
        <w:pStyle w:val="Heading2"/>
        <w:rPr/>
      </w:pPr>
      <w:r>
        <w:rPr/>
        <w:t>C320: Top Phase × Factor Patterns (to be added)</w:t>
      </w:r>
    </w:p>
    <w:p>
      <w:pPr>
        <w:pStyle w:val="Normal"/>
        <w:spacing w:before="0" w:after="0"/>
        <w:rPr>
          <w:rFonts w:ascii="Courier New" w:hAnsi="Courier New"/>
          <w:sz w:val="14"/>
        </w:rPr>
      </w:pPr>
      <w:r>
        <w:rPr>
          <w:rFonts w:ascii="Courier New" w:hAnsi="Courier New"/>
          <w:sz w:val="14"/>
        </w:rPr>
      </w:r>
    </w:p>
    <w:tbl>
      <w:tblPr>
        <w:tblW w:w="10365" w:type="dxa"/>
        <w:jc w:val="left"/>
        <w:tblInd w:w="28" w:type="dxa"/>
        <w:tblLayout w:type="fixed"/>
        <w:tblCellMar>
          <w:top w:w="28" w:type="dxa"/>
          <w:left w:w="28" w:type="dxa"/>
          <w:bottom w:w="28" w:type="dxa"/>
          <w:right w:w="28" w:type="dxa"/>
        </w:tblCellMar>
      </w:tblPr>
      <w:tblGrid>
        <w:gridCol w:w="1019"/>
        <w:gridCol w:w="4886"/>
        <w:gridCol w:w="4460"/>
      </w:tblGrid>
      <w:tr>
        <w:trPr>
          <w:tblHeader w:val="true"/>
        </w:trPr>
        <w:tc>
          <w:tcPr>
            <w:tcW w:w="1019" w:type="dxa"/>
            <w:tcBorders/>
            <w:vAlign w:val="center"/>
          </w:tcPr>
          <w:p>
            <w:pPr>
              <w:pStyle w:val="TableHeading"/>
              <w:suppressLineNumbers/>
              <w:spacing w:before="0" w:after="200"/>
              <w:jc w:val="center"/>
              <w:rPr/>
            </w:pPr>
            <w:r>
              <w:rPr/>
              <w:t>Phase</w:t>
            </w:r>
          </w:p>
        </w:tc>
        <w:tc>
          <w:tcPr>
            <w:tcW w:w="4886" w:type="dxa"/>
            <w:tcBorders/>
            <w:vAlign w:val="center"/>
          </w:tcPr>
          <w:p>
            <w:pPr>
              <w:pStyle w:val="TableHeading"/>
              <w:suppressLineNumbers/>
              <w:spacing w:before="0" w:after="200"/>
              <w:jc w:val="center"/>
              <w:rPr/>
            </w:pPr>
            <w:r>
              <w:rPr/>
              <w:t>Key Drivers</w:t>
            </w:r>
          </w:p>
        </w:tc>
        <w:tc>
          <w:tcPr>
            <w:tcW w:w="4460" w:type="dxa"/>
            <w:tcBorders/>
            <w:vAlign w:val="center"/>
          </w:tcPr>
          <w:p>
            <w:pPr>
              <w:pStyle w:val="TableHeading"/>
              <w:suppressLineNumbers/>
              <w:spacing w:before="0" w:after="200"/>
              <w:jc w:val="center"/>
              <w:rPr/>
            </w:pPr>
            <w:r>
              <w:rPr/>
              <w:t>Takeaway</w:t>
            </w:r>
          </w:p>
        </w:tc>
      </w:tr>
      <w:tr>
        <w:trPr/>
        <w:tc>
          <w:tcPr>
            <w:tcW w:w="1019" w:type="dxa"/>
            <w:tcBorders/>
            <w:vAlign w:val="center"/>
          </w:tcPr>
          <w:p>
            <w:pPr>
              <w:pStyle w:val="TableContents"/>
              <w:widowControl w:val="false"/>
              <w:suppressLineNumbers/>
              <w:spacing w:before="0" w:after="200"/>
              <w:rPr/>
            </w:pPr>
            <w:r>
              <w:rPr>
                <w:rStyle w:val="Strong"/>
              </w:rPr>
              <w:t>Landing</w:t>
            </w:r>
          </w:p>
        </w:tc>
        <w:tc>
          <w:tcPr>
            <w:tcW w:w="4886" w:type="dxa"/>
            <w:tcBorders/>
            <w:vAlign w:val="center"/>
          </w:tcPr>
          <w:p>
            <w:pPr>
              <w:pStyle w:val="TableContents"/>
              <w:widowControl w:val="false"/>
              <w:suppressLineNumbers/>
              <w:spacing w:before="0" w:after="200"/>
              <w:rPr/>
            </w:pPr>
            <w:r>
              <w:rPr/>
              <w:t>Checklist discipline, maintenance issues, low time in type, troubleshooting gaps</w:t>
            </w:r>
          </w:p>
        </w:tc>
        <w:tc>
          <w:tcPr>
            <w:tcW w:w="4460" w:type="dxa"/>
            <w:tcBorders/>
            <w:vAlign w:val="center"/>
          </w:tcPr>
          <w:p>
            <w:pPr>
              <w:pStyle w:val="TableContents"/>
              <w:widowControl w:val="false"/>
              <w:suppressLineNumbers/>
              <w:spacing w:before="0" w:after="200"/>
              <w:rPr/>
            </w:pPr>
            <w:r>
              <w:rPr/>
              <w:t>Highest concentration of procedural and maintenance-related failures</w:t>
            </w:r>
          </w:p>
        </w:tc>
      </w:tr>
      <w:tr>
        <w:trPr/>
        <w:tc>
          <w:tcPr>
            <w:tcW w:w="1019" w:type="dxa"/>
            <w:tcBorders/>
            <w:vAlign w:val="center"/>
          </w:tcPr>
          <w:p>
            <w:pPr>
              <w:pStyle w:val="TableContents"/>
              <w:widowControl w:val="false"/>
              <w:suppressLineNumbers/>
              <w:spacing w:before="0" w:after="200"/>
              <w:rPr/>
            </w:pPr>
            <w:r>
              <w:rPr>
                <w:rStyle w:val="Strong"/>
              </w:rPr>
              <w:t>Approach</w:t>
            </w:r>
          </w:p>
        </w:tc>
        <w:tc>
          <w:tcPr>
            <w:tcW w:w="4886" w:type="dxa"/>
            <w:tcBorders/>
            <w:vAlign w:val="center"/>
          </w:tcPr>
          <w:p>
            <w:pPr>
              <w:pStyle w:val="TableContents"/>
              <w:widowControl w:val="false"/>
              <w:suppressLineNumbers/>
              <w:spacing w:before="0" w:after="200"/>
              <w:rPr/>
            </w:pPr>
            <w:r>
              <w:rPr/>
              <w:t>Checklist discipline, plan continuation bias, low time in type</w:t>
            </w:r>
          </w:p>
        </w:tc>
        <w:tc>
          <w:tcPr>
            <w:tcW w:w="4460" w:type="dxa"/>
            <w:tcBorders/>
            <w:vAlign w:val="center"/>
          </w:tcPr>
          <w:p>
            <w:pPr>
              <w:pStyle w:val="TableContents"/>
              <w:widowControl w:val="false"/>
              <w:suppressLineNumbers/>
              <w:spacing w:before="0" w:after="200"/>
              <w:rPr/>
            </w:pPr>
            <w:r>
              <w:rPr/>
              <w:t>Decision-making and discipline critical in transition phase</w:t>
            </w:r>
          </w:p>
        </w:tc>
      </w:tr>
      <w:tr>
        <w:trPr/>
        <w:tc>
          <w:tcPr>
            <w:tcW w:w="1019" w:type="dxa"/>
            <w:tcBorders/>
            <w:vAlign w:val="center"/>
          </w:tcPr>
          <w:p>
            <w:pPr>
              <w:pStyle w:val="TableContents"/>
              <w:widowControl w:val="false"/>
              <w:suppressLineNumbers/>
              <w:spacing w:before="0" w:after="200"/>
              <w:rPr/>
            </w:pPr>
            <w:r>
              <w:rPr>
                <w:rStyle w:val="Strong"/>
              </w:rPr>
              <w:t>Cruise</w:t>
            </w:r>
          </w:p>
        </w:tc>
        <w:tc>
          <w:tcPr>
            <w:tcW w:w="4886" w:type="dxa"/>
            <w:tcBorders/>
            <w:vAlign w:val="center"/>
          </w:tcPr>
          <w:p>
            <w:pPr>
              <w:pStyle w:val="TableContents"/>
              <w:widowControl w:val="false"/>
              <w:suppressLineNumbers/>
              <w:spacing w:before="0" w:after="200"/>
              <w:rPr/>
            </w:pPr>
            <w:r>
              <w:rPr/>
              <w:t>Plan continuation, performance assumptions, training gaps</w:t>
            </w:r>
          </w:p>
        </w:tc>
        <w:tc>
          <w:tcPr>
            <w:tcW w:w="4460" w:type="dxa"/>
            <w:tcBorders/>
            <w:vAlign w:val="center"/>
          </w:tcPr>
          <w:p>
            <w:pPr>
              <w:pStyle w:val="TableContents"/>
              <w:widowControl w:val="false"/>
              <w:suppressLineNumbers/>
              <w:spacing w:before="0" w:after="200"/>
              <w:rPr/>
            </w:pPr>
            <w:r>
              <w:rPr/>
              <w:t>Lower frequency but tied to higher-severity scenarios</w:t>
            </w:r>
          </w:p>
        </w:tc>
      </w:tr>
      <w:tr>
        <w:trPr/>
        <w:tc>
          <w:tcPr>
            <w:tcW w:w="1019" w:type="dxa"/>
            <w:tcBorders/>
            <w:vAlign w:val="center"/>
          </w:tcPr>
          <w:p>
            <w:pPr>
              <w:pStyle w:val="TableContents"/>
              <w:widowControl w:val="false"/>
              <w:suppressLineNumbers/>
              <w:spacing w:before="0" w:after="200"/>
              <w:rPr/>
            </w:pPr>
            <w:r>
              <w:rPr>
                <w:rStyle w:val="Strong"/>
              </w:rPr>
              <w:t>Initial Climb</w:t>
            </w:r>
          </w:p>
        </w:tc>
        <w:tc>
          <w:tcPr>
            <w:tcW w:w="4886" w:type="dxa"/>
            <w:tcBorders/>
            <w:vAlign w:val="center"/>
          </w:tcPr>
          <w:p>
            <w:pPr>
              <w:pStyle w:val="TableContents"/>
              <w:widowControl w:val="false"/>
              <w:suppressLineNumbers/>
              <w:spacing w:before="0" w:after="200"/>
              <w:rPr/>
            </w:pPr>
            <w:r>
              <w:rPr/>
              <w:t>Checklist discipline, maintenance issues, single-engine assumptions</w:t>
            </w:r>
          </w:p>
        </w:tc>
        <w:tc>
          <w:tcPr>
            <w:tcW w:w="4460" w:type="dxa"/>
            <w:tcBorders/>
            <w:vAlign w:val="center"/>
          </w:tcPr>
          <w:p>
            <w:pPr>
              <w:pStyle w:val="TableContents"/>
              <w:widowControl w:val="false"/>
              <w:suppressLineNumbers/>
              <w:spacing w:before="0" w:after="200"/>
              <w:rPr/>
            </w:pPr>
            <w:r>
              <w:rPr/>
              <w:t>High workload + performance realism risk</w:t>
            </w:r>
          </w:p>
        </w:tc>
      </w:tr>
    </w:tbl>
    <w:p>
      <w:pPr>
        <w:pStyle w:val="Normal"/>
        <w:spacing w:before="0" w:after="0"/>
        <w:rPr>
          <w:rFonts w:ascii="Courier New" w:hAnsi="Courier New"/>
          <w:sz w:val="14"/>
        </w:rPr>
      </w:pPr>
      <w:r>
        <w:rPr>
          <w:rFonts w:ascii="Courier New" w:hAnsi="Courier New"/>
          <w:sz w:val="14"/>
        </w:rPr>
      </w:r>
    </w:p>
    <w:p>
      <w:pPr>
        <w:pStyle w:val="Heading2"/>
        <w:rPr/>
      </w:pPr>
      <w:r>
        <w:rPr/>
        <w:t>C340: Top Phase × Factor Patterns (counts to be added later)</w:t>
      </w:r>
    </w:p>
    <w:p>
      <w:pPr>
        <w:pStyle w:val="Normal"/>
        <w:spacing w:before="0" w:after="0"/>
        <w:rPr>
          <w:rFonts w:ascii="Courier New" w:hAnsi="Courier New"/>
          <w:sz w:val="14"/>
        </w:rPr>
      </w:pPr>
      <w:r>
        <w:rPr>
          <w:rFonts w:ascii="Courier New" w:hAnsi="Courier New"/>
          <w:sz w:val="14"/>
        </w:rPr>
      </w:r>
    </w:p>
    <w:p>
      <w:pPr>
        <w:pStyle w:val="Normal"/>
        <w:spacing w:before="0" w:after="0"/>
        <w:rPr>
          <w:rFonts w:ascii="Courier New" w:hAnsi="Courier New"/>
          <w:sz w:val="14"/>
        </w:rPr>
      </w:pPr>
      <w:r>
        <w:rPr>
          <w:rFonts w:ascii="Courier New" w:hAnsi="Courier New"/>
          <w:sz w:val="14"/>
        </w:rPr>
      </w:r>
    </w:p>
    <w:tbl>
      <w:tblPr>
        <w:tblW w:w="10368" w:type="dxa"/>
        <w:jc w:val="left"/>
        <w:tblInd w:w="28" w:type="dxa"/>
        <w:tblLayout w:type="fixed"/>
        <w:tblCellMar>
          <w:top w:w="28" w:type="dxa"/>
          <w:left w:w="28" w:type="dxa"/>
          <w:bottom w:w="28" w:type="dxa"/>
          <w:right w:w="28" w:type="dxa"/>
        </w:tblCellMar>
      </w:tblPr>
      <w:tblGrid>
        <w:gridCol w:w="1901"/>
        <w:gridCol w:w="3898"/>
        <w:gridCol w:w="4569"/>
      </w:tblGrid>
      <w:tr>
        <w:trPr>
          <w:tblHeader w:val="true"/>
        </w:trPr>
        <w:tc>
          <w:tcPr>
            <w:tcW w:w="1901" w:type="dxa"/>
            <w:tcBorders/>
            <w:vAlign w:val="center"/>
          </w:tcPr>
          <w:p>
            <w:pPr>
              <w:pStyle w:val="TableHeading"/>
              <w:suppressLineNumbers/>
              <w:spacing w:before="0" w:after="200"/>
              <w:jc w:val="center"/>
              <w:rPr/>
            </w:pPr>
            <w:r>
              <w:rPr/>
              <w:t>Phase</w:t>
            </w:r>
          </w:p>
        </w:tc>
        <w:tc>
          <w:tcPr>
            <w:tcW w:w="3898" w:type="dxa"/>
            <w:tcBorders/>
            <w:vAlign w:val="center"/>
          </w:tcPr>
          <w:p>
            <w:pPr>
              <w:pStyle w:val="TableHeading"/>
              <w:suppressLineNumbers/>
              <w:spacing w:before="0" w:after="200"/>
              <w:jc w:val="center"/>
              <w:rPr/>
            </w:pPr>
            <w:r>
              <w:rPr/>
              <w:t>Key Drivers</w:t>
            </w:r>
          </w:p>
        </w:tc>
        <w:tc>
          <w:tcPr>
            <w:tcW w:w="4569" w:type="dxa"/>
            <w:tcBorders/>
            <w:vAlign w:val="center"/>
          </w:tcPr>
          <w:p>
            <w:pPr>
              <w:pStyle w:val="TableHeading"/>
              <w:suppressLineNumbers/>
              <w:spacing w:before="0" w:after="200"/>
              <w:jc w:val="center"/>
              <w:rPr/>
            </w:pPr>
            <w:r>
              <w:rPr/>
              <w:t>Takeaway</w:t>
            </w:r>
          </w:p>
        </w:tc>
      </w:tr>
      <w:tr>
        <w:trPr/>
        <w:tc>
          <w:tcPr>
            <w:tcW w:w="1901" w:type="dxa"/>
            <w:tcBorders/>
            <w:vAlign w:val="center"/>
          </w:tcPr>
          <w:p>
            <w:pPr>
              <w:pStyle w:val="TableContents"/>
              <w:widowControl w:val="false"/>
              <w:suppressLineNumbers/>
              <w:spacing w:before="0" w:after="200"/>
              <w:rPr/>
            </w:pPr>
            <w:r>
              <w:rPr>
                <w:rStyle w:val="Strong"/>
              </w:rPr>
              <w:t>Approach</w:t>
            </w:r>
          </w:p>
        </w:tc>
        <w:tc>
          <w:tcPr>
            <w:tcW w:w="3898" w:type="dxa"/>
            <w:tcBorders/>
            <w:vAlign w:val="center"/>
          </w:tcPr>
          <w:p>
            <w:pPr>
              <w:pStyle w:val="TableContents"/>
              <w:widowControl w:val="false"/>
              <w:suppressLineNumbers/>
              <w:spacing w:before="0" w:after="200"/>
              <w:rPr/>
            </w:pPr>
            <w:r>
              <w:rPr/>
              <w:t>Plan continuation, checklist discipline, icing, low time in type, training gaps</w:t>
            </w:r>
          </w:p>
        </w:tc>
        <w:tc>
          <w:tcPr>
            <w:tcW w:w="4569" w:type="dxa"/>
            <w:tcBorders/>
            <w:vAlign w:val="center"/>
          </w:tcPr>
          <w:p>
            <w:pPr>
              <w:pStyle w:val="TableContents"/>
              <w:widowControl w:val="false"/>
              <w:suppressLineNumbers/>
              <w:spacing w:before="0" w:after="200"/>
              <w:rPr/>
            </w:pPr>
            <w:r>
              <w:rPr/>
              <w:t>Clear dominant phase; decision-making and performance judgment in IMC/high workload</w:t>
            </w:r>
          </w:p>
        </w:tc>
      </w:tr>
      <w:tr>
        <w:trPr/>
        <w:tc>
          <w:tcPr>
            <w:tcW w:w="1901" w:type="dxa"/>
            <w:tcBorders/>
            <w:vAlign w:val="center"/>
          </w:tcPr>
          <w:p>
            <w:pPr>
              <w:pStyle w:val="TableContents"/>
              <w:widowControl w:val="false"/>
              <w:suppressLineNumbers/>
              <w:spacing w:before="0" w:after="200"/>
              <w:rPr/>
            </w:pPr>
            <w:r>
              <w:rPr>
                <w:rStyle w:val="Strong"/>
              </w:rPr>
              <w:t>Cruise</w:t>
            </w:r>
          </w:p>
        </w:tc>
        <w:tc>
          <w:tcPr>
            <w:tcW w:w="3898" w:type="dxa"/>
            <w:tcBorders/>
            <w:vAlign w:val="center"/>
          </w:tcPr>
          <w:p>
            <w:pPr>
              <w:pStyle w:val="TableContents"/>
              <w:widowControl w:val="false"/>
              <w:suppressLineNumbers/>
              <w:spacing w:before="0" w:after="200"/>
              <w:rPr/>
            </w:pPr>
            <w:r>
              <w:rPr/>
              <w:t>Plan continuation, checklist discipline, normalization of deviance</w:t>
            </w:r>
          </w:p>
        </w:tc>
        <w:tc>
          <w:tcPr>
            <w:tcW w:w="4569" w:type="dxa"/>
            <w:tcBorders/>
            <w:vAlign w:val="center"/>
          </w:tcPr>
          <w:p>
            <w:pPr>
              <w:pStyle w:val="TableContents"/>
              <w:widowControl w:val="false"/>
              <w:suppressLineNumbers/>
              <w:spacing w:before="0" w:after="200"/>
              <w:rPr/>
            </w:pPr>
            <w:r>
              <w:rPr/>
              <w:t>Ongoing decision bias and procedural drift</w:t>
            </w:r>
          </w:p>
        </w:tc>
      </w:tr>
      <w:tr>
        <w:trPr/>
        <w:tc>
          <w:tcPr>
            <w:tcW w:w="1901" w:type="dxa"/>
            <w:tcBorders/>
            <w:vAlign w:val="center"/>
          </w:tcPr>
          <w:p>
            <w:pPr>
              <w:pStyle w:val="TableContents"/>
              <w:widowControl w:val="false"/>
              <w:suppressLineNumbers/>
              <w:spacing w:before="0" w:after="200"/>
              <w:rPr/>
            </w:pPr>
            <w:r>
              <w:rPr>
                <w:rStyle w:val="Strong"/>
              </w:rPr>
              <w:t>Initial Climb</w:t>
            </w:r>
          </w:p>
        </w:tc>
        <w:tc>
          <w:tcPr>
            <w:tcW w:w="3898" w:type="dxa"/>
            <w:tcBorders/>
            <w:vAlign w:val="center"/>
          </w:tcPr>
          <w:p>
            <w:pPr>
              <w:pStyle w:val="TableContents"/>
              <w:widowControl w:val="false"/>
              <w:suppressLineNumbers/>
              <w:spacing w:before="0" w:after="200"/>
              <w:rPr/>
            </w:pPr>
            <w:r>
              <w:rPr/>
              <w:t>Assumption of performance, plan continuation, task saturation</w:t>
            </w:r>
          </w:p>
        </w:tc>
        <w:tc>
          <w:tcPr>
            <w:tcW w:w="4569" w:type="dxa"/>
            <w:tcBorders/>
            <w:vAlign w:val="center"/>
          </w:tcPr>
          <w:p>
            <w:pPr>
              <w:pStyle w:val="TableContents"/>
              <w:widowControl w:val="false"/>
              <w:suppressLineNumbers/>
              <w:spacing w:before="0" w:after="200"/>
              <w:rPr/>
            </w:pPr>
            <w:r>
              <w:rPr/>
              <w:t>Performance margin misjudgment under high workload</w:t>
            </w:r>
          </w:p>
        </w:tc>
      </w:tr>
      <w:tr>
        <w:trPr/>
        <w:tc>
          <w:tcPr>
            <w:tcW w:w="1901" w:type="dxa"/>
            <w:tcBorders/>
            <w:vAlign w:val="center"/>
          </w:tcPr>
          <w:p>
            <w:pPr>
              <w:pStyle w:val="TableContents"/>
              <w:widowControl w:val="false"/>
              <w:suppressLineNumbers/>
              <w:spacing w:before="0" w:after="200"/>
              <w:rPr/>
            </w:pPr>
            <w:r>
              <w:rPr>
                <w:rStyle w:val="Strong"/>
              </w:rPr>
              <w:t>Landing</w:t>
            </w:r>
          </w:p>
        </w:tc>
        <w:tc>
          <w:tcPr>
            <w:tcW w:w="3898" w:type="dxa"/>
            <w:tcBorders/>
            <w:vAlign w:val="center"/>
          </w:tcPr>
          <w:p>
            <w:pPr>
              <w:pStyle w:val="TableContents"/>
              <w:widowControl w:val="false"/>
              <w:suppressLineNumbers/>
              <w:spacing w:before="0" w:after="200"/>
              <w:rPr/>
            </w:pPr>
            <w:r>
              <w:rPr/>
              <w:t>Maintenance issues, assumption of performance</w:t>
            </w:r>
          </w:p>
        </w:tc>
        <w:tc>
          <w:tcPr>
            <w:tcW w:w="4569" w:type="dxa"/>
            <w:tcBorders/>
            <w:vAlign w:val="center"/>
          </w:tcPr>
          <w:p>
            <w:pPr>
              <w:pStyle w:val="TableContents"/>
              <w:widowControl w:val="false"/>
              <w:suppressLineNumbers/>
              <w:spacing w:before="0" w:after="200"/>
              <w:rPr/>
            </w:pPr>
            <w:r>
              <w:rPr/>
              <w:t>System reliability and performance expectations</w:t>
            </w:r>
          </w:p>
        </w:tc>
      </w:tr>
      <w:tr>
        <w:trPr/>
        <w:tc>
          <w:tcPr>
            <w:tcW w:w="1901" w:type="dxa"/>
            <w:tcBorders/>
            <w:vAlign w:val="center"/>
          </w:tcPr>
          <w:p>
            <w:pPr>
              <w:pStyle w:val="TableContents"/>
              <w:widowControl w:val="false"/>
              <w:suppressLineNumbers/>
              <w:spacing w:before="0" w:after="200"/>
              <w:rPr/>
            </w:pPr>
            <w:r>
              <w:rPr>
                <w:rStyle w:val="Strong"/>
              </w:rPr>
              <w:t>Takeoff (emerging)</w:t>
            </w:r>
          </w:p>
        </w:tc>
        <w:tc>
          <w:tcPr>
            <w:tcW w:w="3898" w:type="dxa"/>
            <w:tcBorders/>
            <w:vAlign w:val="center"/>
          </w:tcPr>
          <w:p>
            <w:pPr>
              <w:pStyle w:val="TableContents"/>
              <w:widowControl w:val="false"/>
              <w:suppressLineNumbers/>
              <w:spacing w:before="0" w:after="200"/>
              <w:rPr/>
            </w:pPr>
            <w:r>
              <w:rPr/>
              <w:t>Density altitude, performance assumptions</w:t>
            </w:r>
          </w:p>
        </w:tc>
        <w:tc>
          <w:tcPr>
            <w:tcW w:w="4569" w:type="dxa"/>
            <w:tcBorders/>
            <w:vAlign w:val="center"/>
          </w:tcPr>
          <w:p>
            <w:pPr>
              <w:pStyle w:val="TableContents"/>
              <w:widowControl w:val="false"/>
              <w:suppressLineNumbers/>
              <w:spacing w:before="0" w:after="200"/>
              <w:rPr/>
            </w:pPr>
            <w:r>
              <w:rPr/>
              <w:t>Performance planning and margin awareness</w:t>
            </w:r>
          </w:p>
        </w:tc>
      </w:tr>
      <w:tr>
        <w:trPr/>
        <w:tc>
          <w:tcPr>
            <w:tcW w:w="1901" w:type="dxa"/>
            <w:tcBorders/>
            <w:vAlign w:val="center"/>
          </w:tcPr>
          <w:p>
            <w:pPr>
              <w:pStyle w:val="TableContents"/>
              <w:widowControl w:val="false"/>
              <w:suppressLineNumbers/>
              <w:spacing w:before="0" w:after="200"/>
              <w:rPr/>
            </w:pPr>
            <w:r>
              <w:rPr>
                <w:rStyle w:val="Strong"/>
              </w:rPr>
              <w:t>Go-Around (low frequency)</w:t>
            </w:r>
          </w:p>
        </w:tc>
        <w:tc>
          <w:tcPr>
            <w:tcW w:w="3898" w:type="dxa"/>
            <w:tcBorders/>
            <w:vAlign w:val="center"/>
          </w:tcPr>
          <w:p>
            <w:pPr>
              <w:pStyle w:val="TableContents"/>
              <w:widowControl w:val="false"/>
              <w:suppressLineNumbers/>
              <w:spacing w:before="0" w:after="200"/>
              <w:rPr/>
            </w:pPr>
            <w:r>
              <w:rPr/>
              <w:t>Training gaps</w:t>
            </w:r>
          </w:p>
        </w:tc>
        <w:tc>
          <w:tcPr>
            <w:tcW w:w="4569" w:type="dxa"/>
            <w:tcBorders/>
            <w:vAlign w:val="center"/>
          </w:tcPr>
          <w:p>
            <w:pPr>
              <w:pStyle w:val="TableContents"/>
              <w:widowControl w:val="false"/>
              <w:suppressLineNumbers/>
              <w:spacing w:before="0" w:after="200"/>
              <w:rPr/>
            </w:pPr>
            <w:r>
              <w:rPr/>
              <w:t>Rare but highlights need for go-around proficiency</w:t>
            </w:r>
          </w:p>
        </w:tc>
      </w:tr>
    </w:tbl>
    <w:p>
      <w:pPr>
        <w:pStyle w:val="Normal"/>
        <w:spacing w:before="0" w:after="0"/>
        <w:rPr>
          <w:rFonts w:ascii="Courier New" w:hAnsi="Courier New"/>
          <w:sz w:val="14"/>
        </w:rPr>
      </w:pPr>
      <w:r>
        <w:rPr>
          <w:rFonts w:ascii="Courier New" w:hAnsi="Courier New"/>
          <w:sz w:val="14"/>
        </w:rPr>
      </w:r>
    </w:p>
    <w:p>
      <w:pPr>
        <w:pStyle w:val="Heading2"/>
        <w:rPr/>
      </w:pPr>
      <w:r>
        <w:rPr/>
        <w:t>C402: Top Phase × Factor Patterns (counts to be added later)</w:t>
      </w:r>
    </w:p>
    <w:p>
      <w:pPr>
        <w:pStyle w:val="Normal"/>
        <w:spacing w:before="0" w:after="0"/>
        <w:rPr>
          <w:rFonts w:ascii="Courier New" w:hAnsi="Courier New"/>
          <w:sz w:val="14"/>
        </w:rPr>
      </w:pPr>
      <w:r>
        <w:rPr>
          <w:rFonts w:ascii="Courier New" w:hAnsi="Courier New"/>
          <w:sz w:val="14"/>
        </w:rPr>
      </w:r>
    </w:p>
    <w:tbl>
      <w:tblPr>
        <w:tblW w:w="10365" w:type="dxa"/>
        <w:jc w:val="left"/>
        <w:tblInd w:w="28" w:type="dxa"/>
        <w:tblLayout w:type="fixed"/>
        <w:tblCellMar>
          <w:top w:w="28" w:type="dxa"/>
          <w:left w:w="28" w:type="dxa"/>
          <w:bottom w:w="28" w:type="dxa"/>
          <w:right w:w="28" w:type="dxa"/>
        </w:tblCellMar>
      </w:tblPr>
      <w:tblGrid>
        <w:gridCol w:w="1019"/>
        <w:gridCol w:w="4488"/>
        <w:gridCol w:w="4858"/>
      </w:tblGrid>
      <w:tr>
        <w:trPr>
          <w:tblHeader w:val="true"/>
        </w:trPr>
        <w:tc>
          <w:tcPr>
            <w:tcW w:w="1019" w:type="dxa"/>
            <w:tcBorders/>
            <w:vAlign w:val="center"/>
          </w:tcPr>
          <w:p>
            <w:pPr>
              <w:pStyle w:val="TableHeading"/>
              <w:suppressLineNumbers/>
              <w:spacing w:before="0" w:after="200"/>
              <w:jc w:val="center"/>
              <w:rPr/>
            </w:pPr>
            <w:r>
              <w:rPr/>
              <w:t>Phase</w:t>
            </w:r>
          </w:p>
        </w:tc>
        <w:tc>
          <w:tcPr>
            <w:tcW w:w="4488" w:type="dxa"/>
            <w:tcBorders/>
            <w:vAlign w:val="center"/>
          </w:tcPr>
          <w:p>
            <w:pPr>
              <w:pStyle w:val="TableHeading"/>
              <w:suppressLineNumbers/>
              <w:spacing w:before="0" w:after="200"/>
              <w:jc w:val="center"/>
              <w:rPr/>
            </w:pPr>
            <w:r>
              <w:rPr/>
              <w:t>Key Drivers</w:t>
            </w:r>
          </w:p>
        </w:tc>
        <w:tc>
          <w:tcPr>
            <w:tcW w:w="4858" w:type="dxa"/>
            <w:tcBorders/>
            <w:vAlign w:val="center"/>
          </w:tcPr>
          <w:p>
            <w:pPr>
              <w:pStyle w:val="TableHeading"/>
              <w:suppressLineNumbers/>
              <w:spacing w:before="0" w:after="200"/>
              <w:jc w:val="center"/>
              <w:rPr/>
            </w:pPr>
            <w:r>
              <w:rPr/>
              <w:t>Takeaway</w:t>
            </w:r>
          </w:p>
        </w:tc>
      </w:tr>
      <w:tr>
        <w:trPr/>
        <w:tc>
          <w:tcPr>
            <w:tcW w:w="1019" w:type="dxa"/>
            <w:tcBorders/>
            <w:vAlign w:val="center"/>
          </w:tcPr>
          <w:p>
            <w:pPr>
              <w:pStyle w:val="TableContents"/>
              <w:widowControl w:val="false"/>
              <w:suppressLineNumbers/>
              <w:spacing w:before="0" w:after="200"/>
              <w:rPr/>
            </w:pPr>
            <w:r>
              <w:rPr>
                <w:rStyle w:val="Strong"/>
              </w:rPr>
              <w:t>Landing</w:t>
            </w:r>
          </w:p>
        </w:tc>
        <w:tc>
          <w:tcPr>
            <w:tcW w:w="4488" w:type="dxa"/>
            <w:tcBorders/>
            <w:vAlign w:val="center"/>
          </w:tcPr>
          <w:p>
            <w:pPr>
              <w:pStyle w:val="TableContents"/>
              <w:widowControl w:val="false"/>
              <w:suppressLineNumbers/>
              <w:spacing w:before="0" w:after="200"/>
              <w:rPr/>
            </w:pPr>
            <w:r>
              <w:rPr/>
              <w:t>Plan continuation, maintenance issues, aging systems, checklist discipline</w:t>
            </w:r>
          </w:p>
        </w:tc>
        <w:tc>
          <w:tcPr>
            <w:tcW w:w="4858" w:type="dxa"/>
            <w:tcBorders/>
            <w:vAlign w:val="center"/>
          </w:tcPr>
          <w:p>
            <w:pPr>
              <w:pStyle w:val="TableContents"/>
              <w:widowControl w:val="false"/>
              <w:suppressLineNumbers/>
              <w:spacing w:before="0" w:after="200"/>
              <w:rPr/>
            </w:pPr>
            <w:r>
              <w:rPr/>
              <w:t>Strong concentration; operational + maintenance overlap in landing phase</w:t>
            </w:r>
          </w:p>
        </w:tc>
      </w:tr>
      <w:tr>
        <w:trPr/>
        <w:tc>
          <w:tcPr>
            <w:tcW w:w="1019" w:type="dxa"/>
            <w:tcBorders/>
            <w:vAlign w:val="center"/>
          </w:tcPr>
          <w:p>
            <w:pPr>
              <w:pStyle w:val="TableContents"/>
              <w:widowControl w:val="false"/>
              <w:suppressLineNumbers/>
              <w:spacing w:before="0" w:after="200"/>
              <w:rPr/>
            </w:pPr>
            <w:r>
              <w:rPr>
                <w:rStyle w:val="Strong"/>
              </w:rPr>
              <w:t>Approach</w:t>
            </w:r>
          </w:p>
        </w:tc>
        <w:tc>
          <w:tcPr>
            <w:tcW w:w="4488" w:type="dxa"/>
            <w:tcBorders/>
            <w:vAlign w:val="center"/>
          </w:tcPr>
          <w:p>
            <w:pPr>
              <w:pStyle w:val="TableContents"/>
              <w:widowControl w:val="false"/>
              <w:suppressLineNumbers/>
              <w:spacing w:before="0" w:after="200"/>
              <w:rPr/>
            </w:pPr>
            <w:r>
              <w:rPr/>
              <w:t>Plan continuation</w:t>
            </w:r>
          </w:p>
        </w:tc>
        <w:tc>
          <w:tcPr>
            <w:tcW w:w="4858" w:type="dxa"/>
            <w:tcBorders/>
            <w:vAlign w:val="center"/>
          </w:tcPr>
          <w:p>
            <w:pPr>
              <w:pStyle w:val="TableContents"/>
              <w:widowControl w:val="false"/>
              <w:suppressLineNumbers/>
              <w:spacing w:before="0" w:after="200"/>
              <w:rPr/>
            </w:pPr>
            <w:r>
              <w:rPr/>
              <w:t>Decision-making remains a factor, but less concentrated</w:t>
            </w:r>
          </w:p>
        </w:tc>
      </w:tr>
      <w:tr>
        <w:trPr/>
        <w:tc>
          <w:tcPr>
            <w:tcW w:w="1019" w:type="dxa"/>
            <w:tcBorders/>
            <w:vAlign w:val="center"/>
          </w:tcPr>
          <w:p>
            <w:pPr>
              <w:pStyle w:val="TableContents"/>
              <w:widowControl w:val="false"/>
              <w:suppressLineNumbers/>
              <w:spacing w:before="0" w:after="200"/>
              <w:rPr/>
            </w:pPr>
            <w:r>
              <w:rPr>
                <w:rStyle w:val="Strong"/>
              </w:rPr>
              <w:t>Cruise</w:t>
            </w:r>
          </w:p>
        </w:tc>
        <w:tc>
          <w:tcPr>
            <w:tcW w:w="4488" w:type="dxa"/>
            <w:tcBorders/>
            <w:vAlign w:val="center"/>
          </w:tcPr>
          <w:p>
            <w:pPr>
              <w:pStyle w:val="TableContents"/>
              <w:widowControl w:val="false"/>
              <w:suppressLineNumbers/>
              <w:spacing w:before="0" w:after="200"/>
              <w:rPr/>
            </w:pPr>
            <w:r>
              <w:rPr/>
              <w:t>Checklist discipline, maintenance issues, plan continuation</w:t>
            </w:r>
          </w:p>
        </w:tc>
        <w:tc>
          <w:tcPr>
            <w:tcW w:w="4858" w:type="dxa"/>
            <w:tcBorders/>
            <w:vAlign w:val="center"/>
          </w:tcPr>
          <w:p>
            <w:pPr>
              <w:pStyle w:val="TableContents"/>
              <w:widowControl w:val="false"/>
              <w:suppressLineNumbers/>
              <w:spacing w:before="0" w:after="200"/>
              <w:rPr/>
            </w:pPr>
            <w:r>
              <w:rPr/>
              <w:t>Ongoing procedural and system reliability themes</w:t>
            </w:r>
          </w:p>
        </w:tc>
      </w:tr>
      <w:tr>
        <w:trPr/>
        <w:tc>
          <w:tcPr>
            <w:tcW w:w="1019" w:type="dxa"/>
            <w:tcBorders/>
            <w:vAlign w:val="center"/>
          </w:tcPr>
          <w:p>
            <w:pPr>
              <w:pStyle w:val="TableContents"/>
              <w:widowControl w:val="false"/>
              <w:suppressLineNumbers/>
              <w:spacing w:before="0" w:after="200"/>
              <w:rPr/>
            </w:pPr>
            <w:r>
              <w:rPr>
                <w:rStyle w:val="Strong"/>
              </w:rPr>
              <w:t>Takeoff</w:t>
            </w:r>
          </w:p>
        </w:tc>
        <w:tc>
          <w:tcPr>
            <w:tcW w:w="4488" w:type="dxa"/>
            <w:tcBorders/>
            <w:vAlign w:val="center"/>
          </w:tcPr>
          <w:p>
            <w:pPr>
              <w:pStyle w:val="TableContents"/>
              <w:widowControl w:val="false"/>
              <w:suppressLineNumbers/>
              <w:spacing w:before="0" w:after="200"/>
              <w:rPr/>
            </w:pPr>
            <w:r>
              <w:rPr/>
              <w:t>Plan continuation</w:t>
            </w:r>
          </w:p>
        </w:tc>
        <w:tc>
          <w:tcPr>
            <w:tcW w:w="4858" w:type="dxa"/>
            <w:tcBorders/>
            <w:vAlign w:val="center"/>
          </w:tcPr>
          <w:p>
            <w:pPr>
              <w:pStyle w:val="TableContents"/>
              <w:widowControl w:val="false"/>
              <w:suppressLineNumbers/>
              <w:spacing w:before="0" w:after="200"/>
              <w:rPr/>
            </w:pPr>
            <w:r>
              <w:rPr/>
              <w:t>Isolated but consistent decision-making signal</w:t>
            </w:r>
          </w:p>
        </w:tc>
      </w:tr>
    </w:tbl>
    <w:p>
      <w:pPr>
        <w:pStyle w:val="Normal"/>
        <w:spacing w:before="0" w:after="0"/>
        <w:rPr>
          <w:rFonts w:ascii="Courier New" w:hAnsi="Courier New"/>
          <w:sz w:val="14"/>
        </w:rPr>
      </w:pPr>
      <w:r>
        <w:rPr>
          <w:rFonts w:ascii="Courier New" w:hAnsi="Courier New"/>
          <w:sz w:val="14"/>
        </w:rPr>
      </w:r>
    </w:p>
    <w:p>
      <w:pPr>
        <w:pStyle w:val="Normal"/>
        <w:rPr/>
      </w:pPr>
      <w:r>
        <w:rPr/>
      </w:r>
    </w:p>
    <w:p>
      <w:pPr>
        <w:pStyle w:val="Heading1"/>
        <w:rPr/>
      </w:pPr>
      <w:r>
        <w:rPr/>
        <w:t>Validated Co-Occurrence Patterns Available in the Current Summaries</w:t>
      </w:r>
    </w:p>
    <w:p>
      <w:pPr>
        <w:pStyle w:val="Normal"/>
        <w:spacing w:before="0" w:after="120"/>
        <w:rPr/>
      </w:pPr>
      <w:r>
        <w:rPr/>
        <w:t>The current pattern-summary files contain validated dimensional co-occurrence patterns: phase × factor, event type × factor, and operation type × factor. The table below shows the leading event type × factor combinations. These combinations are not the same as true factor-pair counts, but they are valid evidence-backed patterns from the current output and are actionable for training and maintenance planning.</w:t>
      </w:r>
    </w:p>
    <w:p>
      <w:pPr>
        <w:pStyle w:val="Normal"/>
        <w:spacing w:before="0" w:after="0"/>
        <w:rPr>
          <w:rFonts w:ascii="Courier New" w:hAnsi="Courier New"/>
          <w:sz w:val="14"/>
        </w:rPr>
      </w:pPr>
      <w:r>
        <w:rPr>
          <w:rFonts w:ascii="Courier New" w:hAnsi="Courier New"/>
          <w:sz w:val="14"/>
        </w:rPr>
      </w:r>
    </w:p>
    <w:tbl>
      <w:tblPr>
        <w:tblW w:w="10368" w:type="dxa"/>
        <w:jc w:val="left"/>
        <w:tblInd w:w="28" w:type="dxa"/>
        <w:tblLayout w:type="fixed"/>
        <w:tblCellMar>
          <w:top w:w="28" w:type="dxa"/>
          <w:left w:w="28" w:type="dxa"/>
          <w:bottom w:w="28" w:type="dxa"/>
          <w:right w:w="28" w:type="dxa"/>
        </w:tblCellMar>
      </w:tblPr>
      <w:tblGrid>
        <w:gridCol w:w="3504"/>
        <w:gridCol w:w="1440"/>
        <w:gridCol w:w="5424"/>
      </w:tblGrid>
      <w:tr>
        <w:trPr>
          <w:tblHeader w:val="true"/>
        </w:trPr>
        <w:tc>
          <w:tcPr>
            <w:tcW w:w="3504" w:type="dxa"/>
            <w:tcBorders/>
            <w:vAlign w:val="center"/>
          </w:tcPr>
          <w:p>
            <w:pPr>
              <w:pStyle w:val="TableHeading"/>
              <w:suppressLineNumbers/>
              <w:spacing w:before="0" w:after="200"/>
              <w:jc w:val="center"/>
              <w:rPr/>
            </w:pPr>
            <w:r>
              <w:rPr/>
              <w:t>Pattern</w:t>
            </w:r>
          </w:p>
        </w:tc>
        <w:tc>
          <w:tcPr>
            <w:tcW w:w="1440" w:type="dxa"/>
            <w:tcBorders/>
            <w:vAlign w:val="center"/>
          </w:tcPr>
          <w:p>
            <w:pPr>
              <w:pStyle w:val="TableHeading"/>
              <w:suppressLineNumbers/>
              <w:spacing w:before="0" w:after="200"/>
              <w:jc w:val="center"/>
              <w:rPr/>
            </w:pPr>
            <w:r>
              <w:rPr/>
              <w:t>Share</w:t>
            </w:r>
          </w:p>
        </w:tc>
        <w:tc>
          <w:tcPr>
            <w:tcW w:w="5424" w:type="dxa"/>
            <w:tcBorders/>
            <w:vAlign w:val="center"/>
          </w:tcPr>
          <w:p>
            <w:pPr>
              <w:pStyle w:val="TableHeading"/>
              <w:suppressLineNumbers/>
              <w:spacing w:before="0" w:after="200"/>
              <w:jc w:val="center"/>
              <w:rPr/>
            </w:pPr>
            <w:r>
              <w:rPr/>
              <w:t>Key Takeaway</w:t>
            </w:r>
          </w:p>
        </w:tc>
      </w:tr>
      <w:tr>
        <w:trPr/>
        <w:tc>
          <w:tcPr>
            <w:tcW w:w="3504" w:type="dxa"/>
            <w:tcBorders/>
            <w:vAlign w:val="center"/>
          </w:tcPr>
          <w:p>
            <w:pPr>
              <w:pStyle w:val="TableContents"/>
              <w:widowControl w:val="false"/>
              <w:suppressLineNumbers/>
              <w:spacing w:before="0" w:after="200"/>
              <w:rPr/>
            </w:pPr>
            <w:r>
              <w:rPr>
                <w:rStyle w:val="Strong"/>
              </w:rPr>
              <w:t>Gear Issues + Maintenance Failures</w:t>
            </w:r>
          </w:p>
        </w:tc>
        <w:tc>
          <w:tcPr>
            <w:tcW w:w="1440" w:type="dxa"/>
            <w:tcBorders/>
            <w:vAlign w:val="center"/>
          </w:tcPr>
          <w:p>
            <w:pPr>
              <w:pStyle w:val="TableContents"/>
              <w:widowControl w:val="false"/>
              <w:suppressLineNumbers/>
              <w:spacing w:before="0" w:after="200"/>
              <w:rPr/>
            </w:pPr>
            <w:r>
              <w:rPr/>
              <w:t>~14% combined</w:t>
            </w:r>
          </w:p>
        </w:tc>
        <w:tc>
          <w:tcPr>
            <w:tcW w:w="5424" w:type="dxa"/>
            <w:tcBorders/>
            <w:vAlign w:val="center"/>
          </w:tcPr>
          <w:p>
            <w:pPr>
              <w:pStyle w:val="TableContents"/>
              <w:widowControl w:val="false"/>
              <w:suppressLineNumbers/>
              <w:spacing w:before="0" w:after="200"/>
              <w:rPr/>
            </w:pPr>
            <w:r>
              <w:rPr/>
              <w:t>Strong maintenance + system reliability signal</w:t>
            </w:r>
          </w:p>
        </w:tc>
      </w:tr>
      <w:tr>
        <w:trPr/>
        <w:tc>
          <w:tcPr>
            <w:tcW w:w="3504" w:type="dxa"/>
            <w:tcBorders/>
            <w:vAlign w:val="center"/>
          </w:tcPr>
          <w:p>
            <w:pPr>
              <w:pStyle w:val="TableContents"/>
              <w:widowControl w:val="false"/>
              <w:suppressLineNumbers/>
              <w:spacing w:before="0" w:after="200"/>
              <w:rPr/>
            </w:pPr>
            <w:r>
              <w:rPr>
                <w:rStyle w:val="Strong"/>
              </w:rPr>
              <w:t>Loss of Control + Decision/Experience</w:t>
            </w:r>
          </w:p>
        </w:tc>
        <w:tc>
          <w:tcPr>
            <w:tcW w:w="1440" w:type="dxa"/>
            <w:tcBorders/>
            <w:vAlign w:val="center"/>
          </w:tcPr>
          <w:p>
            <w:pPr>
              <w:pStyle w:val="TableContents"/>
              <w:widowControl w:val="false"/>
              <w:suppressLineNumbers/>
              <w:spacing w:before="0" w:after="200"/>
              <w:rPr/>
            </w:pPr>
            <w:r>
              <w:rPr/>
              <w:t>~20%+ combined</w:t>
            </w:r>
          </w:p>
        </w:tc>
        <w:tc>
          <w:tcPr>
            <w:tcW w:w="5424" w:type="dxa"/>
            <w:tcBorders/>
            <w:vAlign w:val="center"/>
          </w:tcPr>
          <w:p>
            <w:pPr>
              <w:pStyle w:val="TableContents"/>
              <w:widowControl w:val="false"/>
              <w:suppressLineNumbers/>
              <w:spacing w:before="0" w:after="200"/>
              <w:rPr/>
            </w:pPr>
            <w:r>
              <w:rPr/>
              <w:t>Decision-making, training, and proficiency are primary drivers</w:t>
            </w:r>
          </w:p>
        </w:tc>
      </w:tr>
      <w:tr>
        <w:trPr/>
        <w:tc>
          <w:tcPr>
            <w:tcW w:w="3504" w:type="dxa"/>
            <w:tcBorders/>
            <w:vAlign w:val="center"/>
          </w:tcPr>
          <w:p>
            <w:pPr>
              <w:pStyle w:val="TableContents"/>
              <w:widowControl w:val="false"/>
              <w:suppressLineNumbers/>
              <w:spacing w:before="0" w:after="200"/>
              <w:rPr/>
            </w:pPr>
            <w:r>
              <w:rPr>
                <w:rStyle w:val="Strong"/>
              </w:rPr>
              <w:t>Gear Issues + Checklist Discipline</w:t>
            </w:r>
          </w:p>
        </w:tc>
        <w:tc>
          <w:tcPr>
            <w:tcW w:w="1440" w:type="dxa"/>
            <w:tcBorders/>
            <w:vAlign w:val="center"/>
          </w:tcPr>
          <w:p>
            <w:pPr>
              <w:pStyle w:val="TableContents"/>
              <w:widowControl w:val="false"/>
              <w:suppressLineNumbers/>
              <w:spacing w:before="0" w:after="200"/>
              <w:rPr/>
            </w:pPr>
            <w:r>
              <w:rPr/>
              <w:t>~6%</w:t>
            </w:r>
          </w:p>
        </w:tc>
        <w:tc>
          <w:tcPr>
            <w:tcW w:w="5424" w:type="dxa"/>
            <w:tcBorders/>
            <w:vAlign w:val="center"/>
          </w:tcPr>
          <w:p>
            <w:pPr>
              <w:pStyle w:val="TableContents"/>
              <w:widowControl w:val="false"/>
              <w:suppressLineNumbers/>
              <w:spacing w:before="0" w:after="200"/>
              <w:rPr/>
            </w:pPr>
            <w:r>
              <w:rPr/>
              <w:t>Procedural compliance directly tied to gear events</w:t>
            </w:r>
          </w:p>
        </w:tc>
      </w:tr>
      <w:tr>
        <w:trPr/>
        <w:tc>
          <w:tcPr>
            <w:tcW w:w="3504" w:type="dxa"/>
            <w:tcBorders/>
            <w:vAlign w:val="center"/>
          </w:tcPr>
          <w:p>
            <w:pPr>
              <w:pStyle w:val="TableContents"/>
              <w:widowControl w:val="false"/>
              <w:suppressLineNumbers/>
              <w:spacing w:before="0" w:after="200"/>
              <w:rPr/>
            </w:pPr>
            <w:r>
              <w:rPr>
                <w:rStyle w:val="Strong"/>
              </w:rPr>
              <w:t>CFIT + Decision/Training</w:t>
            </w:r>
          </w:p>
        </w:tc>
        <w:tc>
          <w:tcPr>
            <w:tcW w:w="1440" w:type="dxa"/>
            <w:tcBorders/>
            <w:vAlign w:val="center"/>
          </w:tcPr>
          <w:p>
            <w:pPr>
              <w:pStyle w:val="TableContents"/>
              <w:widowControl w:val="false"/>
              <w:suppressLineNumbers/>
              <w:spacing w:before="0" w:after="200"/>
              <w:rPr/>
            </w:pPr>
            <w:r>
              <w:rPr/>
              <w:t>~8% combined</w:t>
            </w:r>
          </w:p>
        </w:tc>
        <w:tc>
          <w:tcPr>
            <w:tcW w:w="5424" w:type="dxa"/>
            <w:tcBorders/>
            <w:vAlign w:val="center"/>
          </w:tcPr>
          <w:p>
            <w:pPr>
              <w:pStyle w:val="TableContents"/>
              <w:widowControl w:val="false"/>
              <w:suppressLineNumbers/>
              <w:spacing w:before="0" w:after="200"/>
              <w:rPr/>
            </w:pPr>
            <w:r>
              <w:rPr/>
              <w:t>Lower frequency, high severity; driven by judgment and proficiency</w:t>
            </w:r>
          </w:p>
        </w:tc>
      </w:tr>
      <w:tr>
        <w:trPr/>
        <w:tc>
          <w:tcPr>
            <w:tcW w:w="3504" w:type="dxa"/>
            <w:tcBorders/>
            <w:vAlign w:val="center"/>
          </w:tcPr>
          <w:p>
            <w:pPr>
              <w:pStyle w:val="TableContents"/>
              <w:widowControl w:val="false"/>
              <w:suppressLineNumbers/>
              <w:spacing w:before="0" w:after="200"/>
              <w:rPr/>
            </w:pPr>
            <w:r>
              <w:rPr>
                <w:rStyle w:val="Strong"/>
              </w:rPr>
              <w:t>Fuel Events + Checklist Discipline</w:t>
            </w:r>
          </w:p>
        </w:tc>
        <w:tc>
          <w:tcPr>
            <w:tcW w:w="1440" w:type="dxa"/>
            <w:tcBorders/>
            <w:vAlign w:val="center"/>
          </w:tcPr>
          <w:p>
            <w:pPr>
              <w:pStyle w:val="TableContents"/>
              <w:widowControl w:val="false"/>
              <w:suppressLineNumbers/>
              <w:spacing w:before="0" w:after="200"/>
              <w:rPr/>
            </w:pPr>
            <w:r>
              <w:rPr/>
              <w:t>~6% combined</w:t>
            </w:r>
          </w:p>
        </w:tc>
        <w:tc>
          <w:tcPr>
            <w:tcW w:w="5424" w:type="dxa"/>
            <w:tcBorders/>
            <w:vAlign w:val="center"/>
          </w:tcPr>
          <w:p>
            <w:pPr>
              <w:pStyle w:val="TableContents"/>
              <w:widowControl w:val="false"/>
              <w:suppressLineNumbers/>
              <w:spacing w:before="0" w:after="200"/>
              <w:rPr/>
            </w:pPr>
            <w:r>
              <w:rPr/>
              <w:t>Fuel mismanagement is primarily procedural</w:t>
            </w:r>
          </w:p>
        </w:tc>
      </w:tr>
      <w:tr>
        <w:trPr/>
        <w:tc>
          <w:tcPr>
            <w:tcW w:w="3504" w:type="dxa"/>
            <w:tcBorders/>
            <w:vAlign w:val="center"/>
          </w:tcPr>
          <w:p>
            <w:pPr>
              <w:pStyle w:val="TableContents"/>
              <w:widowControl w:val="false"/>
              <w:suppressLineNumbers/>
              <w:spacing w:before="0" w:after="200"/>
              <w:rPr/>
            </w:pPr>
            <w:r>
              <w:rPr>
                <w:rStyle w:val="Strong"/>
              </w:rPr>
              <w:t>Loss of Control + Workload/Maintenance</w:t>
            </w:r>
          </w:p>
        </w:tc>
        <w:tc>
          <w:tcPr>
            <w:tcW w:w="1440" w:type="dxa"/>
            <w:tcBorders/>
            <w:vAlign w:val="center"/>
          </w:tcPr>
          <w:p>
            <w:pPr>
              <w:pStyle w:val="TableContents"/>
              <w:widowControl w:val="false"/>
              <w:suppressLineNumbers/>
              <w:spacing w:before="0" w:after="200"/>
              <w:rPr/>
            </w:pPr>
            <w:r>
              <w:rPr/>
              <w:t>~8% combined</w:t>
            </w:r>
          </w:p>
        </w:tc>
        <w:tc>
          <w:tcPr>
            <w:tcW w:w="5424" w:type="dxa"/>
            <w:tcBorders/>
            <w:vAlign w:val="center"/>
          </w:tcPr>
          <w:p>
            <w:pPr>
              <w:pStyle w:val="TableContents"/>
              <w:widowControl w:val="false"/>
              <w:suppressLineNumbers/>
              <w:spacing w:before="0" w:after="200"/>
              <w:rPr/>
            </w:pPr>
            <w:r>
              <w:rPr/>
              <w:t>High workload + system issues amplify LOC risk</w:t>
            </w:r>
          </w:p>
        </w:tc>
      </w:tr>
    </w:tbl>
    <w:p>
      <w:pPr>
        <w:pStyle w:val="Normal"/>
        <w:spacing w:before="0" w:after="0"/>
        <w:rPr>
          <w:rFonts w:ascii="Courier New" w:hAnsi="Courier New"/>
          <w:sz w:val="14"/>
        </w:rPr>
      </w:pPr>
      <w:r>
        <w:rPr>
          <w:rFonts w:ascii="Courier New" w:hAnsi="Courier New"/>
          <w:sz w:val="14"/>
        </w:rPr>
      </w:r>
    </w:p>
    <w:p>
      <w:pPr>
        <w:pStyle w:val="Heading1"/>
        <w:rPr/>
      </w:pPr>
      <w:r>
        <w:rPr/>
        <w:t>Part 91 vs Part 135 Factor Patterns</w:t>
      </w:r>
    </w:p>
    <w:p>
      <w:pPr>
        <w:pStyle w:val="Normal"/>
        <w:spacing w:before="0" w:after="120"/>
        <w:rPr/>
      </w:pPr>
      <w:r>
        <w:rPr/>
        <w:t>Part 91 dominates current factor counts because it dominates the current event count. Part 135 factor patterns are concentrated mostly in the C402 slice. The committee should avoid saying Part 135 is safer or more dangerous than Part 91 based on this dataset because no exposure denominator is available. The appropriate use is to tailor recommendations: Part 91 guidance should emphasize transition training, personal minima, checklist discipline, and owner-maintenance awareness; Part 135 guidance should emphasize SOP adherence, maintenance control, discrepancy tracking, and operational decision triggers.</w:t>
      </w:r>
    </w:p>
    <w:p>
      <w:pPr>
        <w:pStyle w:val="Normal"/>
        <w:spacing w:before="0" w:after="0"/>
        <w:rPr>
          <w:rFonts w:ascii="Courier New" w:hAnsi="Courier New"/>
          <w:sz w:val="14"/>
        </w:rPr>
      </w:pPr>
      <w:r>
        <w:rPr>
          <w:rFonts w:ascii="Courier New" w:hAnsi="Courier New"/>
          <w:sz w:val="14"/>
        </w:rPr>
      </w:r>
    </w:p>
    <w:tbl>
      <w:tblPr>
        <w:tblW w:w="10368" w:type="dxa"/>
        <w:jc w:val="left"/>
        <w:tblInd w:w="28" w:type="dxa"/>
        <w:tblLayout w:type="fixed"/>
        <w:tblCellMar>
          <w:top w:w="28" w:type="dxa"/>
          <w:left w:w="28" w:type="dxa"/>
          <w:bottom w:w="28" w:type="dxa"/>
          <w:right w:w="28" w:type="dxa"/>
        </w:tblCellMar>
      </w:tblPr>
      <w:tblGrid>
        <w:gridCol w:w="710"/>
        <w:gridCol w:w="4471"/>
        <w:gridCol w:w="1074"/>
        <w:gridCol w:w="4112"/>
      </w:tblGrid>
      <w:tr>
        <w:trPr>
          <w:tblHeader w:val="true"/>
        </w:trPr>
        <w:tc>
          <w:tcPr>
            <w:tcW w:w="710" w:type="dxa"/>
            <w:tcBorders/>
            <w:vAlign w:val="center"/>
          </w:tcPr>
          <w:p>
            <w:pPr>
              <w:pStyle w:val="TableHeading"/>
              <w:suppressLineNumbers/>
              <w:spacing w:before="0" w:after="200"/>
              <w:jc w:val="center"/>
              <w:rPr/>
            </w:pPr>
            <w:r>
              <w:rPr/>
              <w:t>Operation</w:t>
            </w:r>
          </w:p>
        </w:tc>
        <w:tc>
          <w:tcPr>
            <w:tcW w:w="4471" w:type="dxa"/>
            <w:tcBorders/>
            <w:vAlign w:val="center"/>
          </w:tcPr>
          <w:p>
            <w:pPr>
              <w:pStyle w:val="TableHeading"/>
              <w:suppressLineNumbers/>
              <w:spacing w:before="0" w:after="200"/>
              <w:jc w:val="center"/>
              <w:rPr/>
            </w:pPr>
            <w:r>
              <w:rPr/>
              <w:t>Key Drivers</w:t>
            </w:r>
          </w:p>
        </w:tc>
        <w:tc>
          <w:tcPr>
            <w:tcW w:w="1074" w:type="dxa"/>
            <w:tcBorders/>
            <w:vAlign w:val="center"/>
          </w:tcPr>
          <w:p>
            <w:pPr>
              <w:pStyle w:val="TableHeading"/>
              <w:suppressLineNumbers/>
              <w:spacing w:before="0" w:after="200"/>
              <w:jc w:val="center"/>
              <w:rPr/>
            </w:pPr>
            <w:r>
              <w:rPr/>
              <w:t>Share</w:t>
            </w:r>
          </w:p>
        </w:tc>
        <w:tc>
          <w:tcPr>
            <w:tcW w:w="4112" w:type="dxa"/>
            <w:tcBorders/>
            <w:vAlign w:val="center"/>
          </w:tcPr>
          <w:p>
            <w:pPr>
              <w:pStyle w:val="TableHeading"/>
              <w:suppressLineNumbers/>
              <w:spacing w:before="0" w:after="200"/>
              <w:jc w:val="center"/>
              <w:rPr/>
            </w:pPr>
            <w:r>
              <w:rPr/>
              <w:t>Key Takeaway</w:t>
            </w:r>
          </w:p>
        </w:tc>
      </w:tr>
      <w:tr>
        <w:trPr/>
        <w:tc>
          <w:tcPr>
            <w:tcW w:w="710" w:type="dxa"/>
            <w:tcBorders/>
            <w:vAlign w:val="center"/>
          </w:tcPr>
          <w:p>
            <w:pPr>
              <w:pStyle w:val="TableContents"/>
              <w:widowControl w:val="false"/>
              <w:suppressLineNumbers/>
              <w:spacing w:before="0" w:after="200"/>
              <w:rPr/>
            </w:pPr>
            <w:r>
              <w:rPr>
                <w:rStyle w:val="Strong"/>
              </w:rPr>
              <w:t>Part 91</w:t>
            </w:r>
          </w:p>
        </w:tc>
        <w:tc>
          <w:tcPr>
            <w:tcW w:w="4471" w:type="dxa"/>
            <w:tcBorders/>
            <w:vAlign w:val="center"/>
          </w:tcPr>
          <w:p>
            <w:pPr>
              <w:pStyle w:val="TableContents"/>
              <w:widowControl w:val="false"/>
              <w:suppressLineNumbers/>
              <w:spacing w:before="0" w:after="200"/>
              <w:rPr/>
            </w:pPr>
            <w:r>
              <w:rPr/>
              <w:t>Plan continuation, checklist discipline, low time in type, maintenance issues</w:t>
            </w:r>
          </w:p>
        </w:tc>
        <w:tc>
          <w:tcPr>
            <w:tcW w:w="1074" w:type="dxa"/>
            <w:tcBorders/>
            <w:vAlign w:val="center"/>
          </w:tcPr>
          <w:p>
            <w:pPr>
              <w:pStyle w:val="TableContents"/>
              <w:widowControl w:val="false"/>
              <w:suppressLineNumbers/>
              <w:spacing w:before="0" w:after="200"/>
              <w:rPr/>
            </w:pPr>
            <w:r>
              <w:rPr/>
              <w:t>~88%+ combined</w:t>
            </w:r>
          </w:p>
        </w:tc>
        <w:tc>
          <w:tcPr>
            <w:tcW w:w="4112" w:type="dxa"/>
            <w:tcBorders/>
            <w:vAlign w:val="center"/>
          </w:tcPr>
          <w:p>
            <w:pPr>
              <w:pStyle w:val="TableContents"/>
              <w:widowControl w:val="false"/>
              <w:suppressLineNumbers/>
              <w:spacing w:before="0" w:after="200"/>
              <w:rPr/>
            </w:pPr>
            <w:r>
              <w:rPr/>
              <w:t>Dominated by decision-making, training, and procedural discipline</w:t>
            </w:r>
          </w:p>
        </w:tc>
      </w:tr>
      <w:tr>
        <w:trPr/>
        <w:tc>
          <w:tcPr>
            <w:tcW w:w="710" w:type="dxa"/>
            <w:tcBorders/>
            <w:vAlign w:val="center"/>
          </w:tcPr>
          <w:p>
            <w:pPr>
              <w:pStyle w:val="TableContents"/>
              <w:widowControl w:val="false"/>
              <w:suppressLineNumbers/>
              <w:spacing w:before="0" w:after="200"/>
              <w:rPr/>
            </w:pPr>
            <w:r>
              <w:rPr>
                <w:rStyle w:val="Strong"/>
              </w:rPr>
              <w:t>Part 135</w:t>
            </w:r>
          </w:p>
        </w:tc>
        <w:tc>
          <w:tcPr>
            <w:tcW w:w="4471" w:type="dxa"/>
            <w:tcBorders/>
            <w:vAlign w:val="center"/>
          </w:tcPr>
          <w:p>
            <w:pPr>
              <w:pStyle w:val="TableContents"/>
              <w:widowControl w:val="false"/>
              <w:suppressLineNumbers/>
              <w:spacing w:before="0" w:after="200"/>
              <w:rPr/>
            </w:pPr>
            <w:r>
              <w:rPr/>
              <w:t>Plan continuation, checklist discipline, maintenance issues</w:t>
            </w:r>
          </w:p>
        </w:tc>
        <w:tc>
          <w:tcPr>
            <w:tcW w:w="1074" w:type="dxa"/>
            <w:tcBorders/>
            <w:vAlign w:val="center"/>
          </w:tcPr>
          <w:p>
            <w:pPr>
              <w:pStyle w:val="TableContents"/>
              <w:widowControl w:val="false"/>
              <w:suppressLineNumbers/>
              <w:spacing w:before="0" w:after="200"/>
              <w:rPr/>
            </w:pPr>
            <w:r>
              <w:rPr/>
              <w:t>~12% combined</w:t>
            </w:r>
          </w:p>
        </w:tc>
        <w:tc>
          <w:tcPr>
            <w:tcW w:w="4112" w:type="dxa"/>
            <w:tcBorders/>
            <w:vAlign w:val="center"/>
          </w:tcPr>
          <w:p>
            <w:pPr>
              <w:pStyle w:val="TableContents"/>
              <w:widowControl w:val="false"/>
              <w:suppressLineNumbers/>
              <w:spacing w:before="0" w:after="200"/>
              <w:rPr/>
            </w:pPr>
            <w:r>
              <w:rPr/>
              <w:t>Similar factors, but smaller dataset and different operational context</w:t>
            </w:r>
          </w:p>
        </w:tc>
      </w:tr>
    </w:tbl>
    <w:p>
      <w:pPr>
        <w:pStyle w:val="Normal"/>
        <w:spacing w:before="0" w:after="0"/>
        <w:rPr>
          <w:rFonts w:ascii="Courier New" w:hAnsi="Courier New"/>
          <w:sz w:val="14"/>
        </w:rPr>
      </w:pPr>
      <w:r>
        <w:rPr>
          <w:rFonts w:ascii="Courier New" w:hAnsi="Courier New"/>
          <w:sz w:val="14"/>
        </w:rPr>
      </w:r>
    </w:p>
    <w:p>
      <w:pPr>
        <w:pStyle w:val="Normal"/>
        <w:rPr/>
      </w:pPr>
      <w:r>
        <w:rPr/>
      </w:r>
    </w:p>
    <w:p>
      <w:pPr>
        <w:pStyle w:val="Heading1"/>
        <w:rPr/>
      </w:pPr>
      <w:r>
        <w:rPr/>
        <w:t>Cross-Model Observations</w:t>
      </w:r>
    </w:p>
    <w:p>
      <w:pPr>
        <w:pStyle w:val="Normal"/>
        <w:spacing w:before="0" w:after="120"/>
        <w:rPr/>
      </w:pPr>
      <w:r>
        <w:rPr/>
        <w:t>The cross-model comparison is useful for identifying where the current dataset slices differ, but it should not be used as a risk ranking. The current C310 slice is complete and therefore more stable. The C340 and C402 slices have enough records for pattern summaries but remain smaller and less complete. Over-indexed patterns should be treated as cues for further review, not final conclusions.</w:t>
      </w:r>
    </w:p>
    <w:p>
      <w:pPr>
        <w:pStyle w:val="Normal"/>
        <w:spacing w:before="0" w:after="0"/>
        <w:rPr>
          <w:rFonts w:ascii="Courier New" w:hAnsi="Courier New"/>
          <w:sz w:val="14"/>
        </w:rPr>
      </w:pPr>
      <w:r>
        <w:rPr>
          <w:rFonts w:ascii="Courier New" w:hAnsi="Courier New"/>
          <w:sz w:val="14"/>
        </w:rPr>
      </w:r>
    </w:p>
    <w:tbl>
      <w:tblPr>
        <w:tblW w:w="10365" w:type="dxa"/>
        <w:jc w:val="left"/>
        <w:tblInd w:w="28" w:type="dxa"/>
        <w:tblLayout w:type="fixed"/>
        <w:tblCellMar>
          <w:top w:w="28" w:type="dxa"/>
          <w:left w:w="28" w:type="dxa"/>
          <w:bottom w:w="28" w:type="dxa"/>
          <w:right w:w="28" w:type="dxa"/>
        </w:tblCellMar>
      </w:tblPr>
      <w:tblGrid>
        <w:gridCol w:w="750"/>
        <w:gridCol w:w="2122"/>
        <w:gridCol w:w="2658"/>
        <w:gridCol w:w="4834"/>
      </w:tblGrid>
      <w:tr>
        <w:trPr>
          <w:tblHeader w:val="true"/>
        </w:trPr>
        <w:tc>
          <w:tcPr>
            <w:tcW w:w="750" w:type="dxa"/>
            <w:tcBorders/>
            <w:vAlign w:val="center"/>
          </w:tcPr>
          <w:p>
            <w:pPr>
              <w:pStyle w:val="TableHeading"/>
              <w:suppressLineNumbers/>
              <w:spacing w:before="0" w:after="200"/>
              <w:jc w:val="center"/>
              <w:rPr/>
            </w:pPr>
            <w:r>
              <w:rPr/>
              <w:t>Model</w:t>
            </w:r>
          </w:p>
        </w:tc>
        <w:tc>
          <w:tcPr>
            <w:tcW w:w="2122" w:type="dxa"/>
            <w:tcBorders/>
            <w:vAlign w:val="center"/>
          </w:tcPr>
          <w:p>
            <w:pPr>
              <w:pStyle w:val="TableHeading"/>
              <w:suppressLineNumbers/>
              <w:spacing w:before="0" w:after="200"/>
              <w:jc w:val="center"/>
              <w:rPr/>
            </w:pPr>
            <w:r>
              <w:rPr/>
              <w:t>Key Pattern</w:t>
            </w:r>
          </w:p>
        </w:tc>
        <w:tc>
          <w:tcPr>
            <w:tcW w:w="2658" w:type="dxa"/>
            <w:tcBorders/>
            <w:vAlign w:val="center"/>
          </w:tcPr>
          <w:p>
            <w:pPr>
              <w:pStyle w:val="TableHeading"/>
              <w:suppressLineNumbers/>
              <w:spacing w:before="0" w:after="200"/>
              <w:jc w:val="center"/>
              <w:rPr/>
            </w:pPr>
            <w:r>
              <w:rPr/>
              <w:t>What Stands Out</w:t>
            </w:r>
          </w:p>
        </w:tc>
        <w:tc>
          <w:tcPr>
            <w:tcW w:w="4834" w:type="dxa"/>
            <w:tcBorders/>
            <w:vAlign w:val="center"/>
          </w:tcPr>
          <w:p>
            <w:pPr>
              <w:pStyle w:val="TableHeading"/>
              <w:suppressLineNumbers/>
              <w:spacing w:before="0" w:after="200"/>
              <w:jc w:val="center"/>
              <w:rPr/>
            </w:pPr>
            <w:r>
              <w:rPr/>
              <w:t>Implication</w:t>
            </w:r>
          </w:p>
        </w:tc>
      </w:tr>
      <w:tr>
        <w:trPr/>
        <w:tc>
          <w:tcPr>
            <w:tcW w:w="750" w:type="dxa"/>
            <w:tcBorders/>
            <w:vAlign w:val="center"/>
          </w:tcPr>
          <w:p>
            <w:pPr>
              <w:pStyle w:val="TableContents"/>
              <w:widowControl w:val="false"/>
              <w:suppressLineNumbers/>
              <w:spacing w:before="0" w:after="200"/>
              <w:rPr/>
            </w:pPr>
            <w:r>
              <w:rPr/>
              <w:t>C310</w:t>
            </w:r>
          </w:p>
        </w:tc>
        <w:tc>
          <w:tcPr>
            <w:tcW w:w="2122" w:type="dxa"/>
            <w:tcBorders/>
            <w:vAlign w:val="center"/>
          </w:tcPr>
          <w:p>
            <w:pPr>
              <w:pStyle w:val="TableContents"/>
              <w:widowControl w:val="false"/>
              <w:suppressLineNumbers/>
              <w:spacing w:before="0" w:after="200"/>
              <w:rPr/>
            </w:pPr>
            <w:r>
              <w:rPr/>
              <w:t>Checklist discipline</w:t>
            </w:r>
          </w:p>
        </w:tc>
        <w:tc>
          <w:tcPr>
            <w:tcW w:w="2658" w:type="dxa"/>
            <w:tcBorders/>
            <w:vAlign w:val="center"/>
          </w:tcPr>
          <w:p>
            <w:pPr>
              <w:pStyle w:val="TableContents"/>
              <w:widowControl w:val="false"/>
              <w:suppressLineNumbers/>
              <w:spacing w:before="0" w:after="200"/>
              <w:rPr/>
            </w:pPr>
            <w:r>
              <w:rPr/>
              <w:t>Slightly higher than fleet average</w:t>
            </w:r>
          </w:p>
        </w:tc>
        <w:tc>
          <w:tcPr>
            <w:tcW w:w="4834" w:type="dxa"/>
            <w:tcBorders/>
            <w:vAlign w:val="center"/>
          </w:tcPr>
          <w:p>
            <w:pPr>
              <w:pStyle w:val="TableContents"/>
              <w:widowControl w:val="false"/>
              <w:suppressLineNumbers/>
              <w:spacing w:before="0" w:after="200"/>
              <w:rPr/>
            </w:pPr>
            <w:r>
              <w:rPr/>
              <w:t>Reinforce checklist use and procedural consistency</w:t>
            </w:r>
          </w:p>
        </w:tc>
      </w:tr>
      <w:tr>
        <w:trPr/>
        <w:tc>
          <w:tcPr>
            <w:tcW w:w="750" w:type="dxa"/>
            <w:tcBorders/>
            <w:vAlign w:val="center"/>
          </w:tcPr>
          <w:p>
            <w:pPr>
              <w:pStyle w:val="TableContents"/>
              <w:widowControl w:val="false"/>
              <w:suppressLineNumbers/>
              <w:spacing w:before="0" w:after="200"/>
              <w:rPr/>
            </w:pPr>
            <w:r>
              <w:rPr/>
              <w:t>C310</w:t>
            </w:r>
          </w:p>
        </w:tc>
        <w:tc>
          <w:tcPr>
            <w:tcW w:w="2122" w:type="dxa"/>
            <w:tcBorders/>
            <w:vAlign w:val="center"/>
          </w:tcPr>
          <w:p>
            <w:pPr>
              <w:pStyle w:val="TableContents"/>
              <w:widowControl w:val="false"/>
              <w:suppressLineNumbers/>
              <w:spacing w:before="0" w:after="200"/>
              <w:rPr/>
            </w:pPr>
            <w:r>
              <w:rPr/>
              <w:t>Low time in type</w:t>
            </w:r>
          </w:p>
        </w:tc>
        <w:tc>
          <w:tcPr>
            <w:tcW w:w="2658" w:type="dxa"/>
            <w:tcBorders/>
            <w:vAlign w:val="center"/>
          </w:tcPr>
          <w:p>
            <w:pPr>
              <w:pStyle w:val="TableContents"/>
              <w:widowControl w:val="false"/>
              <w:suppressLineNumbers/>
              <w:spacing w:before="0" w:after="200"/>
              <w:rPr/>
            </w:pPr>
            <w:r>
              <w:rPr/>
              <w:t>Above fleet average</w:t>
            </w:r>
          </w:p>
        </w:tc>
        <w:tc>
          <w:tcPr>
            <w:tcW w:w="4834" w:type="dxa"/>
            <w:tcBorders/>
            <w:vAlign w:val="center"/>
          </w:tcPr>
          <w:p>
            <w:pPr>
              <w:pStyle w:val="TableContents"/>
              <w:widowControl w:val="false"/>
              <w:suppressLineNumbers/>
              <w:spacing w:before="0" w:after="200"/>
              <w:rPr/>
            </w:pPr>
            <w:r>
              <w:rPr/>
              <w:t>Strengthen transition and type-specific training</w:t>
            </w:r>
          </w:p>
        </w:tc>
      </w:tr>
      <w:tr>
        <w:trPr/>
        <w:tc>
          <w:tcPr>
            <w:tcW w:w="750" w:type="dxa"/>
            <w:tcBorders/>
            <w:vAlign w:val="center"/>
          </w:tcPr>
          <w:p>
            <w:pPr>
              <w:pStyle w:val="TableContents"/>
              <w:widowControl w:val="false"/>
              <w:suppressLineNumbers/>
              <w:spacing w:before="0" w:after="200"/>
              <w:rPr/>
            </w:pPr>
            <w:r>
              <w:rPr/>
              <w:t>C310</w:t>
            </w:r>
          </w:p>
        </w:tc>
        <w:tc>
          <w:tcPr>
            <w:tcW w:w="2122" w:type="dxa"/>
            <w:tcBorders/>
            <w:vAlign w:val="center"/>
          </w:tcPr>
          <w:p>
            <w:pPr>
              <w:pStyle w:val="TableContents"/>
              <w:widowControl w:val="false"/>
              <w:suppressLineNumbers/>
              <w:spacing w:before="0" w:after="200"/>
              <w:rPr/>
            </w:pPr>
            <w:r>
              <w:rPr/>
              <w:t>Single-engine assumptions</w:t>
            </w:r>
          </w:p>
        </w:tc>
        <w:tc>
          <w:tcPr>
            <w:tcW w:w="2658" w:type="dxa"/>
            <w:tcBorders/>
            <w:vAlign w:val="center"/>
          </w:tcPr>
          <w:p>
            <w:pPr>
              <w:pStyle w:val="TableContents"/>
              <w:widowControl w:val="false"/>
              <w:suppressLineNumbers/>
              <w:spacing w:before="0" w:after="200"/>
              <w:rPr/>
            </w:pPr>
            <w:r>
              <w:rPr/>
              <w:t>Above fleet average</w:t>
            </w:r>
          </w:p>
        </w:tc>
        <w:tc>
          <w:tcPr>
            <w:tcW w:w="4834" w:type="dxa"/>
            <w:tcBorders/>
            <w:vAlign w:val="center"/>
          </w:tcPr>
          <w:p>
            <w:pPr>
              <w:pStyle w:val="TableContents"/>
              <w:widowControl w:val="false"/>
              <w:suppressLineNumbers/>
              <w:spacing w:before="0" w:after="200"/>
              <w:rPr/>
            </w:pPr>
            <w:r>
              <w:rPr/>
              <w:t>Emphasize realistic single-engine performance training</w:t>
            </w:r>
          </w:p>
        </w:tc>
      </w:tr>
      <w:tr>
        <w:trPr/>
        <w:tc>
          <w:tcPr>
            <w:tcW w:w="750" w:type="dxa"/>
            <w:tcBorders/>
            <w:vAlign w:val="center"/>
          </w:tcPr>
          <w:p>
            <w:pPr>
              <w:pStyle w:val="TableContents"/>
              <w:widowControl w:val="false"/>
              <w:suppressLineNumbers/>
              <w:spacing w:before="0" w:after="200"/>
              <w:rPr/>
            </w:pPr>
            <w:r>
              <w:rPr/>
              <w:t>C340</w:t>
            </w:r>
          </w:p>
        </w:tc>
        <w:tc>
          <w:tcPr>
            <w:tcW w:w="2122" w:type="dxa"/>
            <w:tcBorders/>
            <w:vAlign w:val="center"/>
          </w:tcPr>
          <w:p>
            <w:pPr>
              <w:pStyle w:val="TableContents"/>
              <w:widowControl w:val="false"/>
              <w:suppressLineNumbers/>
              <w:spacing w:before="0" w:after="200"/>
              <w:rPr/>
            </w:pPr>
            <w:r>
              <w:rPr/>
              <w:t>Assumption of performance</w:t>
            </w:r>
          </w:p>
        </w:tc>
        <w:tc>
          <w:tcPr>
            <w:tcW w:w="2658" w:type="dxa"/>
            <w:tcBorders/>
            <w:vAlign w:val="center"/>
          </w:tcPr>
          <w:p>
            <w:pPr>
              <w:pStyle w:val="TableContents"/>
              <w:widowControl w:val="false"/>
              <w:suppressLineNumbers/>
              <w:spacing w:before="0" w:after="200"/>
              <w:rPr/>
            </w:pPr>
            <w:r>
              <w:rPr/>
              <w:t>Significantly higher than fleet</w:t>
            </w:r>
          </w:p>
        </w:tc>
        <w:tc>
          <w:tcPr>
            <w:tcW w:w="4834" w:type="dxa"/>
            <w:tcBorders/>
            <w:vAlign w:val="center"/>
          </w:tcPr>
          <w:p>
            <w:pPr>
              <w:pStyle w:val="TableContents"/>
              <w:widowControl w:val="false"/>
              <w:suppressLineNumbers/>
              <w:spacing w:before="0" w:after="200"/>
              <w:rPr/>
            </w:pPr>
            <w:r>
              <w:rPr/>
              <w:t>Focus on conservative performance decision-making</w:t>
            </w:r>
          </w:p>
        </w:tc>
      </w:tr>
      <w:tr>
        <w:trPr/>
        <w:tc>
          <w:tcPr>
            <w:tcW w:w="750" w:type="dxa"/>
            <w:tcBorders/>
            <w:vAlign w:val="center"/>
          </w:tcPr>
          <w:p>
            <w:pPr>
              <w:pStyle w:val="TableContents"/>
              <w:widowControl w:val="false"/>
              <w:suppressLineNumbers/>
              <w:spacing w:before="0" w:after="200"/>
              <w:rPr/>
            </w:pPr>
            <w:r>
              <w:rPr/>
              <w:t>C340</w:t>
            </w:r>
          </w:p>
        </w:tc>
        <w:tc>
          <w:tcPr>
            <w:tcW w:w="2122" w:type="dxa"/>
            <w:tcBorders/>
            <w:vAlign w:val="center"/>
          </w:tcPr>
          <w:p>
            <w:pPr>
              <w:pStyle w:val="TableContents"/>
              <w:widowControl w:val="false"/>
              <w:suppressLineNumbers/>
              <w:spacing w:before="0" w:after="200"/>
              <w:rPr/>
            </w:pPr>
            <w:r>
              <w:rPr/>
              <w:t>CFIT (IMC/approach)</w:t>
            </w:r>
          </w:p>
        </w:tc>
        <w:tc>
          <w:tcPr>
            <w:tcW w:w="2658" w:type="dxa"/>
            <w:tcBorders/>
            <w:vAlign w:val="center"/>
          </w:tcPr>
          <w:p>
            <w:pPr>
              <w:pStyle w:val="TableContents"/>
              <w:widowControl w:val="false"/>
              <w:suppressLineNumbers/>
              <w:spacing w:before="0" w:after="200"/>
              <w:rPr/>
            </w:pPr>
            <w:r>
              <w:rPr/>
              <w:t>Elevated vs fleet</w:t>
            </w:r>
          </w:p>
        </w:tc>
        <w:tc>
          <w:tcPr>
            <w:tcW w:w="4834" w:type="dxa"/>
            <w:tcBorders/>
            <w:vAlign w:val="center"/>
          </w:tcPr>
          <w:p>
            <w:pPr>
              <w:pStyle w:val="TableContents"/>
              <w:widowControl w:val="false"/>
              <w:suppressLineNumbers/>
              <w:spacing w:before="0" w:after="200"/>
              <w:rPr/>
            </w:pPr>
            <w:r>
              <w:rPr/>
              <w:t>Emphasize approach discipline and terrain/IMC awareness</w:t>
            </w:r>
          </w:p>
        </w:tc>
      </w:tr>
      <w:tr>
        <w:trPr/>
        <w:tc>
          <w:tcPr>
            <w:tcW w:w="750" w:type="dxa"/>
            <w:tcBorders/>
            <w:vAlign w:val="center"/>
          </w:tcPr>
          <w:p>
            <w:pPr>
              <w:pStyle w:val="TableContents"/>
              <w:widowControl w:val="false"/>
              <w:suppressLineNumbers/>
              <w:spacing w:before="0" w:after="200"/>
              <w:rPr/>
            </w:pPr>
            <w:r>
              <w:rPr/>
              <w:t>C402</w:t>
            </w:r>
          </w:p>
        </w:tc>
        <w:tc>
          <w:tcPr>
            <w:tcW w:w="2122" w:type="dxa"/>
            <w:tcBorders/>
            <w:vAlign w:val="center"/>
          </w:tcPr>
          <w:p>
            <w:pPr>
              <w:pStyle w:val="TableContents"/>
              <w:widowControl w:val="false"/>
              <w:suppressLineNumbers/>
              <w:spacing w:before="0" w:after="200"/>
              <w:rPr/>
            </w:pPr>
            <w:r>
              <w:rPr/>
              <w:t>Plan continuation bias</w:t>
            </w:r>
          </w:p>
        </w:tc>
        <w:tc>
          <w:tcPr>
            <w:tcW w:w="2658" w:type="dxa"/>
            <w:tcBorders/>
            <w:vAlign w:val="center"/>
          </w:tcPr>
          <w:p>
            <w:pPr>
              <w:pStyle w:val="TableContents"/>
              <w:widowControl w:val="false"/>
              <w:suppressLineNumbers/>
              <w:spacing w:before="0" w:after="200"/>
              <w:rPr/>
            </w:pPr>
            <w:r>
              <w:rPr/>
              <w:t>Higher than fleet</w:t>
            </w:r>
          </w:p>
        </w:tc>
        <w:tc>
          <w:tcPr>
            <w:tcW w:w="4834" w:type="dxa"/>
            <w:tcBorders/>
            <w:vAlign w:val="center"/>
          </w:tcPr>
          <w:p>
            <w:pPr>
              <w:pStyle w:val="TableContents"/>
              <w:widowControl w:val="false"/>
              <w:suppressLineNumbers/>
              <w:spacing w:before="0" w:after="200"/>
              <w:rPr/>
            </w:pPr>
            <w:r>
              <w:rPr/>
              <w:t>Reinforce decision triggers and early go-around/diversion</w:t>
            </w:r>
          </w:p>
        </w:tc>
      </w:tr>
      <w:tr>
        <w:trPr/>
        <w:tc>
          <w:tcPr>
            <w:tcW w:w="750" w:type="dxa"/>
            <w:tcBorders/>
            <w:vAlign w:val="center"/>
          </w:tcPr>
          <w:p>
            <w:pPr>
              <w:pStyle w:val="TableContents"/>
              <w:widowControl w:val="false"/>
              <w:suppressLineNumbers/>
              <w:spacing w:before="0" w:after="200"/>
              <w:rPr/>
            </w:pPr>
            <w:r>
              <w:rPr/>
              <w:t>C402</w:t>
            </w:r>
          </w:p>
        </w:tc>
        <w:tc>
          <w:tcPr>
            <w:tcW w:w="2122" w:type="dxa"/>
            <w:tcBorders/>
            <w:vAlign w:val="center"/>
          </w:tcPr>
          <w:p>
            <w:pPr>
              <w:pStyle w:val="TableContents"/>
              <w:widowControl w:val="false"/>
              <w:suppressLineNumbers/>
              <w:spacing w:before="0" w:after="200"/>
              <w:rPr/>
            </w:pPr>
            <w:r>
              <w:rPr/>
              <w:t>Landing gear events</w:t>
            </w:r>
          </w:p>
        </w:tc>
        <w:tc>
          <w:tcPr>
            <w:tcW w:w="2658" w:type="dxa"/>
            <w:tcBorders/>
            <w:vAlign w:val="center"/>
          </w:tcPr>
          <w:p>
            <w:pPr>
              <w:pStyle w:val="TableContents"/>
              <w:widowControl w:val="false"/>
              <w:suppressLineNumbers/>
              <w:spacing w:before="0" w:after="200"/>
              <w:rPr/>
            </w:pPr>
            <w:r>
              <w:rPr/>
              <w:t>Strongly concentrated</w:t>
            </w:r>
          </w:p>
        </w:tc>
        <w:tc>
          <w:tcPr>
            <w:tcW w:w="4834" w:type="dxa"/>
            <w:tcBorders/>
            <w:vAlign w:val="center"/>
          </w:tcPr>
          <w:p>
            <w:pPr>
              <w:pStyle w:val="TableContents"/>
              <w:widowControl w:val="false"/>
              <w:suppressLineNumbers/>
              <w:spacing w:before="0" w:after="200"/>
              <w:rPr/>
            </w:pPr>
            <w:r>
              <w:rPr/>
              <w:t>Focus on gear procedures and maintenance reliability</w:t>
            </w:r>
          </w:p>
        </w:tc>
      </w:tr>
      <w:tr>
        <w:trPr/>
        <w:tc>
          <w:tcPr>
            <w:tcW w:w="750" w:type="dxa"/>
            <w:tcBorders/>
            <w:vAlign w:val="center"/>
          </w:tcPr>
          <w:p>
            <w:pPr>
              <w:pStyle w:val="TableContents"/>
              <w:widowControl w:val="false"/>
              <w:suppressLineNumbers/>
              <w:spacing w:before="0" w:after="200"/>
              <w:rPr/>
            </w:pPr>
            <w:r>
              <w:rPr/>
              <w:t>C402</w:t>
            </w:r>
          </w:p>
        </w:tc>
        <w:tc>
          <w:tcPr>
            <w:tcW w:w="2122" w:type="dxa"/>
            <w:tcBorders/>
            <w:vAlign w:val="center"/>
          </w:tcPr>
          <w:p>
            <w:pPr>
              <w:pStyle w:val="TableContents"/>
              <w:widowControl w:val="false"/>
              <w:suppressLineNumbers/>
              <w:spacing w:before="0" w:after="200"/>
              <w:rPr/>
            </w:pPr>
            <w:r>
              <w:rPr/>
              <w:t>Part 135 operations</w:t>
            </w:r>
          </w:p>
        </w:tc>
        <w:tc>
          <w:tcPr>
            <w:tcW w:w="2658" w:type="dxa"/>
            <w:tcBorders/>
            <w:vAlign w:val="center"/>
          </w:tcPr>
          <w:p>
            <w:pPr>
              <w:pStyle w:val="TableContents"/>
              <w:widowControl w:val="false"/>
              <w:suppressLineNumbers/>
              <w:spacing w:before="0" w:after="200"/>
              <w:rPr/>
            </w:pPr>
            <w:r>
              <w:rPr/>
              <w:t>Dominates dataset</w:t>
            </w:r>
          </w:p>
        </w:tc>
        <w:tc>
          <w:tcPr>
            <w:tcW w:w="4834" w:type="dxa"/>
            <w:tcBorders/>
            <w:vAlign w:val="center"/>
          </w:tcPr>
          <w:p>
            <w:pPr>
              <w:pStyle w:val="TableContents"/>
              <w:widowControl w:val="false"/>
              <w:suppressLineNumbers/>
              <w:spacing w:before="0" w:after="200"/>
              <w:rPr/>
            </w:pPr>
            <w:r>
              <w:rPr/>
              <w:t>Interpret separately; operational context differs from Part 91</w:t>
            </w:r>
          </w:p>
        </w:tc>
      </w:tr>
    </w:tbl>
    <w:p>
      <w:pPr>
        <w:pStyle w:val="Normal"/>
        <w:spacing w:before="0" w:after="0"/>
        <w:rPr>
          <w:rFonts w:ascii="Courier New" w:hAnsi="Courier New"/>
          <w:sz w:val="14"/>
        </w:rPr>
      </w:pPr>
      <w:r>
        <w:rPr>
          <w:rFonts w:ascii="Courier New" w:hAnsi="Courier New"/>
          <w:sz w:val="14"/>
        </w:rPr>
      </w:r>
    </w:p>
    <w:p>
      <w:pPr>
        <w:pStyle w:val="Normal"/>
        <w:rPr/>
      </w:pPr>
      <w:r>
        <w:rPr/>
      </w:r>
    </w:p>
    <w:p>
      <w:pPr>
        <w:pStyle w:val="Heading1"/>
        <w:rPr/>
      </w:pPr>
      <w:r>
        <w:rPr/>
        <w:t>Interpretation by Causal Factor Group</w:t>
      </w:r>
    </w:p>
    <w:p>
      <w:pPr>
        <w:pStyle w:val="Heading2"/>
        <w:rPr/>
      </w:pPr>
      <w:r>
        <w:rPr/>
        <w:t>Human / Cognitive Factors</w:t>
      </w:r>
    </w:p>
    <w:p>
      <w:pPr>
        <w:pStyle w:val="Normal"/>
        <w:spacing w:before="0" w:after="120"/>
        <w:rPr/>
      </w:pPr>
      <w:r>
        <w:rPr/>
        <w:t>Plan continuation bias and checklist noncompliance are the two most frequent coded factors in the current fleet dataset. They appear across multiple phases and event types, which suggests that they are not isolated to one aircraft model or one type of flying. These are highly actionable because they can be addressed through standard operating habits, personal minimums, explicit stop/go criteria, and recurrent scenario training.</w:t>
      </w:r>
    </w:p>
    <w:p>
      <w:pPr>
        <w:pStyle w:val="ListBullet"/>
        <w:numPr>
          <w:ilvl w:val="0"/>
          <w:numId w:val="1"/>
        </w:numPr>
        <w:rPr/>
      </w:pPr>
      <w:r>
        <w:rPr/>
        <w:t>Plan continuation bias should be addressed through predetermined decision triggers, not vague advice to “use better judgment.”</w:t>
      </w:r>
    </w:p>
    <w:p>
      <w:pPr>
        <w:pStyle w:val="ListBullet"/>
        <w:numPr>
          <w:ilvl w:val="0"/>
          <w:numId w:val="1"/>
        </w:numPr>
        <w:rPr/>
      </w:pPr>
      <w:r>
        <w:rPr/>
        <w:t>Checklist noncompliance should be treated as a procedural reliability problem, especially for landing gear, fuel management, and abnormal procedures.</w:t>
      </w:r>
    </w:p>
    <w:p>
      <w:pPr>
        <w:pStyle w:val="ListBullet"/>
        <w:numPr>
          <w:ilvl w:val="0"/>
          <w:numId w:val="1"/>
        </w:numPr>
        <w:rPr/>
      </w:pPr>
      <w:r>
        <w:rPr/>
        <w:t>Task saturation should be addressed in training by deliberately increasing workload and teaching task shedding, not just by reviewing emergency checklists in isolation.</w:t>
      </w:r>
    </w:p>
    <w:p>
      <w:pPr>
        <w:pStyle w:val="Heading2"/>
        <w:rPr/>
      </w:pPr>
      <w:r>
        <w:rPr/>
        <w:t>Maintenance / Mechanical Factors</w:t>
      </w:r>
    </w:p>
    <w:p>
      <w:pPr>
        <w:pStyle w:val="Normal"/>
        <w:spacing w:before="0" w:after="120"/>
        <w:rPr/>
      </w:pPr>
      <w:r>
        <w:rPr/>
        <w:t>Maintenance-induced failure, aging aircraft degradation, incomplete troubleshooting, and deferred discrepancy normalization together form a repeatable maintenance standardization opportunity. The highest-value intervention is not simply more maintenance; it is more reliable post-maintenance verification, better troubleshooting discipline, and more explicit attention to aging systems that can produce intermittent or configuration-sensitive failures.</w:t>
      </w:r>
    </w:p>
    <w:p>
      <w:pPr>
        <w:pStyle w:val="ListBullet"/>
        <w:numPr>
          <w:ilvl w:val="0"/>
          <w:numId w:val="1"/>
        </w:numPr>
        <w:rPr/>
      </w:pPr>
      <w:r>
        <w:rPr/>
        <w:t>Landing gear systems deserve special attention because landing gear malfunctions are the most frequent event type in the current fleet dataset.</w:t>
      </w:r>
    </w:p>
    <w:p>
      <w:pPr>
        <w:pStyle w:val="ListBullet"/>
        <w:numPr>
          <w:ilvl w:val="0"/>
          <w:numId w:val="1"/>
        </w:numPr>
        <w:rPr/>
      </w:pPr>
      <w:r>
        <w:rPr/>
        <w:t>Recent work should trigger heightened verification discipline, including functional checks and careful return-to-service review.</w:t>
      </w:r>
    </w:p>
    <w:p>
      <w:pPr>
        <w:pStyle w:val="ListBullet"/>
        <w:numPr>
          <w:ilvl w:val="0"/>
          <w:numId w:val="1"/>
        </w:numPr>
        <w:rPr/>
      </w:pPr>
      <w:r>
        <w:rPr/>
        <w:t>Troubleshooting should be documented as a structured process, especially when prior corrective actions have not resolved a discrepancy.</w:t>
      </w:r>
    </w:p>
    <w:p>
      <w:pPr>
        <w:pStyle w:val="Heading2"/>
        <w:rPr/>
      </w:pPr>
      <w:r>
        <w:rPr/>
        <w:t>Performance / Operational Factors</w:t>
      </w:r>
    </w:p>
    <w:p>
      <w:pPr>
        <w:pStyle w:val="Normal"/>
        <w:spacing w:before="0" w:after="120"/>
        <w:rPr/>
      </w:pPr>
      <w:r>
        <w:rPr/>
        <w:t>Performance factors are less frequent than checklist or decision factors by count, but they are disproportionately important because they appear in high-consequence scenarios such as CFIT, icing, and single-engine performance assumptions. Training should emphasize conservative performance margins rather than best-case book performance, particularly in IMC, icing, mountainous terrain, high density altitude, and engine-out scenarios.</w:t>
      </w:r>
    </w:p>
    <w:p>
      <w:pPr>
        <w:pStyle w:val="ListBullet"/>
        <w:numPr>
          <w:ilvl w:val="0"/>
          <w:numId w:val="1"/>
        </w:numPr>
        <w:rPr/>
      </w:pPr>
      <w:r>
        <w:rPr/>
        <w:t>Single-engine performance training should include degraded climb, terrain, weather, and workload realities.</w:t>
      </w:r>
    </w:p>
    <w:p>
      <w:pPr>
        <w:pStyle w:val="ListBullet"/>
        <w:numPr>
          <w:ilvl w:val="0"/>
          <w:numId w:val="1"/>
        </w:numPr>
        <w:rPr/>
      </w:pPr>
      <w:r>
        <w:rPr/>
        <w:t>Icing training should include system management, exit strategy, alternate induction/engine anomaly handling, and early diversion discipline.</w:t>
      </w:r>
    </w:p>
    <w:p>
      <w:pPr>
        <w:pStyle w:val="ListBullet"/>
        <w:numPr>
          <w:ilvl w:val="0"/>
          <w:numId w:val="1"/>
        </w:numPr>
        <w:rPr/>
      </w:pPr>
      <w:r>
        <w:rPr/>
        <w:t>Density altitude appears infrequently in the current coded factor set, but it should remain part of training because under-recognition can be severe even when infrequent.</w:t>
      </w:r>
    </w:p>
    <w:p>
      <w:pPr>
        <w:pStyle w:val="Heading2"/>
        <w:rPr/>
      </w:pPr>
      <w:r>
        <w:rPr/>
        <w:t>Experience-Related Factors</w:t>
      </w:r>
    </w:p>
    <w:p>
      <w:pPr>
        <w:pStyle w:val="Normal"/>
        <w:spacing w:before="0" w:after="120"/>
        <w:rPr/>
      </w:pPr>
      <w:r>
        <w:rPr/>
        <w:t>Low time in type and informal or incomplete training are meaningful fleet-level factors. These are especially important in owner-flown and transition contexts because a pilot can have substantial total time while still lacking model-specific experience. The committee should frame transition training as a system risk control, not as a remedial activity for inexperienced pilots.</w:t>
      </w:r>
    </w:p>
    <w:p>
      <w:pPr>
        <w:pStyle w:val="ListBullet"/>
        <w:numPr>
          <w:ilvl w:val="0"/>
          <w:numId w:val="1"/>
        </w:numPr>
        <w:rPr/>
      </w:pPr>
      <w:r>
        <w:rPr/>
        <w:t>Require or strongly encourage structured transition training after purchase, major avionics change, engine conversion, or long layoff.</w:t>
      </w:r>
    </w:p>
    <w:p>
      <w:pPr>
        <w:pStyle w:val="ListBullet"/>
        <w:numPr>
          <w:ilvl w:val="0"/>
          <w:numId w:val="1"/>
        </w:numPr>
        <w:rPr/>
      </w:pPr>
      <w:r>
        <w:rPr/>
        <w:t>Teach model-specific emergency workflows, especially gear, fuel, engine-out, and pressurization/turbocharging where applicable.</w:t>
      </w:r>
    </w:p>
    <w:p>
      <w:pPr>
        <w:pStyle w:val="ListBullet"/>
        <w:numPr>
          <w:ilvl w:val="0"/>
          <w:numId w:val="1"/>
        </w:numPr>
        <w:rPr/>
      </w:pPr>
      <w:r>
        <w:rPr/>
        <w:t>Use time-in-type and recency as briefing inputs before high-workload missions.</w:t>
      </w:r>
    </w:p>
    <w:p>
      <w:pPr>
        <w:pStyle w:val="Heading1"/>
        <w:rPr/>
      </w:pPr>
      <w:r>
        <w:rPr/>
        <w:t>Ranked Intervention Priorities Based on the Data</w:t>
      </w:r>
    </w:p>
    <w:p>
      <w:pPr>
        <w:pStyle w:val="Normal"/>
        <w:spacing w:before="0" w:after="120"/>
        <w:rPr/>
      </w:pPr>
      <w:r>
        <w:rPr/>
        <w:t>The following priorities are ranked by a blend of observed frequency, severity relevance, intervention feasibility, and committee influence. The ranking is not an exposure-adjusted risk ranking. It is a practical ordering for where committee effort is most likely to translate structured accident data into safety improvement.</w:t>
      </w:r>
    </w:p>
    <w:p>
      <w:pPr>
        <w:pStyle w:val="Normal"/>
        <w:spacing w:before="0" w:after="0"/>
        <w:rPr>
          <w:rFonts w:ascii="Courier New" w:hAnsi="Courier New"/>
          <w:sz w:val="14"/>
        </w:rPr>
      </w:pPr>
      <w:r>
        <w:rPr>
          <w:rFonts w:ascii="Courier New" w:hAnsi="Courier New"/>
          <w:sz w:val="14"/>
        </w:rPr>
      </w:r>
    </w:p>
    <w:tbl>
      <w:tblPr>
        <w:tblW w:w="10365" w:type="dxa"/>
        <w:jc w:val="left"/>
        <w:tblInd w:w="28" w:type="dxa"/>
        <w:tblLayout w:type="fixed"/>
        <w:tblCellMar>
          <w:top w:w="28" w:type="dxa"/>
          <w:left w:w="28" w:type="dxa"/>
          <w:bottom w:w="28" w:type="dxa"/>
          <w:right w:w="28" w:type="dxa"/>
        </w:tblCellMar>
      </w:tblPr>
      <w:tblGrid>
        <w:gridCol w:w="570"/>
        <w:gridCol w:w="1657"/>
        <w:gridCol w:w="3512"/>
        <w:gridCol w:w="4625"/>
      </w:tblGrid>
      <w:tr>
        <w:trPr>
          <w:tblHeader w:val="true"/>
        </w:trPr>
        <w:tc>
          <w:tcPr>
            <w:tcW w:w="570" w:type="dxa"/>
            <w:tcBorders/>
            <w:vAlign w:val="center"/>
          </w:tcPr>
          <w:p>
            <w:pPr>
              <w:pStyle w:val="TableHeading"/>
              <w:suppressLineNumbers/>
              <w:spacing w:before="0" w:after="200"/>
              <w:jc w:val="center"/>
              <w:rPr/>
            </w:pPr>
            <w:r>
              <w:rPr/>
              <w:t>Rank</w:t>
            </w:r>
          </w:p>
        </w:tc>
        <w:tc>
          <w:tcPr>
            <w:tcW w:w="1657" w:type="dxa"/>
            <w:tcBorders/>
            <w:vAlign w:val="center"/>
          </w:tcPr>
          <w:p>
            <w:pPr>
              <w:pStyle w:val="TableHeading"/>
              <w:suppressLineNumbers/>
              <w:spacing w:before="0" w:after="200"/>
              <w:jc w:val="center"/>
              <w:rPr/>
            </w:pPr>
            <w:r>
              <w:rPr/>
              <w:t>Priority Area</w:t>
            </w:r>
          </w:p>
        </w:tc>
        <w:tc>
          <w:tcPr>
            <w:tcW w:w="3512" w:type="dxa"/>
            <w:tcBorders/>
            <w:vAlign w:val="center"/>
          </w:tcPr>
          <w:p>
            <w:pPr>
              <w:pStyle w:val="TableHeading"/>
              <w:suppressLineNumbers/>
              <w:spacing w:before="0" w:after="200"/>
              <w:jc w:val="center"/>
              <w:rPr/>
            </w:pPr>
            <w:r>
              <w:rPr/>
              <w:t>Why It Matters</w:t>
            </w:r>
          </w:p>
        </w:tc>
        <w:tc>
          <w:tcPr>
            <w:tcW w:w="4625" w:type="dxa"/>
            <w:tcBorders/>
            <w:vAlign w:val="center"/>
          </w:tcPr>
          <w:p>
            <w:pPr>
              <w:pStyle w:val="TableHeading"/>
              <w:suppressLineNumbers/>
              <w:spacing w:before="0" w:after="200"/>
              <w:jc w:val="center"/>
              <w:rPr/>
            </w:pPr>
            <w:r>
              <w:rPr/>
              <w:t>Recommended Action</w:t>
            </w:r>
          </w:p>
        </w:tc>
      </w:tr>
      <w:tr>
        <w:trPr/>
        <w:tc>
          <w:tcPr>
            <w:tcW w:w="570" w:type="dxa"/>
            <w:tcBorders/>
            <w:vAlign w:val="center"/>
          </w:tcPr>
          <w:p>
            <w:pPr>
              <w:pStyle w:val="TableContents"/>
              <w:widowControl w:val="false"/>
              <w:suppressLineNumbers/>
              <w:spacing w:before="0" w:after="200"/>
              <w:rPr/>
            </w:pPr>
            <w:r>
              <w:rPr/>
              <w:t>1</w:t>
            </w:r>
          </w:p>
        </w:tc>
        <w:tc>
          <w:tcPr>
            <w:tcW w:w="1657" w:type="dxa"/>
            <w:tcBorders/>
            <w:vAlign w:val="center"/>
          </w:tcPr>
          <w:p>
            <w:pPr>
              <w:pStyle w:val="TableContents"/>
              <w:widowControl w:val="false"/>
              <w:suppressLineNumbers/>
              <w:spacing w:before="0" w:after="200"/>
              <w:rPr/>
            </w:pPr>
            <w:r>
              <w:rPr>
                <w:rStyle w:val="Strong"/>
              </w:rPr>
              <w:t>Checklist Discipline</w:t>
            </w:r>
          </w:p>
        </w:tc>
        <w:tc>
          <w:tcPr>
            <w:tcW w:w="3512" w:type="dxa"/>
            <w:tcBorders/>
            <w:vAlign w:val="center"/>
          </w:tcPr>
          <w:p>
            <w:pPr>
              <w:pStyle w:val="TableContents"/>
              <w:widowControl w:val="false"/>
              <w:suppressLineNumbers/>
              <w:spacing w:before="0" w:after="200"/>
              <w:rPr/>
            </w:pPr>
            <w:r>
              <w:rPr/>
              <w:t>Most frequent factor; linked to gear issues, fuel events, and multiple phases of flight</w:t>
            </w:r>
          </w:p>
        </w:tc>
        <w:tc>
          <w:tcPr>
            <w:tcW w:w="4625" w:type="dxa"/>
            <w:tcBorders/>
            <w:vAlign w:val="center"/>
          </w:tcPr>
          <w:p>
            <w:pPr>
              <w:pStyle w:val="TableContents"/>
              <w:widowControl w:val="false"/>
              <w:suppressLineNumbers/>
              <w:spacing w:before="0" w:after="200"/>
              <w:rPr/>
            </w:pPr>
            <w:r>
              <w:rPr/>
              <w:t>Standardize checklist usage (flow + verify or challenge/response); train for use under abnormal and high-workload conditions</w:t>
            </w:r>
          </w:p>
        </w:tc>
      </w:tr>
      <w:tr>
        <w:trPr/>
        <w:tc>
          <w:tcPr>
            <w:tcW w:w="570" w:type="dxa"/>
            <w:tcBorders/>
            <w:vAlign w:val="center"/>
          </w:tcPr>
          <w:p>
            <w:pPr>
              <w:pStyle w:val="TableContents"/>
              <w:widowControl w:val="false"/>
              <w:suppressLineNumbers/>
              <w:spacing w:before="0" w:after="200"/>
              <w:rPr/>
            </w:pPr>
            <w:r>
              <w:rPr/>
              <w:t>2</w:t>
            </w:r>
          </w:p>
        </w:tc>
        <w:tc>
          <w:tcPr>
            <w:tcW w:w="1657" w:type="dxa"/>
            <w:tcBorders/>
            <w:vAlign w:val="center"/>
          </w:tcPr>
          <w:p>
            <w:pPr>
              <w:pStyle w:val="TableContents"/>
              <w:widowControl w:val="false"/>
              <w:suppressLineNumbers/>
              <w:spacing w:before="0" w:after="200"/>
              <w:rPr/>
            </w:pPr>
            <w:r>
              <w:rPr>
                <w:rStyle w:val="Strong"/>
              </w:rPr>
              <w:t>Decision-Making / Plan Continuation Bias</w:t>
            </w:r>
          </w:p>
        </w:tc>
        <w:tc>
          <w:tcPr>
            <w:tcW w:w="3512" w:type="dxa"/>
            <w:tcBorders/>
            <w:vAlign w:val="center"/>
          </w:tcPr>
          <w:p>
            <w:pPr>
              <w:pStyle w:val="TableContents"/>
              <w:widowControl w:val="false"/>
              <w:suppressLineNumbers/>
              <w:spacing w:before="0" w:after="200"/>
              <w:rPr/>
            </w:pPr>
            <w:r>
              <w:rPr/>
              <w:t>Most common overall factor; appears across phases and event types (LOC, CFIT, IMC scenarios)</w:t>
            </w:r>
          </w:p>
        </w:tc>
        <w:tc>
          <w:tcPr>
            <w:tcW w:w="4625" w:type="dxa"/>
            <w:tcBorders/>
            <w:vAlign w:val="center"/>
          </w:tcPr>
          <w:p>
            <w:pPr>
              <w:pStyle w:val="TableContents"/>
              <w:widowControl w:val="false"/>
              <w:suppressLineNumbers/>
              <w:spacing w:before="0" w:after="200"/>
              <w:rPr/>
            </w:pPr>
            <w:r>
              <w:rPr/>
              <w:t>Define clear “hard triggers” for go-around, diversion, exiting IMC/icing, or landing early</w:t>
            </w:r>
          </w:p>
        </w:tc>
      </w:tr>
      <w:tr>
        <w:trPr/>
        <w:tc>
          <w:tcPr>
            <w:tcW w:w="570" w:type="dxa"/>
            <w:tcBorders/>
            <w:vAlign w:val="center"/>
          </w:tcPr>
          <w:p>
            <w:pPr>
              <w:pStyle w:val="TableContents"/>
              <w:widowControl w:val="false"/>
              <w:suppressLineNumbers/>
              <w:spacing w:before="0" w:after="200"/>
              <w:rPr/>
            </w:pPr>
            <w:r>
              <w:rPr/>
              <w:t>3</w:t>
            </w:r>
          </w:p>
        </w:tc>
        <w:tc>
          <w:tcPr>
            <w:tcW w:w="1657" w:type="dxa"/>
            <w:tcBorders/>
            <w:vAlign w:val="center"/>
          </w:tcPr>
          <w:p>
            <w:pPr>
              <w:pStyle w:val="TableContents"/>
              <w:widowControl w:val="false"/>
              <w:suppressLineNumbers/>
              <w:spacing w:before="0" w:after="200"/>
              <w:rPr/>
            </w:pPr>
            <w:r>
              <w:rPr>
                <w:rStyle w:val="Strong"/>
              </w:rPr>
              <w:t>Post-Maintenance Verification</w:t>
            </w:r>
          </w:p>
        </w:tc>
        <w:tc>
          <w:tcPr>
            <w:tcW w:w="3512" w:type="dxa"/>
            <w:tcBorders/>
            <w:vAlign w:val="center"/>
          </w:tcPr>
          <w:p>
            <w:pPr>
              <w:pStyle w:val="TableContents"/>
              <w:widowControl w:val="false"/>
              <w:suppressLineNumbers/>
              <w:spacing w:before="0" w:after="200"/>
              <w:rPr/>
            </w:pPr>
            <w:r>
              <w:rPr/>
              <w:t>Leading maintenance contributor; concentrated in landing gear and landing-phase events</w:t>
            </w:r>
          </w:p>
        </w:tc>
        <w:tc>
          <w:tcPr>
            <w:tcW w:w="4625" w:type="dxa"/>
            <w:tcBorders/>
            <w:vAlign w:val="center"/>
          </w:tcPr>
          <w:p>
            <w:pPr>
              <w:pStyle w:val="TableContents"/>
              <w:widowControl w:val="false"/>
              <w:suppressLineNumbers/>
              <w:spacing w:before="0" w:after="200"/>
              <w:rPr/>
            </w:pPr>
            <w:r>
              <w:rPr/>
              <w:t>Standardize return-to-service checks, especially for gear, fuel, engine controls, and recently disturbed systems</w:t>
            </w:r>
          </w:p>
        </w:tc>
      </w:tr>
      <w:tr>
        <w:trPr/>
        <w:tc>
          <w:tcPr>
            <w:tcW w:w="570" w:type="dxa"/>
            <w:tcBorders/>
            <w:vAlign w:val="center"/>
          </w:tcPr>
          <w:p>
            <w:pPr>
              <w:pStyle w:val="TableContents"/>
              <w:widowControl w:val="false"/>
              <w:suppressLineNumbers/>
              <w:spacing w:before="0" w:after="200"/>
              <w:rPr/>
            </w:pPr>
            <w:r>
              <w:rPr/>
              <w:t>4</w:t>
            </w:r>
          </w:p>
        </w:tc>
        <w:tc>
          <w:tcPr>
            <w:tcW w:w="1657" w:type="dxa"/>
            <w:tcBorders/>
            <w:vAlign w:val="center"/>
          </w:tcPr>
          <w:p>
            <w:pPr>
              <w:pStyle w:val="TableContents"/>
              <w:widowControl w:val="false"/>
              <w:suppressLineNumbers/>
              <w:spacing w:before="0" w:after="200"/>
              <w:rPr/>
            </w:pPr>
            <w:r>
              <w:rPr>
                <w:rStyle w:val="Strong"/>
              </w:rPr>
              <w:t>Type-Specific Training (Low Time in Type)</w:t>
            </w:r>
          </w:p>
        </w:tc>
        <w:tc>
          <w:tcPr>
            <w:tcW w:w="3512" w:type="dxa"/>
            <w:tcBorders/>
            <w:vAlign w:val="center"/>
          </w:tcPr>
          <w:p>
            <w:pPr>
              <w:pStyle w:val="TableContents"/>
              <w:widowControl w:val="false"/>
              <w:suppressLineNumbers/>
              <w:spacing w:before="0" w:after="200"/>
              <w:rPr/>
            </w:pPr>
            <w:r>
              <w:rPr/>
              <w:t>Strongly linked to LOC and CFIT, especially in C310 data</w:t>
            </w:r>
          </w:p>
        </w:tc>
        <w:tc>
          <w:tcPr>
            <w:tcW w:w="4625" w:type="dxa"/>
            <w:tcBorders/>
            <w:vAlign w:val="center"/>
          </w:tcPr>
          <w:p>
            <w:pPr>
              <w:pStyle w:val="TableContents"/>
              <w:widowControl w:val="false"/>
              <w:suppressLineNumbers/>
              <w:spacing w:before="0" w:after="200"/>
              <w:rPr/>
            </w:pPr>
            <w:r>
              <w:rPr/>
              <w:t>Build structured transition training focused on systems, performance limits, and abnormal procedures</w:t>
            </w:r>
          </w:p>
        </w:tc>
      </w:tr>
      <w:tr>
        <w:trPr/>
        <w:tc>
          <w:tcPr>
            <w:tcW w:w="570" w:type="dxa"/>
            <w:tcBorders/>
            <w:vAlign w:val="center"/>
          </w:tcPr>
          <w:p>
            <w:pPr>
              <w:pStyle w:val="TableContents"/>
              <w:widowControl w:val="false"/>
              <w:suppressLineNumbers/>
              <w:spacing w:before="0" w:after="200"/>
              <w:rPr/>
            </w:pPr>
            <w:r>
              <w:rPr/>
              <w:t>5</w:t>
            </w:r>
          </w:p>
        </w:tc>
        <w:tc>
          <w:tcPr>
            <w:tcW w:w="1657" w:type="dxa"/>
            <w:tcBorders/>
            <w:vAlign w:val="center"/>
          </w:tcPr>
          <w:p>
            <w:pPr>
              <w:pStyle w:val="TableContents"/>
              <w:widowControl w:val="false"/>
              <w:suppressLineNumbers/>
              <w:spacing w:before="0" w:after="200"/>
              <w:rPr/>
            </w:pPr>
            <w:r>
              <w:rPr>
                <w:rStyle w:val="Strong"/>
              </w:rPr>
              <w:t>Workload Management (Approach &amp; Initial Climb)</w:t>
            </w:r>
          </w:p>
        </w:tc>
        <w:tc>
          <w:tcPr>
            <w:tcW w:w="3512" w:type="dxa"/>
            <w:tcBorders/>
            <w:vAlign w:val="center"/>
          </w:tcPr>
          <w:p>
            <w:pPr>
              <w:pStyle w:val="TableContents"/>
              <w:widowControl w:val="false"/>
              <w:suppressLineNumbers/>
              <w:spacing w:before="0" w:after="200"/>
              <w:rPr/>
            </w:pPr>
            <w:r>
              <w:rPr/>
              <w:t>High-risk phases with frequent LOC and gear events</w:t>
            </w:r>
          </w:p>
        </w:tc>
        <w:tc>
          <w:tcPr>
            <w:tcW w:w="4625" w:type="dxa"/>
            <w:tcBorders/>
            <w:vAlign w:val="center"/>
          </w:tcPr>
          <w:p>
            <w:pPr>
              <w:pStyle w:val="TableContents"/>
              <w:widowControl w:val="false"/>
              <w:suppressLineNumbers/>
              <w:spacing w:before="0" w:after="200"/>
              <w:rPr/>
            </w:pPr>
            <w:r>
              <w:rPr/>
              <w:t>Emphasize scenario-based training for stabilization, go-arounds, engine-out, and task prioritization</w:t>
            </w:r>
          </w:p>
        </w:tc>
      </w:tr>
      <w:tr>
        <w:trPr/>
        <w:tc>
          <w:tcPr>
            <w:tcW w:w="570" w:type="dxa"/>
            <w:tcBorders/>
            <w:vAlign w:val="center"/>
          </w:tcPr>
          <w:p>
            <w:pPr>
              <w:pStyle w:val="TableContents"/>
              <w:widowControl w:val="false"/>
              <w:suppressLineNumbers/>
              <w:spacing w:before="0" w:after="200"/>
              <w:rPr/>
            </w:pPr>
            <w:r>
              <w:rPr/>
              <w:t>6</w:t>
            </w:r>
          </w:p>
        </w:tc>
        <w:tc>
          <w:tcPr>
            <w:tcW w:w="1657" w:type="dxa"/>
            <w:tcBorders/>
            <w:vAlign w:val="center"/>
          </w:tcPr>
          <w:p>
            <w:pPr>
              <w:pStyle w:val="TableContents"/>
              <w:widowControl w:val="false"/>
              <w:suppressLineNumbers/>
              <w:spacing w:before="0" w:after="200"/>
              <w:rPr/>
            </w:pPr>
            <w:r>
              <w:rPr>
                <w:rStyle w:val="Strong"/>
              </w:rPr>
              <w:t>Aging Systems &amp; Troubleshooting Discipline</w:t>
            </w:r>
          </w:p>
        </w:tc>
        <w:tc>
          <w:tcPr>
            <w:tcW w:w="3512" w:type="dxa"/>
            <w:tcBorders/>
            <w:vAlign w:val="center"/>
          </w:tcPr>
          <w:p>
            <w:pPr>
              <w:pStyle w:val="TableContents"/>
              <w:widowControl w:val="false"/>
              <w:suppressLineNumbers/>
              <w:spacing w:before="0" w:after="200"/>
              <w:rPr/>
            </w:pPr>
            <w:r>
              <w:rPr/>
              <w:t>Recurring maintenance patterns tied to gear and landing issues</w:t>
            </w:r>
          </w:p>
        </w:tc>
        <w:tc>
          <w:tcPr>
            <w:tcW w:w="4625" w:type="dxa"/>
            <w:tcBorders/>
            <w:vAlign w:val="center"/>
          </w:tcPr>
          <w:p>
            <w:pPr>
              <w:pStyle w:val="TableContents"/>
              <w:widowControl w:val="false"/>
              <w:suppressLineNumbers/>
              <w:spacing w:before="0" w:after="200"/>
              <w:rPr/>
            </w:pPr>
            <w:r>
              <w:rPr/>
              <w:t>Improve troubleshooting standards and documentation; focus on known aging-system failure modes</w:t>
            </w:r>
          </w:p>
        </w:tc>
      </w:tr>
      <w:tr>
        <w:trPr/>
        <w:tc>
          <w:tcPr>
            <w:tcW w:w="570" w:type="dxa"/>
            <w:tcBorders/>
            <w:vAlign w:val="center"/>
          </w:tcPr>
          <w:p>
            <w:pPr>
              <w:pStyle w:val="TableContents"/>
              <w:widowControl w:val="false"/>
              <w:suppressLineNumbers/>
              <w:spacing w:before="0" w:after="200"/>
              <w:rPr/>
            </w:pPr>
            <w:r>
              <w:rPr/>
              <w:t>7</w:t>
            </w:r>
          </w:p>
        </w:tc>
        <w:tc>
          <w:tcPr>
            <w:tcW w:w="1657" w:type="dxa"/>
            <w:tcBorders/>
            <w:vAlign w:val="center"/>
          </w:tcPr>
          <w:p>
            <w:pPr>
              <w:pStyle w:val="TableContents"/>
              <w:widowControl w:val="false"/>
              <w:suppressLineNumbers/>
              <w:spacing w:before="0" w:after="200"/>
              <w:rPr/>
            </w:pPr>
            <w:r>
              <w:rPr>
                <w:rStyle w:val="Strong"/>
              </w:rPr>
              <w:t>Icing &amp; Performance Degradation</w:t>
            </w:r>
          </w:p>
        </w:tc>
        <w:tc>
          <w:tcPr>
            <w:tcW w:w="3512" w:type="dxa"/>
            <w:tcBorders/>
            <w:vAlign w:val="center"/>
          </w:tcPr>
          <w:p>
            <w:pPr>
              <w:pStyle w:val="TableContents"/>
              <w:widowControl w:val="false"/>
              <w:suppressLineNumbers/>
              <w:spacing w:before="0" w:after="200"/>
              <w:rPr/>
            </w:pPr>
            <w:r>
              <w:rPr/>
              <w:t>Lower frequency but high severity; linked to CFIT and IMC operations</w:t>
            </w:r>
          </w:p>
        </w:tc>
        <w:tc>
          <w:tcPr>
            <w:tcW w:w="4625" w:type="dxa"/>
            <w:tcBorders/>
            <w:vAlign w:val="center"/>
          </w:tcPr>
          <w:p>
            <w:pPr>
              <w:pStyle w:val="TableContents"/>
              <w:widowControl w:val="false"/>
              <w:suppressLineNumbers/>
              <w:spacing w:before="0" w:after="200"/>
              <w:rPr/>
            </w:pPr>
            <w:r>
              <w:rPr/>
              <w:t>Train conservative decision-making in icing/IMC; emphasize early exit strategies and performance margins</w:t>
            </w:r>
          </w:p>
        </w:tc>
      </w:tr>
    </w:tbl>
    <w:p>
      <w:pPr>
        <w:pStyle w:val="Normal"/>
        <w:spacing w:before="0" w:after="0"/>
        <w:rPr/>
      </w:pPr>
      <w:r>
        <w:rPr>
          <w:rFonts w:ascii="Courier New" w:hAnsi="Courier New"/>
          <w:sz w:val="14"/>
        </w:rPr>
        <w:t xml:space="preserve">                                       </w:t>
      </w:r>
      <w:r>
        <w:rPr>
          <w:rFonts w:ascii="Courier New" w:hAnsi="Courier New"/>
          <w:sz w:val="14"/>
        </w:rPr>
        <w:t>|</w:t>
      </w:r>
    </w:p>
    <w:p>
      <w:pPr>
        <w:pStyle w:val="Normal"/>
        <w:rPr/>
      </w:pPr>
      <w:r>
        <w:rPr/>
      </w:r>
    </w:p>
    <w:p>
      <w:pPr>
        <w:pStyle w:val="Heading1"/>
        <w:rPr/>
      </w:pPr>
      <w:r>
        <w:rPr/>
        <w:t>Recommended Training Initiatives</w:t>
      </w:r>
    </w:p>
    <w:p>
      <w:pPr>
        <w:pStyle w:val="Normal"/>
        <w:spacing w:before="0" w:after="120"/>
        <w:rPr/>
      </w:pPr>
      <w:r>
        <w:rPr/>
        <w:t>Training interventions should be scenario-based, model-aware, and focused on decision points rather than broad safety slogans. The committee should prioritize training that interrupts the chain of events before an accident outcome becomes unavoidable.</w:t>
      </w:r>
    </w:p>
    <w:p>
      <w:pPr>
        <w:pStyle w:val="ListBullet"/>
        <w:numPr>
          <w:ilvl w:val="0"/>
          <w:numId w:val="1"/>
        </w:numPr>
        <w:rPr/>
      </w:pPr>
      <w:r>
        <w:rPr/>
        <w:t>Twin Cessna transition syllabus: model-specific systems, fuel, landing gear, engine-out, performance, avionics, and abnormal procedure workflow.</w:t>
      </w:r>
    </w:p>
    <w:p>
      <w:pPr>
        <w:pStyle w:val="ListBullet"/>
        <w:numPr>
          <w:ilvl w:val="0"/>
          <w:numId w:val="1"/>
        </w:numPr>
        <w:rPr/>
      </w:pPr>
      <w:r>
        <w:rPr/>
        <w:t>Approach and landing module: stabilized approach criteria, gear verification, go-around triggers, crosswind/contaminated runway considerations, and runway excursion prevention.</w:t>
      </w:r>
    </w:p>
    <w:p>
      <w:pPr>
        <w:pStyle w:val="ListBullet"/>
        <w:numPr>
          <w:ilvl w:val="0"/>
          <w:numId w:val="1"/>
        </w:numPr>
        <w:rPr/>
      </w:pPr>
      <w:r>
        <w:rPr/>
        <w:t>Initial climb module: engine failure after takeoff, accelerate/stop and accelerate/go realism, configuration management, and immediate action priorities.</w:t>
      </w:r>
    </w:p>
    <w:p>
      <w:pPr>
        <w:pStyle w:val="ListBullet"/>
        <w:numPr>
          <w:ilvl w:val="0"/>
          <w:numId w:val="1"/>
        </w:numPr>
        <w:rPr/>
      </w:pPr>
      <w:r>
        <w:rPr/>
        <w:t>IMC/CFIT module: terrain awareness, personal minimums, missed-approach discipline, descent planning, and mountainous weather traps.</w:t>
      </w:r>
    </w:p>
    <w:p>
      <w:pPr>
        <w:pStyle w:val="ListBullet"/>
        <w:numPr>
          <w:ilvl w:val="0"/>
          <w:numId w:val="1"/>
        </w:numPr>
        <w:rPr/>
      </w:pPr>
      <w:r>
        <w:rPr/>
        <w:t>Icing/performance module: ice accumulation recognition, system use, exit strategy, partial power/induction anomalies, and conservative performance planning.</w:t>
      </w:r>
    </w:p>
    <w:p>
      <w:pPr>
        <w:pStyle w:val="ListBullet"/>
        <w:numPr>
          <w:ilvl w:val="0"/>
          <w:numId w:val="1"/>
        </w:numPr>
        <w:rPr/>
      </w:pPr>
      <w:r>
        <w:rPr/>
        <w:t>Workload and task saturation module: aviate-navigate-communicate, automation management, checklist retrieval under stress, and passenger/ATC communication boundaries.</w:t>
      </w:r>
    </w:p>
    <w:p>
      <w:pPr>
        <w:pStyle w:val="Heading1"/>
        <w:rPr/>
      </w:pPr>
      <w:r>
        <w:rPr/>
        <w:t>Recommended Maintenance Standardization Initiatives</w:t>
      </w:r>
    </w:p>
    <w:p>
      <w:pPr>
        <w:pStyle w:val="Normal"/>
        <w:spacing w:before="0" w:after="120"/>
        <w:rPr/>
      </w:pPr>
      <w:r>
        <w:rPr/>
        <w:t>Maintenance recommendations should focus on reducing latent conditions that either produce system failures directly or increase pilot workload at exactly the wrong time. The committee can add value by identifying recurring system areas and encouraging practical owner/mechanic communication standards.</w:t>
      </w:r>
    </w:p>
    <w:p>
      <w:pPr>
        <w:pStyle w:val="ListBullet"/>
        <w:numPr>
          <w:ilvl w:val="0"/>
          <w:numId w:val="1"/>
        </w:numPr>
        <w:rPr/>
      </w:pPr>
      <w:r>
        <w:rPr/>
        <w:t>Post-maintenance verification checklist: require system-specific functional verification after work on landing gear, fuel systems, engine controls, avionics, electrical systems, and disturbed flight controls.</w:t>
      </w:r>
    </w:p>
    <w:p>
      <w:pPr>
        <w:pStyle w:val="ListBullet"/>
        <w:numPr>
          <w:ilvl w:val="0"/>
          <w:numId w:val="1"/>
        </w:numPr>
        <w:rPr/>
      </w:pPr>
      <w:r>
        <w:rPr/>
        <w:t>Landing gear reliability focus: encourage inspection and documentation practices for gear rigging, switches, actuators, hydraulic/electrical components, emergency extension systems, and warning systems.</w:t>
      </w:r>
    </w:p>
    <w:p>
      <w:pPr>
        <w:pStyle w:val="ListBullet"/>
        <w:numPr>
          <w:ilvl w:val="0"/>
          <w:numId w:val="1"/>
        </w:numPr>
        <w:rPr/>
      </w:pPr>
      <w:r>
        <w:rPr/>
        <w:t>Deferred discrepancy discipline: discourage normalization of recurring squawks; create a standard language template for “repeat discrepancy,” “unable to duplicate,” and “return-to-service limitations.”</w:t>
      </w:r>
    </w:p>
    <w:p>
      <w:pPr>
        <w:pStyle w:val="ListBullet"/>
        <w:numPr>
          <w:ilvl w:val="0"/>
          <w:numId w:val="1"/>
        </w:numPr>
        <w:rPr/>
      </w:pPr>
      <w:r>
        <w:rPr/>
        <w:t>Incomplete troubleshooting reduction: encourage mechanics and owners to document observed symptoms, test conditions, prior actions, and verification results before replacing additional parts.</w:t>
      </w:r>
    </w:p>
    <w:p>
      <w:pPr>
        <w:pStyle w:val="ListBullet"/>
        <w:numPr>
          <w:ilvl w:val="0"/>
          <w:numId w:val="1"/>
        </w:numPr>
        <w:rPr/>
      </w:pPr>
      <w:r>
        <w:rPr/>
        <w:t>Aging aircraft inspection emphasis: highlight wiring, hoses, gear components, fuel selectors/valves, turbocharging/induction components, and brittle/aged switches or connectors.</w:t>
      </w:r>
    </w:p>
    <w:p>
      <w:pPr>
        <w:pStyle w:val="ListBullet"/>
        <w:numPr>
          <w:ilvl w:val="0"/>
          <w:numId w:val="1"/>
        </w:numPr>
        <w:rPr/>
      </w:pPr>
      <w:r>
        <w:rPr/>
        <w:t>Recent-work operational caution: pilots should treat first flights after significant maintenance as higher-risk flights and plan conservative weather, runway, and mission profiles.</w:t>
      </w:r>
    </w:p>
    <w:p>
      <w:pPr>
        <w:pStyle w:val="Heading1"/>
        <w:rPr/>
      </w:pPr>
      <w:r>
        <w:rPr/>
        <w:t>Committee Communication Guidance</w:t>
      </w:r>
    </w:p>
    <w:p>
      <w:pPr>
        <w:pStyle w:val="Normal"/>
        <w:spacing w:before="0" w:after="120"/>
        <w:rPr/>
      </w:pPr>
      <w:r>
        <w:rPr/>
        <w:t>The committee should communicate these findings carefully. The strongest wording is appropriate for the completed C310 data and for fleet-level counts that are clearly supported by the current summary outputs. More cautious language is appropriate for incomplete model slices and all Part 91 vs Part 135 comparisons.</w:t>
      </w:r>
    </w:p>
    <w:p>
      <w:pPr>
        <w:pStyle w:val="ListBullet"/>
        <w:numPr>
          <w:ilvl w:val="0"/>
          <w:numId w:val="1"/>
        </w:numPr>
        <w:rPr/>
      </w:pPr>
      <w:r>
        <w:rPr/>
        <w:t>Recommended phrasing: “In the current structured accident dataset, these factors appear most frequently.”</w:t>
      </w:r>
    </w:p>
    <w:p>
      <w:pPr>
        <w:pStyle w:val="ListBullet"/>
        <w:numPr>
          <w:ilvl w:val="0"/>
          <w:numId w:val="1"/>
        </w:numPr>
        <w:rPr/>
      </w:pPr>
      <w:r>
        <w:rPr/>
        <w:t>Avoid: “This model is more dangerous,” unless exposure data are documented.</w:t>
      </w:r>
    </w:p>
    <w:p>
      <w:pPr>
        <w:pStyle w:val="ListBullet"/>
        <w:numPr>
          <w:ilvl w:val="0"/>
          <w:numId w:val="1"/>
        </w:numPr>
        <w:rPr/>
      </w:pPr>
      <w:r>
        <w:rPr/>
        <w:t>Recommended phrasing: “Some model histories are complete for 2006–2026; additional model histories are being added.”</w:t>
      </w:r>
    </w:p>
    <w:p>
      <w:pPr>
        <w:pStyle w:val="ListBullet"/>
        <w:numPr>
          <w:ilvl w:val="0"/>
          <w:numId w:val="1"/>
        </w:numPr>
        <w:rPr/>
      </w:pPr>
      <w:r>
        <w:rPr/>
        <w:t>Avoid: “The fleet analysis is finished.” It is not; the current analysis is useful but still maturing.</w:t>
      </w:r>
    </w:p>
    <w:p>
      <w:pPr>
        <w:pStyle w:val="ListBullet"/>
        <w:numPr>
          <w:ilvl w:val="0"/>
          <w:numId w:val="1"/>
        </w:numPr>
        <w:rPr/>
      </w:pPr>
      <w:r>
        <w:rPr/>
        <w:t>Recommended phrasing: “These findings point to training and maintenance standardization opportunities.”</w:t>
      </w:r>
    </w:p>
    <w:p>
      <w:pPr>
        <w:pStyle w:val="ListBullet"/>
        <w:numPr>
          <w:ilvl w:val="0"/>
          <w:numId w:val="1"/>
        </w:numPr>
        <w:rPr/>
      </w:pPr>
      <w:r>
        <w:rPr/>
        <w:t>Avoid implying that every accident could have been prevented by one training product or one maintenance checklist.</w:t>
      </w:r>
    </w:p>
    <w:p>
      <w:pPr>
        <w:pStyle w:val="Heading1"/>
        <w:rPr/>
      </w:pPr>
      <w:r>
        <w:rPr/>
        <w:t>Limitations and Governance Notes</w:t>
      </w:r>
    </w:p>
    <w:p>
      <w:pPr>
        <w:pStyle w:val="ListBullet"/>
        <w:numPr>
          <w:ilvl w:val="0"/>
          <w:numId w:val="1"/>
        </w:numPr>
        <w:rPr/>
      </w:pPr>
      <w:r>
        <w:rPr/>
        <w:t>The current analysis is based on accident records only. ASRS and incident data must remain separate for frequency analysis.</w:t>
      </w:r>
    </w:p>
    <w:p>
      <w:pPr>
        <w:pStyle w:val="ListBullet"/>
        <w:numPr>
          <w:ilvl w:val="0"/>
          <w:numId w:val="1"/>
        </w:numPr>
        <w:rPr/>
      </w:pPr>
      <w:r>
        <w:rPr/>
        <w:t>No exposure denominator is available. The paper does not infer accident rates by model, operation type, or mission type.</w:t>
      </w:r>
    </w:p>
    <w:p>
      <w:pPr>
        <w:pStyle w:val="ListBullet"/>
        <w:numPr>
          <w:ilvl w:val="0"/>
          <w:numId w:val="1"/>
        </w:numPr>
        <w:rPr/>
      </w:pPr>
      <w:r>
        <w:rPr/>
        <w:t xml:space="preserve">The C310, C320, and C340 datasets are complete for 2006–2026. C340 represents a very small sample of 15 accidents within the time period due to a small number of aircraft in the fleet. </w:t>
      </w:r>
    </w:p>
    <w:p>
      <w:pPr>
        <w:pStyle w:val="ListBullet"/>
        <w:numPr>
          <w:ilvl w:val="0"/>
          <w:numId w:val="1"/>
        </w:numPr>
        <w:rPr/>
      </w:pPr>
      <w:r>
        <w:rPr/>
        <w:t>Unknown factor rate is 0.256 assignment-based at fleet level, below the 40% reassessment threshold, but C402 alone has a 0.4375 assignment-based unknown factor rate and deserves review as coding matures.</w:t>
      </w:r>
    </w:p>
    <w:p>
      <w:pPr>
        <w:pStyle w:val="ListBullet"/>
        <w:numPr>
          <w:ilvl w:val="0"/>
          <w:numId w:val="1"/>
        </w:numPr>
        <w:rPr/>
      </w:pPr>
      <w:r>
        <w:rPr/>
        <w:t>True factor-pair co-occurrence counts were not available in the supplied pattern-summary outputs; this paper includes validated dimensional co-occurrence tables and flags the true factor-pair output as a required next analytical product.</w:t>
      </w:r>
    </w:p>
    <w:p>
      <w:pPr>
        <w:pStyle w:val="ListBullet"/>
        <w:numPr>
          <w:ilvl w:val="0"/>
          <w:numId w:val="1"/>
        </w:numPr>
        <w:rPr/>
      </w:pPr>
      <w:r>
        <w:rPr/>
        <w:t>All recommendations are prevention-oriented and evidence-backed, but they are not a substitute for original accident reports, FAA guidance, approved training programs, or aircraft maintenance manuals.</w:t>
      </w:r>
    </w:p>
    <w:p>
      <w:pPr>
        <w:pStyle w:val="Heading1"/>
        <w:rPr/>
      </w:pPr>
      <w:r>
        <w:rPr/>
        <w:t>Conclusion</w:t>
      </w:r>
    </w:p>
    <w:p>
      <w:pPr>
        <w:pStyle w:val="Normal"/>
        <w:spacing w:before="0" w:after="120"/>
        <w:rPr/>
      </w:pPr>
      <w:r>
        <w:rPr/>
        <w:t>The current Twin Cessna accident database has matured enough to support meaningful safety committee action. The strongest near-term priorities are checklist discipline, decision trigger discipline, maintenance-induced failure reduction, type-specific transition training, and workload management in approach, landing, cruise, and initial climb. The C310, C320, and C340 data now provide a complete 2006–2026 model-specific baseline; C402, and additional models will sharpen the fleet picture as the database expands.</w:t>
      </w:r>
    </w:p>
    <w:p>
      <w:pPr>
        <w:pStyle w:val="Normal"/>
        <w:spacing w:before="0" w:after="120"/>
        <w:rPr/>
      </w:pPr>
      <w:r>
        <w:rPr/>
        <w:t>The committee’s highest-value contribution is to convert these findings into practical standardization: what pilots brief, what instructors emphasize, what owners ask after maintenance, what mechanics verify before return to service, and what decision points are made explicit before weather, workload, or system anomalies compress available options.</w:t>
      </w:r>
    </w:p>
    <w:p>
      <w:pPr>
        <w:pStyle w:val="Heading1"/>
        <w:rPr/>
      </w:pPr>
      <w:r>
        <w:rPr/>
        <w:t>Source Materials Used</w:t>
      </w:r>
    </w:p>
    <w:p>
      <w:pPr>
        <w:pStyle w:val="ListBullet"/>
        <w:numPr>
          <w:ilvl w:val="0"/>
          <w:numId w:val="1"/>
        </w:numPr>
        <w:rPr/>
      </w:pPr>
      <w:r>
        <w:rPr/>
        <w:t>pattern_summaries_fleet.md — generated 2026-04-25 13:24:14.</w:t>
      </w:r>
    </w:p>
    <w:p>
      <w:pPr>
        <w:pStyle w:val="ListBullet"/>
        <w:numPr>
          <w:ilvl w:val="0"/>
          <w:numId w:val="1"/>
        </w:numPr>
        <w:rPr/>
      </w:pPr>
      <w:r>
        <w:rPr/>
        <w:t>pattern_summaries_C310.md — generated 2026-04-25 13:24:14.</w:t>
      </w:r>
    </w:p>
    <w:p>
      <w:pPr>
        <w:pStyle w:val="ListBullet"/>
        <w:numPr>
          <w:ilvl w:val="0"/>
          <w:numId w:val="1"/>
        </w:numPr>
        <w:rPr/>
      </w:pPr>
      <w:r>
        <w:rPr/>
        <w:t>pattern_summaries_C320.md — generated 2026-04-25 13:24:14.</w:t>
      </w:r>
    </w:p>
    <w:p>
      <w:pPr>
        <w:pStyle w:val="ListBullet"/>
        <w:numPr>
          <w:ilvl w:val="0"/>
          <w:numId w:val="1"/>
        </w:numPr>
        <w:rPr/>
      </w:pPr>
      <w:r>
        <w:rPr/>
        <w:t>pattern_summaries_C340.md — generated 2026-04-25 13:24:14.</w:t>
      </w:r>
    </w:p>
    <w:p>
      <w:pPr>
        <w:pStyle w:val="ListBullet"/>
        <w:numPr>
          <w:ilvl w:val="0"/>
          <w:numId w:val="1"/>
        </w:numPr>
        <w:rPr/>
      </w:pPr>
      <w:r>
        <w:rPr/>
        <w:t>pattern_summaries_C402.md — generated 2026-04-25 13:24:14.</w:t>
      </w:r>
    </w:p>
    <w:p>
      <w:pPr>
        <w:pStyle w:val="ListBullet"/>
        <w:numPr>
          <w:ilvl w:val="0"/>
          <w:numId w:val="1"/>
        </w:numPr>
        <w:rPr/>
      </w:pPr>
      <w:r>
        <w:rPr/>
        <w:t>cross_model_comparison.md — generated 2026-04-25 13:28:00.</w:t>
      </w:r>
    </w:p>
    <w:p>
      <w:pPr>
        <w:pStyle w:val="ListBullet"/>
        <w:numPr>
          <w:ilvl w:val="0"/>
          <w:numId w:val="1"/>
        </w:numPr>
        <w:spacing w:before="0" w:after="200"/>
        <w:contextualSpacing/>
        <w:rPr/>
      </w:pPr>
      <w:r>
        <w:rPr/>
        <w:t>data_dictionary.md — Twin Cessna Safety Project master dataset dictionary, taxonomy version 1.3 fields and rules.</w:t>
      </w:r>
    </w:p>
    <w:sectPr>
      <w:type w:val="nextPage"/>
      <w:pgSz w:w="12240" w:h="15840"/>
      <w:pgMar w:left="936" w:right="936"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Aptos" w:hAnsi="Aptos" w:eastAsia=""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Application>LibreOffice/24.2.7.2$Linux_X86_64 LibreOffice_project/420$Build-2</Application>
  <AppVersion>15.0000</AppVersion>
  <Pages>16</Pages>
  <Words>4271</Words>
  <Characters>27672</Characters>
  <CharactersWithSpaces>31373</CharactersWithSpaces>
  <Paragraphs>558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2026-04-26T01:13:57Z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