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5D8F"/>
          <w:sz w:val="20"/>
        </w:rPr>
        <w:t>PLANO COLABORATIVO DE MELHORIA</w:t>
      </w:r>
    </w:p>
    <w:p>
      <w:pPr>
        <w:keepNext/>
        <w:keepLines/>
        <w:widowControl/>
        <w:spacing w:after="80"/>
      </w:pPr>
      <w:r>
        <w:rPr>
          <w:rFonts w:ascii="Calibri" w:hAnsi="Calibri"/>
          <w:b/>
          <w:color w:val="17324D"/>
          <w:sz w:val="48"/>
        </w:rPr>
        <w:t>Portal da Transparência da Câmara Municipal de Varginha</w:t>
      </w:r>
    </w:p>
    <w:p>
      <w:pPr>
        <w:spacing w:after="280"/>
      </w:pPr>
      <w:r>
        <w:rPr>
          <w:rFonts w:ascii="Calibri" w:hAnsi="Calibri"/>
          <w:i/>
          <w:color w:val="687581"/>
          <w:sz w:val="25"/>
        </w:rPr>
        <w:t>Diagnóstico de falhas e plano de regularização integral em 45 dias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38"/>
      </w:tblGrid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tcBorders>
              <w:bottom w:val="single" w:sz="3" w:color="D8DEE3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DESTINATÁRIO</w:t>
            </w:r>
          </w:p>
        </w:tc>
        <w:tc>
          <w:tcPr>
            <w:tcW w:type="dxa" w:w="75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3" w:color="D8DEE3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Mesa Diretora, Controladoria Interna e setores responsáveis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tcBorders>
              <w:bottom w:val="single" w:sz="3" w:color="D8DEE3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ORIGEM</w:t>
            </w:r>
          </w:p>
        </w:tc>
        <w:tc>
          <w:tcPr>
            <w:tcW w:type="dxa" w:w="75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3" w:color="D8DEE3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Contribuição cidadã independente e apartidária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tcBorders>
              <w:bottom w:val="single" w:sz="3" w:color="D8DEE3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DATA-BASE</w:t>
            </w:r>
          </w:p>
        </w:tc>
        <w:tc>
          <w:tcPr>
            <w:tcW w:type="dxa" w:w="75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3" w:color="D8DEE3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25 de julho de 2026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tcBorders>
              <w:bottom w:val="single" w:sz="3" w:color="D8DEE3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PROPÓSITO</w:t>
            </w:r>
          </w:p>
        </w:tc>
        <w:tc>
          <w:tcPr>
            <w:tcW w:type="dxa" w:w="75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3" w:color="D8DEE3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Resolver as pendências e concluir as melhorias aplicáveis em até 45 dias</w:t>
            </w:r>
          </w:p>
        </w:tc>
      </w:tr>
    </w:tbl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  <w:tcBorders>
              <w:left w:val="single" w:sz="18" w:color="1F5D8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 xml:space="preserve">Tom e finalidade. </w:t>
            </w:r>
            <w:r>
              <w:rPr>
                <w:rFonts w:ascii="Calibri" w:hAnsi="Calibri"/>
                <w:color w:val="20262C"/>
                <w:sz w:val="20"/>
              </w:rPr>
              <w:t>Este documento reconhece os avanços já existentes, aponta falhas e atrasos que precisam ser enfrentados e propõe uma agenda prática de cooperação para conclusão em 45 dias. Não presume irregularidade nem substitui a avaliação oficial do Tribunal de Contas.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</w:pPr>
      <w:r>
        <w:t>Apresentação institucional</w:t>
      </w:r>
    </w:p>
    <w:p>
      <w:pPr>
        <w:spacing w:after="160"/>
      </w:pPr>
      <w:r>
        <w:rPr>
          <w:rFonts w:ascii="Calibri" w:hAnsi="Calibri"/>
          <w:b/>
          <w:color w:val="17324D"/>
          <w:sz w:val="36"/>
        </w:rPr>
        <w:t>Origem e autoridade da metodologia utilizada</w:t>
      </w:r>
    </w:p>
    <w:p>
      <w:pPr>
        <w:keepLines/>
        <w:widowControl/>
        <w:jc w:val="both"/>
      </w:pPr>
      <w:r>
        <w:rPr>
          <w:rFonts w:ascii="Calibri" w:hAnsi="Calibri"/>
          <w:color w:val="20262C"/>
          <w:sz w:val="21"/>
        </w:rPr>
        <w:t>Os apontamentos deste plano não foram formulados a partir de preferências pessoais. A base principal é o Programa Nacional de Transparência Pública (PNTP), iniciativa coordenada pela Associação dos Membros dos Tribunais de Contas do Brasil (Atricon), com participação dos Tribunais de Contas na avaliação e validação dos portais públicos.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  <w:tcBorders>
              <w:left w:val="single" w:sz="18" w:color="1F5D8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 xml:space="preserve">Referência nacional. </w:t>
            </w:r>
            <w:r>
              <w:rPr>
                <w:rFonts w:ascii="Calibri" w:hAnsi="Calibri"/>
                <w:color w:val="20262C"/>
                <w:sz w:val="20"/>
              </w:rPr>
              <w:t>O PNTP examina a transparência ativa de portais dos Poderes Executivo, Legislativo e Judiciário e de outras instituições públicas. Os resultados são consolidados no Radar Nacional da Transparência Pública, que permite consultar índices, níveis de transparência e evidências relacionadas aos critérios avaliados.</w:t>
            </w:r>
          </w:p>
        </w:tc>
      </w:tr>
    </w:tbl>
    <w:p>
      <w:pPr>
        <w:spacing w:after="0" w:before="0"/>
      </w:pP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650"/>
        <w:gridCol w:w="4288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ORIGEM INSTITUCIONAL</w:t>
            </w:r>
          </w:p>
        </w:tc>
        <w:tc>
          <w:tcPr>
            <w:tcW w:type="dxa" w:w="428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FUNÇÃO</w:t>
            </w:r>
          </w:p>
        </w:tc>
      </w:tr>
      <w:tr>
        <w:trPr>
          <w:cantSplit/>
        </w:trPr>
        <w:tc>
          <w:tcPr>
            <w:tcW w:type="dxa" w:w="17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Coordenação</w:t>
            </w:r>
          </w:p>
        </w:tc>
        <w:tc>
          <w:tcPr>
            <w:tcW w:type="dxa" w:w="36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Atricon e instituições parceiras do sistema de controle externo.</w:t>
            </w:r>
          </w:p>
        </w:tc>
        <w:tc>
          <w:tcPr>
            <w:tcW w:type="dxa" w:w="428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Define diretrizes nacionais, metodologia, cartilha e matriz de avaliação.</w:t>
            </w:r>
          </w:p>
        </w:tc>
      </w:tr>
      <w:tr>
        <w:trPr>
          <w:cantSplit/>
        </w:trPr>
        <w:tc>
          <w:tcPr>
            <w:tcW w:type="dxa" w:w="17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Instrumento oficial</w:t>
            </w:r>
          </w:p>
        </w:tc>
        <w:tc>
          <w:tcPr>
            <w:tcW w:type="dxa" w:w="365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Cartilha PNTP e Critérios de Avaliação 2026 publicados no Radar.</w:t>
            </w:r>
          </w:p>
        </w:tc>
        <w:tc>
          <w:tcPr>
            <w:tcW w:type="dxa" w:w="428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Fornece a redação, classificação e aplicabilidade dos critérios.</w:t>
            </w:r>
          </w:p>
        </w:tc>
      </w:tr>
      <w:tr>
        <w:trPr>
          <w:cantSplit/>
        </w:trPr>
        <w:tc>
          <w:tcPr>
            <w:tcW w:type="dxa" w:w="17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Avaliação</w:t>
            </w:r>
          </w:p>
        </w:tc>
        <w:tc>
          <w:tcPr>
            <w:tcW w:type="dxa" w:w="36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Controladorias e equipes técnicas dos Tribunais de Contas.</w:t>
            </w:r>
          </w:p>
        </w:tc>
        <w:tc>
          <w:tcPr>
            <w:tcW w:type="dxa" w:w="428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Verificam atendimento, evidências e qualidade da transparência ativa.</w:t>
            </w:r>
          </w:p>
        </w:tc>
      </w:tr>
      <w:tr>
        <w:trPr>
          <w:cantSplit/>
        </w:trPr>
        <w:tc>
          <w:tcPr>
            <w:tcW w:type="dxa" w:w="17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Resultado público</w:t>
            </w:r>
          </w:p>
        </w:tc>
        <w:tc>
          <w:tcPr>
            <w:tcW w:type="dxa" w:w="365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Radar Nacional da Transparência Pública.</w:t>
            </w:r>
          </w:p>
        </w:tc>
        <w:tc>
          <w:tcPr>
            <w:tcW w:type="dxa" w:w="428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Consolida o índice e os níveis Diamante, Ouro, Prata, Elevado e demais faixas.</w:t>
            </w:r>
          </w:p>
        </w:tc>
      </w:tr>
      <w:tr>
        <w:trPr>
          <w:cantSplit/>
        </w:trPr>
        <w:tc>
          <w:tcPr>
            <w:tcW w:type="dxa" w:w="17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Aplicação local</w:t>
            </w:r>
          </w:p>
        </w:tc>
        <w:tc>
          <w:tcPr>
            <w:tcW w:type="dxa" w:w="36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TCE-MG no ciclo mineiro do PNTP.</w:t>
            </w:r>
          </w:p>
        </w:tc>
        <w:tc>
          <w:tcPr>
            <w:tcW w:type="dxa" w:w="428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Orienta e valida avaliações dos portais municipais de Minas Gerais.</w:t>
            </w:r>
          </w:p>
        </w:tc>
      </w:tr>
    </w:tbl>
    <w:p>
      <w:pPr>
        <w:pStyle w:val="Heading2"/>
      </w:pPr>
      <w:r>
        <w:t>Como a matriz foi aplicada à Câmara</w:t>
      </w:r>
    </w:p>
    <w:p>
      <w:pPr>
        <w:keepLines/>
        <w:widowControl/>
        <w:jc w:val="both"/>
      </w:pPr>
      <w:r>
        <w:rPr>
          <w:rFonts w:ascii="Calibri" w:hAnsi="Calibri"/>
          <w:color w:val="20262C"/>
          <w:sz w:val="21"/>
        </w:rPr>
        <w:t>A Matriz PNTP 2026 foi filtrada pelas categorias aplicáveis ao Poder Legislativo municipal. Desse procedimento resultaram os 83 critérios reunidos no Anexo A: 7 essenciais, 60 obrigatórios e 16 recomendados. Cada critério foi convertido em uma ação de melhoria e em uma evidência de entrega, preservando a redação oficial na coluna correspondente.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300"/>
        <w:gridCol w:w="5438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NÍVEL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ÍNDICE</w:t>
            </w:r>
          </w:p>
        </w:tc>
        <w:tc>
          <w:tcPr>
            <w:tcW w:type="dxa" w:w="543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REQUISITO COMPLEMENTAR</w:t>
            </w:r>
          </w:p>
        </w:tc>
      </w:tr>
      <w:tr>
        <w:trPr>
          <w:cantSplit/>
        </w:trPr>
        <w:tc>
          <w:tcPr>
            <w:tcW w:type="dxa" w:w="19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Diamante</w:t>
            </w:r>
          </w:p>
        </w:tc>
        <w:tc>
          <w:tcPr>
            <w:tcW w:type="dxa" w:w="23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95% a 100%</w:t>
            </w:r>
          </w:p>
        </w:tc>
        <w:tc>
          <w:tcPr>
            <w:tcW w:type="dxa" w:w="54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100% dos critérios essenciais</w:t>
            </w:r>
          </w:p>
        </w:tc>
      </w:tr>
      <w:tr>
        <w:trPr>
          <w:cantSplit/>
        </w:trPr>
        <w:tc>
          <w:tcPr>
            <w:tcW w:type="dxa" w:w="19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Ouro</w:t>
            </w:r>
          </w:p>
        </w:tc>
        <w:tc>
          <w:tcPr>
            <w:tcW w:type="dxa" w:w="23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85% a 94%</w:t>
            </w:r>
          </w:p>
        </w:tc>
        <w:tc>
          <w:tcPr>
            <w:tcW w:type="dxa" w:w="54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100% dos critérios essenciais</w:t>
            </w:r>
          </w:p>
        </w:tc>
      </w:tr>
      <w:tr>
        <w:trPr>
          <w:cantSplit/>
        </w:trPr>
        <w:tc>
          <w:tcPr>
            <w:tcW w:type="dxa" w:w="19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Prata</w:t>
            </w:r>
          </w:p>
        </w:tc>
        <w:tc>
          <w:tcPr>
            <w:tcW w:type="dxa" w:w="23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75% a 84%</w:t>
            </w:r>
          </w:p>
        </w:tc>
        <w:tc>
          <w:tcPr>
            <w:tcW w:type="dxa" w:w="54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100% dos critérios essenciais</w:t>
            </w:r>
          </w:p>
        </w:tc>
      </w:tr>
      <w:tr>
        <w:trPr>
          <w:cantSplit/>
        </w:trPr>
        <w:tc>
          <w:tcPr>
            <w:tcW w:type="dxa" w:w="19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Elevado</w:t>
            </w:r>
          </w:p>
        </w:tc>
        <w:tc>
          <w:tcPr>
            <w:tcW w:type="dxa" w:w="23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Acima de 75%</w:t>
            </w:r>
          </w:p>
        </w:tc>
        <w:tc>
          <w:tcPr>
            <w:tcW w:type="dxa" w:w="54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Menos de 100% dos critérios essenciais</w:t>
            </w:r>
          </w:p>
        </w:tc>
      </w:tr>
      <w:tr>
        <w:trPr>
          <w:cantSplit/>
        </w:trPr>
        <w:tc>
          <w:tcPr>
            <w:tcW w:type="dxa" w:w="19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Intermediário</w:t>
            </w:r>
          </w:p>
        </w:tc>
        <w:tc>
          <w:tcPr>
            <w:tcW w:type="dxa" w:w="23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50% a 74%</w:t>
            </w:r>
          </w:p>
        </w:tc>
        <w:tc>
          <w:tcPr>
            <w:tcW w:type="dxa" w:w="54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Classificação sem selo</w:t>
            </w:r>
          </w:p>
        </w:tc>
      </w:tr>
    </w:tbl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80" w:type="dxa"/>
              <w:start w:w="120" w:type="dxa"/>
              <w:bottom w:w="80" w:type="dxa"/>
              <w:end w:w="120" w:type="dxa"/>
            </w:tcMar>
            <w:shd w:fill="FFF7DD"/>
            <w:tcBorders>
              <w:left w:val="single" w:sz="18" w:color="8A650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 xml:space="preserve">Natureza e limite deste documento. </w:t>
            </w:r>
            <w:r>
              <w:rPr>
                <w:rFonts w:ascii="Calibri" w:hAnsi="Calibri"/>
                <w:color w:val="20262C"/>
                <w:sz w:val="20"/>
              </w:rPr>
              <w:t>Este plano é uma contribuição cidadã baseada em fontes oficiais; não é parecer, auditoria ou avaliação emitida pela Atricon ou pelo TCE-MG. Os 83 itens do checklist derivam da matriz do PNTP. As recomendações específicas sobre publicidade institucional complementam a matriz com medidas de rastreabilidade apoiadas na Constituição, na LAI, na LRF, na LC nº 131/2009 e nas Leis nº 12.232/2010 e nº 14.133/2021.</w:t>
            </w:r>
          </w:p>
        </w:tc>
      </w:tr>
    </w:tbl>
    <w:p>
      <w:pPr>
        <w:spacing w:after="0" w:before="0"/>
      </w:pPr>
    </w:p>
    <w:p>
      <w:pPr>
        <w:spacing w:before="40" w:after="0"/>
      </w:pPr>
      <w:r>
        <w:rPr>
          <w:rFonts w:ascii="Calibri" w:hAnsi="Calibri"/>
          <w:b/>
          <w:color w:val="17324D"/>
          <w:sz w:val="18"/>
        </w:rPr>
        <w:t xml:space="preserve">Fontes institucionais: </w:t>
      </w:r>
      <w:hyperlink r:id="rId11">
        <w:r>
          <w:rPr>
            <w:color w:val="1F5D8F"/>
            <w:u w:val="single"/>
            <w:sz w:val="20"/>
          </w:rPr>
          <w:t>PNTP/Atricon</w:t>
        </w:r>
      </w:hyperlink>
      <w:r>
        <w:rPr>
          <w:rFonts w:ascii="Calibri" w:hAnsi="Calibri"/>
          <w:color w:val="687581"/>
          <w:sz w:val="18"/>
        </w:rPr>
        <w:t xml:space="preserve"> • </w:t>
      </w:r>
      <w:hyperlink r:id="rId12">
        <w:r>
          <w:rPr>
            <w:color w:val="1F5D8F"/>
            <w:u w:val="single"/>
            <w:sz w:val="20"/>
          </w:rPr>
          <w:t>Matriz e materiais 2026</w:t>
        </w:r>
      </w:hyperlink>
      <w:r>
        <w:rPr>
          <w:rFonts w:ascii="Calibri" w:hAnsi="Calibri"/>
          <w:color w:val="687581"/>
          <w:sz w:val="18"/>
        </w:rPr>
        <w:t xml:space="preserve"> • </w:t>
      </w:r>
      <w:hyperlink r:id="rId13">
        <w:r>
          <w:rPr>
            <w:color w:val="1F5D8F"/>
            <w:u w:val="single"/>
            <w:sz w:val="20"/>
          </w:rPr>
          <w:t>FAQ PNTP do TCE-MG</w:t>
        </w:r>
      </w:hyperlink>
    </w:p>
    <w:p>
      <w:r>
        <w:br w:type="page"/>
      </w:r>
    </w:p>
    <w:p>
      <w:pPr>
        <w:pStyle w:val="Heading1"/>
      </w:pPr>
      <w:r>
        <w:t>1. Síntese executiva</w:t>
      </w:r>
    </w:p>
    <w:p>
      <w:pPr>
        <w:keepLines/>
        <w:widowControl/>
        <w:jc w:val="both"/>
      </w:pPr>
      <w:r>
        <w:rPr>
          <w:rFonts w:ascii="Calibri" w:hAnsi="Calibri"/>
          <w:color w:val="20262C"/>
          <w:sz w:val="21"/>
        </w:rPr>
        <w:t>O resultado público anteriormente consultado para a Câmara indicou índice geral de 63,3%, classificação “Intermediário”, atendimento de 85,7% dos critérios essenciais e evolução de 21,4 pontos percentuais. A melhora é relevante, mas o resultado confirma que o portal ainda não atende integralmente ao padrão esperado, especialmente porque os critérios essenciais não alcançaram 100%.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Mar>
              <w:top w:w="80" w:type="dxa"/>
              <w:start w:w="120" w:type="dxa"/>
              <w:bottom w:w="80" w:type="dxa"/>
              <w:end w:w="120" w:type="dxa"/>
            </w:tcMar>
            <w:shd w:fill="1F5D8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63,3%</w:t>
            </w:r>
            <w:r>
              <w:rPr>
                <w:rFonts w:ascii="Calibri" w:hAnsi="Calibri"/>
                <w:b/>
                <w:color w:val="FFFFFF"/>
                <w:sz w:val="15"/>
              </w:rPr>
              <w:br/>
              <w:t>ÍNDICE INFORMADO</w:t>
            </w:r>
          </w:p>
        </w:tc>
        <w:tc>
          <w:tcPr>
            <w:tcW w:type="dxa" w:w="2409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3"/>
              </w:rPr>
              <w:t>INTERMEDIÁRIO</w:t>
            </w:r>
            <w:r>
              <w:rPr>
                <w:rFonts w:ascii="Calibri" w:hAnsi="Calibri"/>
                <w:b/>
                <w:color w:val="FFFFFF"/>
                <w:sz w:val="15"/>
              </w:rPr>
              <w:br/>
              <w:t>NÍVEL INFORMADO</w:t>
            </w:r>
          </w:p>
        </w:tc>
        <w:tc>
          <w:tcPr>
            <w:tcW w:type="dxa" w:w="2409"/>
            <w:tcMar>
              <w:top w:w="80" w:type="dxa"/>
              <w:start w:w="120" w:type="dxa"/>
              <w:bottom w:w="80" w:type="dxa"/>
              <w:end w:w="120" w:type="dxa"/>
            </w:tcMar>
            <w:shd w:fill="A33A3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85,7%</w:t>
            </w:r>
            <w:r>
              <w:rPr>
                <w:rFonts w:ascii="Calibri" w:hAnsi="Calibri"/>
                <w:b/>
                <w:color w:val="FFFFFF"/>
                <w:sz w:val="15"/>
              </w:rPr>
              <w:br/>
              <w:t>ESSENCIAIS INFORMADOS</w:t>
            </w:r>
          </w:p>
        </w:tc>
        <w:tc>
          <w:tcPr>
            <w:tcW w:type="dxa" w:w="2411"/>
            <w:tcMar>
              <w:top w:w="80" w:type="dxa"/>
              <w:start w:w="120" w:type="dxa"/>
              <w:bottom w:w="80" w:type="dxa"/>
              <w:end w:w="120" w:type="dxa"/>
            </w:tcMar>
            <w:shd w:fill="297A5B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+21,4 p.p.</w:t>
            </w:r>
            <w:r>
              <w:rPr>
                <w:rFonts w:ascii="Calibri" w:hAnsi="Calibri"/>
                <w:b/>
                <w:color w:val="FFFFFF"/>
                <w:sz w:val="15"/>
              </w:rPr>
              <w:br/>
              <w:t>EVOLUÇÃO INFORMADA</w:t>
            </w:r>
          </w:p>
        </w:tc>
      </w:tr>
    </w:tbl>
    <w:p>
      <w:pPr>
        <w:keepLines/>
        <w:widowControl/>
        <w:jc w:val="both"/>
      </w:pPr>
      <w:r>
        <w:rPr>
          <w:rFonts w:ascii="Calibri" w:hAnsi="Calibri"/>
          <w:color w:val="20262C"/>
          <w:sz w:val="21"/>
        </w:rPr>
        <w:t>A página institucional de transparência já reúne links para contas, pessoal, licitações, contratos, planejamento, SIC, acessibilidade e LGPD. O principal desafio agora é transformar essa estrutura em uma experiência verificável: informação atualizada, completa, pesquisável, exportável, com histórico, data de publicação e ligação entre os sistemas.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80" w:type="dxa"/>
              <w:start w:w="120" w:type="dxa"/>
              <w:bottom w:w="80" w:type="dxa"/>
              <w:end w:w="120" w:type="dxa"/>
            </w:tcMar>
            <w:shd w:fill="FFF7DD"/>
            <w:tcBorders>
              <w:left w:val="single" w:sz="18" w:color="8A650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 xml:space="preserve">Escopo completo. </w:t>
            </w:r>
            <w:r>
              <w:rPr>
                <w:rFonts w:ascii="Calibri" w:hAnsi="Calibri"/>
                <w:color w:val="20262C"/>
                <w:sz w:val="20"/>
              </w:rPr>
              <w:t>A matriz PNTP 2026 contém 83 critérios aplicáveis à Câmara: 7 essenciais, 60 obrigatórios e 16 recomendados. O Anexo A converte todos eles em ações e evidências de entrega, com prazo máximo de regularização até o 45º dia.</w:t>
            </w:r>
          </w:p>
        </w:tc>
      </w:tr>
    </w:tbl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80" w:type="dxa"/>
              <w:start w:w="120" w:type="dxa"/>
              <w:bottom w:w="80" w:type="dxa"/>
              <w:end w:w="120" w:type="dxa"/>
            </w:tcMar>
            <w:shd w:fill="EAF5EF"/>
            <w:tcBorders>
              <w:left w:val="single" w:sz="18" w:color="297A5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 xml:space="preserve">Meta de 45 dias. </w:t>
            </w:r>
            <w:r>
              <w:rPr>
                <w:rFonts w:ascii="Calibri" w:hAnsi="Calibri"/>
                <w:color w:val="20262C"/>
                <w:sz w:val="20"/>
              </w:rPr>
              <w:t>Até o encerramento do período, todos os 83 critérios deverão estar validados; todas as publicações atrasadas deverão estar regularizadas; e cada critério aplicável deverá ter evidência, responsável, data de atualização e teste final registrados.</w:t>
            </w:r>
          </w:p>
        </w:tc>
      </w:tr>
    </w:tbl>
    <w:p>
      <w:pPr>
        <w:pStyle w:val="Heading1"/>
      </w:pPr>
      <w:r>
        <w:t>2. Como os apontamentos foram classificados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500"/>
        <w:gridCol w:w="4038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CLASSIFICAÇÃO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403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COMO TRATAR</w:t>
            </w:r>
          </w:p>
        </w:tc>
      </w:tr>
      <w:tr>
        <w:trPr>
          <w:cantSplit/>
        </w:trPr>
        <w:tc>
          <w:tcPr>
            <w:tcW w:type="dxa" w:w="2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Falha confirmada</w:t>
            </w:r>
          </w:p>
        </w:tc>
        <w:tc>
          <w:tcPr>
            <w:tcW w:type="dxa" w:w="35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Resultado público ou ausência objetivamente verificável.</w:t>
            </w:r>
          </w:p>
        </w:tc>
        <w:tc>
          <w:tcPr>
            <w:tcW w:type="dxa" w:w="40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Corrigir, publicar a evidência e registrar a data da regularização.</w:t>
            </w:r>
          </w:p>
        </w:tc>
      </w:tr>
      <w:tr>
        <w:trPr>
          <w:cantSplit/>
        </w:trPr>
        <w:tc>
          <w:tcPr>
            <w:tcW w:type="dxa" w:w="2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Deficiência observada</w:t>
            </w:r>
          </w:p>
        </w:tc>
        <w:tc>
          <w:tcPr>
            <w:tcW w:type="dxa" w:w="35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Barreira encontrada na navegação, organização ou forma de entrega.</w:t>
            </w:r>
          </w:p>
        </w:tc>
        <w:tc>
          <w:tcPr>
            <w:tcW w:type="dxa" w:w="40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Validar com o setor responsável e ajustar a experiência do usuário.</w:t>
            </w:r>
          </w:p>
        </w:tc>
      </w:tr>
      <w:tr>
        <w:trPr>
          <w:cantSplit/>
        </w:trPr>
        <w:tc>
          <w:tcPr>
            <w:tcW w:type="dxa" w:w="2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Atraso relatado</w:t>
            </w:r>
          </w:p>
        </w:tc>
        <w:tc>
          <w:tcPr>
            <w:tcW w:type="dxa" w:w="35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Entrega ou publicação informada como pendente ou fora da rotina esperada.</w:t>
            </w:r>
          </w:p>
        </w:tc>
        <w:tc>
          <w:tcPr>
            <w:tcW w:type="dxa" w:w="40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Inventariar o passivo, definir responsável e publicar cronograma de recuperação.</w:t>
            </w:r>
          </w:p>
        </w:tc>
      </w:tr>
      <w:tr>
        <w:trPr>
          <w:cantSplit/>
        </w:trPr>
        <w:tc>
          <w:tcPr>
            <w:tcW w:type="dxa" w:w="2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Item a validar</w:t>
            </w:r>
          </w:p>
        </w:tc>
        <w:tc>
          <w:tcPr>
            <w:tcW w:type="dxa" w:w="35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Critério aplicável cujo espelho detalhado não foi disponibilizado.</w:t>
            </w:r>
          </w:p>
        </w:tc>
        <w:tc>
          <w:tcPr>
            <w:tcW w:type="dxa" w:w="40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Conferir com a equipe e o TCE-MG, sem presumir falha antes da validação.</w:t>
            </w:r>
          </w:p>
        </w:tc>
      </w:tr>
    </w:tbl>
    <w:p>
      <w:pPr>
        <w:pStyle w:val="Heading1"/>
      </w:pPr>
      <w:r>
        <w:t>3. Apontamento das principais falhas e deficiências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500"/>
        <w:gridCol w:w="2580"/>
        <w:gridCol w:w="3938"/>
        <w:gridCol w:w="1000"/>
      </w:tblGrid>
      <w:tr>
        <w:trPr>
          <w:tblHeader w:val="true"/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EVIDÊNCIA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APONTAMENTO</w:t>
            </w:r>
          </w:p>
        </w:tc>
        <w:tc>
          <w:tcPr>
            <w:tcW w:type="dxa" w:w="393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MELHORIA COLABORATIVA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PRAZO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F-01</w:t>
            </w:r>
          </w:p>
        </w:tc>
        <w:tc>
          <w:tcPr>
            <w:tcW w:type="dxa" w:w="15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Falha confirmada</w:t>
            </w:r>
          </w:p>
        </w:tc>
        <w:tc>
          <w:tcPr>
            <w:tcW w:type="dxa" w:w="258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Índice geral de 63,3%, ainda no nível Intermediário.</w:t>
            </w:r>
          </w:p>
        </w:tc>
        <w:tc>
          <w:tcPr>
            <w:tcW w:type="dxa" w:w="39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plano critério a critério para alcançar pelo menos 75% e, depois, os níveis Prata/Ouro.</w:t>
            </w:r>
          </w:p>
        </w:tc>
        <w:tc>
          <w:tcPr>
            <w:tcW w:type="dxa" w:w="10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Imediata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F-02</w:t>
            </w:r>
          </w:p>
        </w:tc>
        <w:tc>
          <w:tcPr>
            <w:tcW w:type="dxa" w:w="15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Falha confirmada</w:t>
            </w:r>
          </w:p>
        </w:tc>
        <w:tc>
          <w:tcPr>
            <w:tcW w:type="dxa" w:w="258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Critérios essenciais informados em 85,7%, abaixo dos 100% exigidos para selo.</w:t>
            </w:r>
          </w:p>
        </w:tc>
        <w:tc>
          <w:tcPr>
            <w:tcW w:type="dxa" w:w="39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Identificar o essencial não atendido, corrigir primeiro e anexar evidência verificável.</w:t>
            </w:r>
          </w:p>
        </w:tc>
        <w:tc>
          <w:tcPr>
            <w:tcW w:type="dxa" w:w="10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Imediata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F-03</w:t>
            </w:r>
          </w:p>
        </w:tc>
        <w:tc>
          <w:tcPr>
            <w:tcW w:type="dxa" w:w="15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Atraso relatado</w:t>
            </w:r>
          </w:p>
        </w:tc>
        <w:tc>
          <w:tcPr>
            <w:tcW w:type="dxa" w:w="258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Há entregas e publicações com atraso, sem inventário público consolidado do passivo.</w:t>
            </w:r>
          </w:p>
        </w:tc>
        <w:tc>
          <w:tcPr>
            <w:tcW w:type="dxa" w:w="39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Criar força-tarefa, listar pendências por competência e publicar calendário de regularização.</w:t>
            </w:r>
          </w:p>
        </w:tc>
        <w:tc>
          <w:tcPr>
            <w:tcW w:type="dxa" w:w="10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0-30 dias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F-04</w:t>
            </w:r>
          </w:p>
        </w:tc>
        <w:tc>
          <w:tcPr>
            <w:tcW w:type="dxa" w:w="15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Deficiência observada</w:t>
            </w:r>
          </w:p>
        </w:tc>
        <w:tc>
          <w:tcPr>
            <w:tcW w:type="dxa" w:w="258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Informações estão distribuídas entre site institucional, Betha, SAPL, PNCP e páginas de downloads.</w:t>
            </w:r>
          </w:p>
        </w:tc>
        <w:tc>
          <w:tcPr>
            <w:tcW w:type="dxa" w:w="39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Criar página única por tema, com links diretos, contexto, responsável e data de atualização.</w:t>
            </w:r>
          </w:p>
        </w:tc>
        <w:tc>
          <w:tcPr>
            <w:tcW w:type="dxa" w:w="10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0-30 dias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F-05</w:t>
            </w:r>
          </w:p>
        </w:tc>
        <w:tc>
          <w:tcPr>
            <w:tcW w:type="dxa" w:w="15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Deficiência observada</w:t>
            </w:r>
          </w:p>
        </w:tc>
        <w:tc>
          <w:tcPr>
            <w:tcW w:type="dxa" w:w="258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A página central apresenta links, mas não mostra status, cobertura histórica e última atualização de cada base.</w:t>
            </w:r>
          </w:p>
        </w:tc>
        <w:tc>
          <w:tcPr>
            <w:tcW w:type="dxa" w:w="39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Acrescentar painel de atualização, período disponível, formato e unidade responsável.</w:t>
            </w:r>
          </w:p>
        </w:tc>
        <w:tc>
          <w:tcPr>
            <w:tcW w:type="dxa" w:w="10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0-30 dias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F-06</w:t>
            </w:r>
          </w:p>
        </w:tc>
        <w:tc>
          <w:tcPr>
            <w:tcW w:type="dxa" w:w="15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Deficiência observada</w:t>
            </w:r>
          </w:p>
        </w:tc>
        <w:tc>
          <w:tcPr>
            <w:tcW w:type="dxa" w:w="258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 portal financeiro depende de aplicação JavaScript e não oferece, na página central, alternativa clara de dados abertos.</w:t>
            </w:r>
          </w:p>
        </w:tc>
        <w:tc>
          <w:tcPr>
            <w:tcW w:type="dxa" w:w="39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Disponibilizar exportações integrais e endpoints documentados, além de páginas indexáveis e acessíveis.</w:t>
            </w:r>
          </w:p>
        </w:tc>
        <w:tc>
          <w:tcPr>
            <w:tcW w:type="dxa" w:w="10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31-45 dias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F-07</w:t>
            </w:r>
          </w:p>
        </w:tc>
        <w:tc>
          <w:tcPr>
            <w:tcW w:type="dxa" w:w="15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Item a validar</w:t>
            </w:r>
          </w:p>
        </w:tc>
        <w:tc>
          <w:tcPr>
            <w:tcW w:type="dxa" w:w="258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Não há espelho público critério a critério com evidência, justificativa e situação da correção.</w:t>
            </w:r>
          </w:p>
        </w:tc>
        <w:tc>
          <w:tcPr>
            <w:tcW w:type="dxa" w:w="39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matriz PNTP com status, URL, evidência, responsável, prazo e histórico de revisão.</w:t>
            </w:r>
          </w:p>
        </w:tc>
        <w:tc>
          <w:tcPr>
            <w:tcW w:type="dxa" w:w="10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0-30 dias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F-08</w:t>
            </w:r>
          </w:p>
        </w:tc>
        <w:tc>
          <w:tcPr>
            <w:tcW w:type="dxa" w:w="15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Item a validar</w:t>
            </w:r>
          </w:p>
        </w:tc>
        <w:tc>
          <w:tcPr>
            <w:tcW w:type="dxa" w:w="258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Busca, filtros, exportação, série histórica e gravação de relatórios precisam ser testados em todas as bases.</w:t>
            </w:r>
          </w:p>
        </w:tc>
        <w:tc>
          <w:tcPr>
            <w:tcW w:type="dxa" w:w="39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Executar roteiro funcional e corrigir cada componente que reduza a pontuação.</w:t>
            </w:r>
          </w:p>
        </w:tc>
        <w:tc>
          <w:tcPr>
            <w:tcW w:type="dxa" w:w="10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31-45 dias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F-09</w:t>
            </w:r>
          </w:p>
        </w:tc>
        <w:tc>
          <w:tcPr>
            <w:tcW w:type="dxa" w:w="15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Item a validar</w:t>
            </w:r>
          </w:p>
        </w:tc>
        <w:tc>
          <w:tcPr>
            <w:tcW w:type="dxa" w:w="258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Dados de contratos, despesas, licitações e pagamentos podem existir sem identificador comum.</w:t>
            </w:r>
          </w:p>
        </w:tc>
        <w:tc>
          <w:tcPr>
            <w:tcW w:type="dxa" w:w="39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Adotar chaves que permitam cruzar processo, contrato, empenho, liquidação, pagamento e PNCP.</w:t>
            </w:r>
          </w:p>
        </w:tc>
        <w:tc>
          <w:tcPr>
            <w:tcW w:type="dxa" w:w="10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24-38 dias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F-10</w:t>
            </w:r>
          </w:p>
        </w:tc>
        <w:tc>
          <w:tcPr>
            <w:tcW w:type="dxa" w:w="15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Deficiência de governança</w:t>
            </w:r>
          </w:p>
        </w:tc>
        <w:tc>
          <w:tcPr>
            <w:tcW w:type="dxa" w:w="258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Não está visível uma rotina pública de responsáveis, prazos e testes periódicos do portal.</w:t>
            </w:r>
          </w:p>
        </w:tc>
        <w:tc>
          <w:tcPr>
            <w:tcW w:type="dxa" w:w="39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Instituir comitê intersetorial, calendário, indicadores e revisão mensal das evidências.</w:t>
            </w:r>
          </w:p>
        </w:tc>
        <w:tc>
          <w:tcPr>
            <w:tcW w:type="dxa" w:w="10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0-10 dias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F-11</w:t>
            </w:r>
          </w:p>
        </w:tc>
        <w:tc>
          <w:tcPr>
            <w:tcW w:type="dxa" w:w="15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Deficiência observada</w:t>
            </w:r>
          </w:p>
        </w:tc>
        <w:tc>
          <w:tcPr>
            <w:tcW w:type="dxa" w:w="258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No Portal de Publicidade Institucional, os investimentos aparecem consolidados por tipo de mídia, sem trilha completa por campanha.</w:t>
            </w:r>
          </w:p>
        </w:tc>
        <w:tc>
          <w:tcPr>
            <w:tcW w:type="dxa" w:w="39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Ligar campanha, contrato, agência, fornecedor, veículo, peça, nota fiscal, empenho, liquidação e pagamento.</w:t>
            </w:r>
          </w:p>
        </w:tc>
        <w:tc>
          <w:tcPr>
            <w:tcW w:type="dxa" w:w="10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0-45 dias</w:t>
            </w:r>
          </w:p>
        </w:tc>
      </w:tr>
    </w:tbl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80" w:type="dxa"/>
              <w:start w:w="120" w:type="dxa"/>
              <w:bottom w:w="80" w:type="dxa"/>
              <w:end w:w="120" w:type="dxa"/>
            </w:tcMar>
            <w:shd w:fill="FBEDEC"/>
            <w:tcBorders>
              <w:left w:val="single" w:sz="18" w:color="A33A32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 xml:space="preserve">Cautela metodológica. </w:t>
            </w:r>
            <w:r>
              <w:rPr>
                <w:rFonts w:ascii="Calibri" w:hAnsi="Calibri"/>
                <w:color w:val="20262C"/>
                <w:sz w:val="20"/>
              </w:rPr>
              <w:t>Como o espelho detalhado da avaliação não está disponível na página pública consultada, o documento não atribui automaticamente cada um dos 83 critérios como falha. A Câmara pode validar o anexo, indicar os itens já atendidos e concentrar a correção nos itens parciais, atrasados ou não atendidos.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4. Plano de regularização integral em 45 dias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800"/>
        <w:gridCol w:w="4438"/>
        <w:gridCol w:w="2150"/>
      </w:tblGrid>
      <w:tr>
        <w:trPr>
          <w:tblHeader w:val="true"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JANELA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FOCO</w:t>
            </w:r>
          </w:p>
        </w:tc>
        <w:tc>
          <w:tcPr>
            <w:tcW w:type="dxa" w:w="443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ENTREGAS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2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Dias 1-7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Governança e diagnóstico</w:t>
            </w:r>
          </w:p>
        </w:tc>
        <w:tc>
          <w:tcPr>
            <w:tcW w:type="dxa" w:w="44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Nomear ponto focal; reunir todos os setores; validar os 83 critérios; listar atrasos, links quebrados, documentos ausentes e dependências técnicas.</w:t>
            </w:r>
          </w:p>
        </w:tc>
        <w:tc>
          <w:tcPr>
            <w:tcW w:type="dxa" w:w="21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100% dos critérios classificados, com responsável e prazo.</w:t>
            </w:r>
          </w:p>
        </w:tc>
      </w:tr>
      <w:tr>
        <w:trPr>
          <w:cantSplit/>
        </w:trPr>
        <w:tc>
          <w:tcPr>
            <w:tcW w:type="dxa" w:w="125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Dias 8-15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Essenciais e passivo crítico</w:t>
            </w:r>
          </w:p>
        </w:tc>
        <w:tc>
          <w:tcPr>
            <w:tcW w:type="dxa" w:w="44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Corrigir links; completar receitas, despesas, empenhos e RGF; publicar documentos essenciais e iniciar a recuperação das entregas vencidas.</w:t>
            </w:r>
          </w:p>
        </w:tc>
        <w:tc>
          <w:tcPr>
            <w:tcW w:type="dxa" w:w="215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100% dos essenciais com URL e evidência testada.</w:t>
            </w:r>
          </w:p>
        </w:tc>
      </w:tr>
      <w:tr>
        <w:trPr>
          <w:cantSplit/>
        </w:trPr>
        <w:tc>
          <w:tcPr>
            <w:tcW w:type="dxa" w:w="12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Dias 16-23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Publicações atrasadas</w:t>
            </w:r>
          </w:p>
        </w:tc>
        <w:tc>
          <w:tcPr>
            <w:tcW w:type="dxa" w:w="44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Regularizar integralmente o passivo; completar pessoal, diárias, licitações, contratos, obras, publicidade institucional, prestação de contas e documentos administrativos.</w:t>
            </w:r>
          </w:p>
        </w:tc>
        <w:tc>
          <w:tcPr>
            <w:tcW w:type="dxa" w:w="21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100% das publicações atrasadas disponíveis e datadas.</w:t>
            </w:r>
          </w:p>
        </w:tc>
      </w:tr>
      <w:tr>
        <w:trPr>
          <w:cantSplit/>
        </w:trPr>
        <w:tc>
          <w:tcPr>
            <w:tcW w:type="dxa" w:w="125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Dias 24-31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Dados abertos e serviços</w:t>
            </w:r>
          </w:p>
        </w:tc>
        <w:tc>
          <w:tcPr>
            <w:tcW w:type="dxa" w:w="44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Implantar busca, filtros, exportação, metadados, histórico, SIC, Ouvidoria, Carta de Serviços, LGPD e acessibilidade.</w:t>
            </w:r>
          </w:p>
        </w:tc>
        <w:tc>
          <w:tcPr>
            <w:tcW w:type="dxa" w:w="215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Bases pesquisáveis, exportáveis e acessíveis.</w:t>
            </w:r>
          </w:p>
        </w:tc>
      </w:tr>
      <w:tr>
        <w:trPr>
          <w:cantSplit/>
        </w:trPr>
        <w:tc>
          <w:tcPr>
            <w:tcW w:type="dxa" w:w="12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Dias 32-38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Integração legislativa</w:t>
            </w:r>
          </w:p>
        </w:tc>
        <w:tc>
          <w:tcPr>
            <w:tcW w:type="dxa" w:w="44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Ligar SAPL, Betha e PNCP; completar pautas, comissões, atas, presenças, votações, julgamento de contas, transmissões e dados parlamentares.</w:t>
            </w:r>
          </w:p>
        </w:tc>
        <w:tc>
          <w:tcPr>
            <w:tcW w:type="dxa" w:w="21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Atividade legislativa completa e rastreável.</w:t>
            </w:r>
          </w:p>
        </w:tc>
      </w:tr>
      <w:tr>
        <w:trPr>
          <w:cantSplit/>
        </w:trPr>
        <w:tc>
          <w:tcPr>
            <w:tcW w:type="dxa" w:w="125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Dias 39-45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Teste, correção e entrega</w:t>
            </w:r>
          </w:p>
        </w:tc>
        <w:tc>
          <w:tcPr>
            <w:tcW w:type="dxa" w:w="44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Testar os 83 critérios, corrigir falhas remanescentes, publicar matriz final, evidências, histórico e relatório de conclusão; realizar validação cidadã.</w:t>
            </w:r>
          </w:p>
        </w:tc>
        <w:tc>
          <w:tcPr>
            <w:tcW w:type="dxa" w:w="215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Plano concluído, sem pendência aplicável aberta.</w:t>
            </w:r>
          </w:p>
        </w:tc>
      </w:tr>
      <w:tr>
        <w:trPr>
          <w:cantSplit/>
        </w:trPr>
        <w:tc>
          <w:tcPr>
            <w:tcW w:type="dxa" w:w="12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Após o dia 45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Manutenção preventiva</w:t>
            </w:r>
          </w:p>
        </w:tc>
        <w:tc>
          <w:tcPr>
            <w:tcW w:type="dxa" w:w="44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Manter revisão mensal, alertas de prazo, teste trimestral e registro público de atualizações e regressões.</w:t>
            </w:r>
          </w:p>
        </w:tc>
        <w:tc>
          <w:tcPr>
            <w:tcW w:type="dxa" w:w="21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Impedir novos atrasos sem postergar a conclusão do plano.</w:t>
            </w:r>
          </w:p>
        </w:tc>
      </w:tr>
    </w:tbl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80" w:type="dxa"/>
              <w:start w:w="120" w:type="dxa"/>
              <w:bottom w:w="80" w:type="dxa"/>
              <w:end w:w="120" w:type="dxa"/>
            </w:tcMar>
            <w:shd w:fill="EAF5EF"/>
            <w:tcBorders>
              <w:left w:val="single" w:sz="18" w:color="297A5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 xml:space="preserve">Regra de conclusão. </w:t>
            </w:r>
            <w:r>
              <w:rPr>
                <w:rFonts w:ascii="Calibri" w:hAnsi="Calibri"/>
                <w:color w:val="20262C"/>
                <w:sz w:val="20"/>
              </w:rPr>
              <w:t>Uma ação somente será considerada concluída quando houver publicação acessível, URL direta, conteúdo integral, data de atualização, responsável identificado e teste de funcionamento. Dependência de fornecedor deverá ter solução alternativa e não poderá manter a informação pública indisponível após o 45º dia.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5. Pacotes de melhoria por área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50"/>
        <w:gridCol w:w="7088"/>
      </w:tblGrid>
      <w:tr>
        <w:trPr>
          <w:tblHeader w:val="true"/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708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MELHORIAS PROPOSTAS</w:t>
            </w:r>
          </w:p>
        </w:tc>
      </w:tr>
      <w:tr>
        <w:trPr>
          <w:cantSplit/>
        </w:trPr>
        <w:tc>
          <w:tcPr>
            <w:tcW w:type="dxa" w:w="25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Governança do portal</w:t>
            </w:r>
          </w:p>
        </w:tc>
        <w:tc>
          <w:tcPr>
            <w:tcW w:type="dxa" w:w="708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Matriz pública, responsáveis, calendário, rotina de atualização, registro de correções e teste mensal.</w:t>
            </w:r>
          </w:p>
        </w:tc>
      </w:tr>
      <w:tr>
        <w:trPr>
          <w:cantSplit/>
        </w:trPr>
        <w:tc>
          <w:tcPr>
            <w:tcW w:type="dxa" w:w="255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Arquitetura e navegação</w:t>
            </w:r>
          </w:p>
        </w:tc>
        <w:tc>
          <w:tcPr>
            <w:tcW w:type="dxa" w:w="708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Página única por tema, URLs diretas e permanentes, busca, mapa, caminho de páginas e aviso de indisponibilidade.</w:t>
            </w:r>
          </w:p>
        </w:tc>
      </w:tr>
      <w:tr>
        <w:trPr>
          <w:cantSplit/>
        </w:trPr>
        <w:tc>
          <w:tcPr>
            <w:tcW w:type="dxa" w:w="25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Atualidade e prazos</w:t>
            </w:r>
          </w:p>
        </w:tc>
        <w:tc>
          <w:tcPr>
            <w:tcW w:type="dxa" w:w="708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Data/hora de registro e publicação, frequência de atualização, passivo de atrasos e alertas antes do vencimento.</w:t>
            </w:r>
          </w:p>
        </w:tc>
      </w:tr>
      <w:tr>
        <w:trPr>
          <w:cantSplit/>
        </w:trPr>
        <w:tc>
          <w:tcPr>
            <w:tcW w:type="dxa" w:w="255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Dados abertos</w:t>
            </w:r>
          </w:p>
        </w:tc>
        <w:tc>
          <w:tcPr>
            <w:tcW w:type="dxa" w:w="708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CSV/XLSX/JSON, dicionário, metadados, licença, API, exportação integral e série histórica.</w:t>
            </w:r>
          </w:p>
        </w:tc>
      </w:tr>
      <w:tr>
        <w:trPr>
          <w:cantSplit/>
        </w:trPr>
        <w:tc>
          <w:tcPr>
            <w:tcW w:type="dxa" w:w="25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Receita e despesa</w:t>
            </w:r>
          </w:p>
        </w:tc>
        <w:tc>
          <w:tcPr>
            <w:tcW w:type="dxa" w:w="708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Previsão/realização; empenho/liquidação/pagamento; credor, objeto, classificação, processo, licitação e contrato.</w:t>
            </w:r>
          </w:p>
        </w:tc>
      </w:tr>
      <w:tr>
        <w:trPr>
          <w:cantSplit/>
        </w:trPr>
        <w:tc>
          <w:tcPr>
            <w:tcW w:type="dxa" w:w="255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Licitações e contratos</w:t>
            </w:r>
          </w:p>
        </w:tc>
        <w:tc>
          <w:tcPr>
            <w:tcW w:type="dxa" w:w="708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Processo integral, contratação direta, PNCP, aditivos, fiscais, execução, sanções e ordem cronológica.</w:t>
            </w:r>
          </w:p>
        </w:tc>
      </w:tr>
      <w:tr>
        <w:trPr>
          <w:cantSplit/>
        </w:trPr>
        <w:tc>
          <w:tcPr>
            <w:tcW w:type="dxa" w:w="25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Obras</w:t>
            </w:r>
          </w:p>
        </w:tc>
        <w:tc>
          <w:tcPr>
            <w:tcW w:type="dxa" w:w="708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Situação, prazos, empresa, quantitativos, preços, medições, pagamentos, fotos e paralisações.</w:t>
            </w:r>
          </w:p>
        </w:tc>
      </w:tr>
      <w:tr>
        <w:trPr>
          <w:cantSplit/>
        </w:trPr>
        <w:tc>
          <w:tcPr>
            <w:tcW w:type="dxa" w:w="255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Pessoal, diárias e verbas</w:t>
            </w:r>
          </w:p>
        </w:tc>
        <w:tc>
          <w:tcPr>
            <w:tcW w:type="dxa" w:w="708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Base nominal, remuneração, lotação, atos, históricos, diárias detalhadas e cotas parlamentares.</w:t>
            </w:r>
          </w:p>
        </w:tc>
      </w:tr>
      <w:tr>
        <w:trPr>
          <w:cantSplit/>
        </w:trPr>
        <w:tc>
          <w:tcPr>
            <w:tcW w:type="dxa" w:w="25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Planejamento e contas</w:t>
            </w:r>
          </w:p>
        </w:tc>
        <w:tc>
          <w:tcPr>
            <w:tcW w:type="dxa" w:w="708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Balanço, RGF, decisões do TCE, plano estratégico, relatório de atividades e histórico.</w:t>
            </w:r>
          </w:p>
        </w:tc>
      </w:tr>
      <w:tr>
        <w:trPr>
          <w:cantSplit/>
        </w:trPr>
        <w:tc>
          <w:tcPr>
            <w:tcW w:type="dxa" w:w="255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SIC e Ouvidoria</w:t>
            </w:r>
          </w:p>
        </w:tc>
        <w:tc>
          <w:tcPr>
            <w:tcW w:type="dxa" w:w="708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Canais simples, protocolos, prazos, recursos, relatórios estatísticos, Carta de Serviços e acompanhamento.</w:t>
            </w:r>
          </w:p>
        </w:tc>
      </w:tr>
      <w:tr>
        <w:trPr>
          <w:cantSplit/>
        </w:trPr>
        <w:tc>
          <w:tcPr>
            <w:tcW w:type="dxa" w:w="25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Acessibilidade</w:t>
            </w:r>
          </w:p>
        </w:tc>
        <w:tc>
          <w:tcPr>
            <w:tcW w:type="dxa" w:w="708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Teclado, leitor de tela, contraste, redimensionamento, linguagem simples, responsividade e documentos acessíveis.</w:t>
            </w:r>
          </w:p>
        </w:tc>
      </w:tr>
      <w:tr>
        <w:trPr>
          <w:cantSplit/>
        </w:trPr>
        <w:tc>
          <w:tcPr>
            <w:tcW w:type="dxa" w:w="255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LGPD e Governo Digital</w:t>
            </w:r>
          </w:p>
        </w:tc>
        <w:tc>
          <w:tcPr>
            <w:tcW w:type="dxa" w:w="708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Encarregado, política, base legal, serviços digitais, adoção normativa e proteção sem ocultação genérica.</w:t>
            </w:r>
          </w:p>
        </w:tc>
      </w:tr>
      <w:tr>
        <w:trPr>
          <w:cantSplit/>
        </w:trPr>
        <w:tc>
          <w:tcPr>
            <w:tcW w:type="dxa" w:w="25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Atividade legislativa</w:t>
            </w:r>
          </w:p>
        </w:tc>
        <w:tc>
          <w:tcPr>
            <w:tcW w:type="dxa" w:w="708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Biografias, matérias, tramitação, pautas, comissões, atas, presenças, votações, contas e transmissões.</w:t>
            </w:r>
          </w:p>
        </w:tc>
      </w:tr>
      <w:tr>
        <w:trPr>
          <w:cantSplit/>
        </w:trPr>
        <w:tc>
          <w:tcPr>
            <w:tcW w:type="dxa" w:w="255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Publicidade institucional</w:t>
            </w:r>
          </w:p>
        </w:tc>
        <w:tc>
          <w:tcPr>
            <w:tcW w:type="dxa" w:w="708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Campanhas, contratos, agências, fornecedores, veículos, peças, notas fiscais, execução financeira e dados abertos.</w:t>
            </w:r>
          </w:p>
        </w:tc>
      </w:tr>
      <w:tr>
        <w:trPr>
          <w:cantSplit/>
        </w:trPr>
        <w:tc>
          <w:tcPr>
            <w:tcW w:type="dxa" w:w="25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Participação cidadã</w:t>
            </w:r>
          </w:p>
        </w:tc>
        <w:tc>
          <w:tcPr>
            <w:tcW w:type="dxa" w:w="708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Consultas, audiências, pesquisa de satisfação, devolutiva e publicação das contribuições recebidas.</w:t>
            </w:r>
          </w:p>
        </w:tc>
      </w:tr>
    </w:tbl>
    <w:p>
      <w:pPr>
        <w:pStyle w:val="Heading2"/>
      </w:pPr>
      <w:r>
        <w:t>5.1 Publicidade institucional: detalhamento campanha a campanha</w:t>
      </w:r>
    </w:p>
    <w:p>
      <w:pPr>
        <w:keepLines/>
        <w:widowControl/>
        <w:jc w:val="both"/>
      </w:pPr>
      <w:r>
        <w:rPr>
          <w:rFonts w:ascii="Calibri" w:hAnsi="Calibri"/>
          <w:color w:val="20262C"/>
          <w:sz w:val="21"/>
        </w:rPr>
        <w:t>A existência de um Portal de Publicidade Institucional específico representa avanço importante. Entretanto, a apresentação apenas de valores consolidados por modalidade de mídia - como Internet, Rádio, Jornal, Mídia Social e Produção - não permite acompanhar integralmente a origem, a execução e o resultado de cada despesa publicitária.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80" w:type="dxa"/>
              <w:start w:w="120" w:type="dxa"/>
              <w:bottom w:w="80" w:type="dxa"/>
              <w:end w:w="120" w:type="dxa"/>
            </w:tcMar>
            <w:shd w:fill="FFF7DD"/>
            <w:tcBorders>
              <w:left w:val="single" w:sz="18" w:color="8A650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 xml:space="preserve">Diagnóstico colaborativo. </w:t>
            </w:r>
            <w:r>
              <w:rPr>
                <w:rFonts w:ascii="Calibri" w:hAnsi="Calibri"/>
                <w:color w:val="20262C"/>
                <w:sz w:val="20"/>
              </w:rPr>
              <w:t>O cidadão deve conseguir partir do total informado e chegar à campanha que originou a despesa, ao contrato e à licitação, à agência ou fornecedor, aos veículos utilizados, às peças produzidas, às notas fiscais e aos valores empenhados, liquidados e pagos. A ausência desse detalhamento é uma barreira à conferência; por si só, não comprova irregularidade.</w:t>
            </w:r>
          </w:p>
        </w:tc>
      </w:tr>
    </w:tbl>
    <w:p>
      <w:pPr>
        <w:spacing w:after="0" w:before="0"/>
      </w:pP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670"/>
        <w:gridCol w:w="3168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EIXO</w:t>
            </w:r>
          </w:p>
        </w:tc>
        <w:tc>
          <w:tcPr>
            <w:tcW w:type="dxa" w:w="467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MELHORIA SUGERIDA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EVIDÊNCIA DE ENTREGA</w:t>
            </w:r>
          </w:p>
        </w:tc>
      </w:tr>
      <w:tr>
        <w:trPr>
          <w:cantSplit/>
        </w:trPr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Painel geral</w:t>
            </w:r>
          </w:p>
        </w:tc>
        <w:tc>
          <w:tcPr>
            <w:tcW w:type="dxa" w:w="467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Indicadores por exercício, campanha, órgão demandante, modalidade de mídia e estágio de execução.</w:t>
            </w:r>
          </w:p>
        </w:tc>
        <w:tc>
          <w:tcPr>
            <w:tcW w:type="dxa" w:w="31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Totais conciliados, data de atualização, filtros e série histórica.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Página por campanha</w:t>
            </w:r>
          </w:p>
        </w:tc>
        <w:tc>
          <w:tcPr>
            <w:tcW w:type="dxa" w:w="467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Nome, objetivo público, período, público-alvo, unidade responsável e fundamentação legal.</w:t>
            </w:r>
          </w:p>
        </w:tc>
        <w:tc>
          <w:tcPr>
            <w:tcW w:type="dxa" w:w="31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URL permanente e ficha completa de cada campanha.</w:t>
            </w:r>
          </w:p>
        </w:tc>
      </w:tr>
      <w:tr>
        <w:trPr>
          <w:cantSplit/>
        </w:trPr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Execução financeira</w:t>
            </w:r>
          </w:p>
        </w:tc>
        <w:tc>
          <w:tcPr>
            <w:tcW w:type="dxa" w:w="467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Valores estimado, contratado, empenhado, liquidado e pago, com datas e saldos.</w:t>
            </w:r>
          </w:p>
        </w:tc>
        <w:tc>
          <w:tcPr>
            <w:tcW w:type="dxa" w:w="31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Vínculos diretos aos empenhos, liquidações e ordens de pagamento.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Fornecedores e veículos</w:t>
            </w:r>
          </w:p>
        </w:tc>
        <w:tc>
          <w:tcPr>
            <w:tcW w:type="dxa" w:w="467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Agência, fornecedores e veículos individualizados, com CNPJ, serviço, quantidade e valor.</w:t>
            </w:r>
          </w:p>
        </w:tc>
        <w:tc>
          <w:tcPr>
            <w:tcW w:type="dxa" w:w="31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Relação pesquisável, notas fiscais e valores recebidos por participante.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Documentos da contratação</w:t>
            </w:r>
          </w:p>
        </w:tc>
        <w:tc>
          <w:tcPr>
            <w:tcW w:type="dxa" w:w="467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Licitação, contrato, aditivos, ordens de serviço, planos de mídia, autorizações e comprovantes.</w:t>
            </w:r>
          </w:p>
        </w:tc>
        <w:tc>
          <w:tcPr>
            <w:tcW w:type="dxa" w:w="31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Inteiro teor dos documentos e vínculo com PNCP quando aplicável.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Peças publicitárias</w:t>
            </w:r>
          </w:p>
        </w:tc>
        <w:tc>
          <w:tcPr>
            <w:tcW w:type="dxa" w:w="467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Disponibilizar anúncios, vídeos, áudios, artes e demais materiais produzidos.</w:t>
            </w:r>
          </w:p>
        </w:tc>
        <w:tc>
          <w:tcPr>
            <w:tcW w:type="dxa" w:w="31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Arquivo ou link acessível, com campanha, data, formato e veículo.</w:t>
            </w:r>
          </w:p>
        </w:tc>
      </w:tr>
      <w:tr>
        <w:trPr>
          <w:cantSplit/>
        </w:trPr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Linha do tempo</w:t>
            </w:r>
          </w:p>
        </w:tc>
        <w:tc>
          <w:tcPr>
            <w:tcW w:type="dxa" w:w="467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Registrar planejamento, autorização, produção, veiculação, medição, faturamento e pagamento.</w:t>
            </w:r>
          </w:p>
        </w:tc>
        <w:tc>
          <w:tcPr>
            <w:tcW w:type="dxa" w:w="31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Situação atual e datas de cada marco da campanha.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Pesquisa e dados abertos</w:t>
            </w:r>
          </w:p>
        </w:tc>
        <w:tc>
          <w:tcPr>
            <w:tcW w:type="dxa" w:w="467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Busca por campanha, fornecedor, CNPJ, contrato, veículo, período e situação.</w:t>
            </w:r>
          </w:p>
        </w:tc>
        <w:tc>
          <w:tcPr>
            <w:tcW w:type="dxa" w:w="31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Exportação integral em CSV, XLSX e JSON, com dicionário e metadados.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Acessibilidade</w:t>
            </w:r>
          </w:p>
        </w:tc>
        <w:tc>
          <w:tcPr>
            <w:tcW w:type="dxa" w:w="467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Aplicar eMAG, navegação por teclado, contraste, audiodescrição, legendas e documentos pesquisáveis.</w:t>
            </w:r>
          </w:p>
        </w:tc>
        <w:tc>
          <w:tcPr>
            <w:tcW w:type="dxa" w:w="31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Testes registrados e alternativas acessíveis para cada tipo de peça.</w:t>
            </w:r>
          </w:p>
        </w:tc>
      </w:tr>
    </w:tbl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80" w:type="dxa"/>
              <w:start w:w="120" w:type="dxa"/>
              <w:bottom w:w="80" w:type="dxa"/>
              <w:end w:w="120" w:type="dxa"/>
            </w:tcMar>
            <w:shd w:fill="EAF5EF"/>
            <w:tcBorders>
              <w:left w:val="single" w:sz="18" w:color="297A5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 xml:space="preserve">Fundamentação e benefícios. </w:t>
            </w:r>
            <w:r>
              <w:rPr>
                <w:rFonts w:ascii="Calibri" w:hAnsi="Calibri"/>
                <w:color w:val="20262C"/>
                <w:sz w:val="20"/>
              </w:rPr>
              <w:t>A proposta se apoia no art. 37 e no §1º da Constituição Federal, na LRF, na LC nº 131/2009, na LAI, na Lei nº 12.232/2010 e na Lei nº 14.133/2021. O detalhamento fortalece o controle social, facilita auditorias, reduz pedidos repetitivos de acesso à informação e amplia a confiança na publicidade institucional.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6. Padrão mínimo para cada publicação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38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53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PADRÃO DE ENTREGA</w:t>
            </w:r>
          </w:p>
        </w:tc>
      </w:tr>
      <w:tr>
        <w:trPr>
          <w:cantSplit/>
        </w:trPr>
        <w:tc>
          <w:tcPr>
            <w:tcW w:type="dxa" w:w="2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Identificação</w:t>
            </w:r>
          </w:p>
        </w:tc>
        <w:tc>
          <w:tcPr>
            <w:tcW w:type="dxa" w:w="75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Título claro, órgão/unidade, responsável, exercício ou competência e descrição do conteúdo.</w:t>
            </w:r>
          </w:p>
        </w:tc>
      </w:tr>
      <w:tr>
        <w:trPr>
          <w:cantSplit/>
        </w:trPr>
        <w:tc>
          <w:tcPr>
            <w:tcW w:type="dxa" w:w="2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Atualidade</w:t>
            </w:r>
          </w:p>
        </w:tc>
        <w:tc>
          <w:tcPr>
            <w:tcW w:type="dxa" w:w="75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Data/hora do registro, data/hora da publicação, última atualização e periodicidade esperada.</w:t>
            </w:r>
          </w:p>
        </w:tc>
      </w:tr>
      <w:tr>
        <w:trPr>
          <w:cantSplit/>
        </w:trPr>
        <w:tc>
          <w:tcPr>
            <w:tcW w:type="dxa" w:w="2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Completude</w:t>
            </w:r>
          </w:p>
        </w:tc>
        <w:tc>
          <w:tcPr>
            <w:tcW w:type="dxa" w:w="75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Documento integral e anexos; declaração negativa quando o evento não ocorreu.</w:t>
            </w:r>
          </w:p>
        </w:tc>
      </w:tr>
      <w:tr>
        <w:trPr>
          <w:cantSplit/>
        </w:trPr>
        <w:tc>
          <w:tcPr>
            <w:tcW w:type="dxa" w:w="2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Formato</w:t>
            </w:r>
          </w:p>
        </w:tc>
        <w:tc>
          <w:tcPr>
            <w:tcW w:type="dxa" w:w="75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Consulta em tela e exportação integral em CSV, XLSX ou JSON; PDF apenas como apresentação complementar.</w:t>
            </w:r>
          </w:p>
        </w:tc>
      </w:tr>
      <w:tr>
        <w:trPr>
          <w:cantSplit/>
        </w:trPr>
        <w:tc>
          <w:tcPr>
            <w:tcW w:type="dxa" w:w="2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Pesquisa</w:t>
            </w:r>
          </w:p>
        </w:tc>
        <w:tc>
          <w:tcPr>
            <w:tcW w:type="dxa" w:w="75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Busca textual, filtros combináveis, ordenação e paginação transparente.</w:t>
            </w:r>
          </w:p>
        </w:tc>
      </w:tr>
      <w:tr>
        <w:trPr>
          <w:cantSplit/>
        </w:trPr>
        <w:tc>
          <w:tcPr>
            <w:tcW w:type="dxa" w:w="2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Histórico</w:t>
            </w:r>
          </w:p>
        </w:tc>
        <w:tc>
          <w:tcPr>
            <w:tcW w:type="dxa" w:w="75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Série mínima de três exercícios ou o período exigido; versões anteriores preservadas.</w:t>
            </w:r>
          </w:p>
        </w:tc>
      </w:tr>
      <w:tr>
        <w:trPr>
          <w:cantSplit/>
        </w:trPr>
        <w:tc>
          <w:tcPr>
            <w:tcW w:type="dxa" w:w="2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Integração</w:t>
            </w:r>
          </w:p>
        </w:tc>
        <w:tc>
          <w:tcPr>
            <w:tcW w:type="dxa" w:w="75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Identificadores que liguem matéria, processo, licitação, contrato, empenho, pagamento e PNCP.</w:t>
            </w:r>
          </w:p>
        </w:tc>
      </w:tr>
      <w:tr>
        <w:trPr>
          <w:cantSplit/>
        </w:trPr>
        <w:tc>
          <w:tcPr>
            <w:tcW w:type="dxa" w:w="2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Acessibilidade</w:t>
            </w:r>
          </w:p>
        </w:tc>
        <w:tc>
          <w:tcPr>
            <w:tcW w:type="dxa" w:w="75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Navegação por teclado, leitor de tela, contraste, texto redimensionável e documento pesquisável.</w:t>
            </w:r>
          </w:p>
        </w:tc>
      </w:tr>
      <w:tr>
        <w:trPr>
          <w:cantSplit/>
        </w:trPr>
        <w:tc>
          <w:tcPr>
            <w:tcW w:type="dxa" w:w="2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Rastreabilidade</w:t>
            </w:r>
          </w:p>
        </w:tc>
        <w:tc>
          <w:tcPr>
            <w:tcW w:type="dxa" w:w="75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URL permanente, versão, fonte, dicionário de dados e contato técnico.</w:t>
            </w:r>
          </w:p>
        </w:tc>
      </w:tr>
      <w:tr>
        <w:trPr>
          <w:cantSplit/>
        </w:trPr>
        <w:tc>
          <w:tcPr>
            <w:tcW w:type="dxa" w:w="2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Proteção de dados</w:t>
            </w:r>
          </w:p>
        </w:tc>
        <w:tc>
          <w:tcPr>
            <w:tcW w:type="dxa" w:w="75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Tarja apenas no trecho protegido, entrega da parte pública e indicação da base legal da restrição.</w:t>
            </w:r>
          </w:p>
        </w:tc>
      </w:tr>
    </w:tbl>
    <w:p>
      <w:pPr>
        <w:pStyle w:val="Heading1"/>
      </w:pPr>
      <w:r>
        <w:t>7. Prazos e periodicidades prioritários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4388"/>
        <w:gridCol w:w="265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INFORMAÇÃO</w:t>
            </w:r>
          </w:p>
        </w:tc>
        <w:tc>
          <w:tcPr>
            <w:tcW w:type="dxa" w:w="438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PRAZO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BASE</w:t>
            </w:r>
          </w:p>
        </w:tc>
      </w:tr>
      <w:tr>
        <w:trPr>
          <w:cantSplit/>
        </w:trPr>
        <w:tc>
          <w:tcPr>
            <w:tcW w:type="dxa" w:w="26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Execução orçamentária e financeira</w:t>
            </w:r>
          </w:p>
        </w:tc>
        <w:tc>
          <w:tcPr>
            <w:tcW w:type="dxa" w:w="438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Até o primeiro dia útil seguinte ao registro contábil.</w:t>
            </w:r>
          </w:p>
        </w:tc>
        <w:tc>
          <w:tcPr>
            <w:tcW w:type="dxa" w:w="26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Decreto nº 10.540/2020.</w:t>
            </w:r>
          </w:p>
        </w:tc>
      </w:tr>
      <w:tr>
        <w:trPr>
          <w:cantSplit/>
        </w:trPr>
        <w:tc>
          <w:tcPr>
            <w:tcW w:type="dxa" w:w="26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Pedido de acesso à informação</w:t>
            </w:r>
          </w:p>
        </w:tc>
        <w:tc>
          <w:tcPr>
            <w:tcW w:type="dxa" w:w="438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Imediato; se inviável, até 20 dias, prorrogáveis uma vez por 10 dias com justificativa.</w:t>
            </w:r>
          </w:p>
        </w:tc>
        <w:tc>
          <w:tcPr>
            <w:tcW w:type="dxa" w:w="265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LAI e Lei Municipal nº 5.729/2013.</w:t>
            </w:r>
          </w:p>
        </w:tc>
      </w:tr>
      <w:tr>
        <w:trPr>
          <w:cantSplit/>
        </w:trPr>
        <w:tc>
          <w:tcPr>
            <w:tcW w:type="dxa" w:w="26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Recurso LAI</w:t>
            </w:r>
          </w:p>
        </w:tc>
        <w:tc>
          <w:tcPr>
            <w:tcW w:type="dxa" w:w="438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Requerente: 10 dias; decisão da autoridade superior: 5 dias.</w:t>
            </w:r>
          </w:p>
        </w:tc>
        <w:tc>
          <w:tcPr>
            <w:tcW w:type="dxa" w:w="26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Lei nº 12.527/2011, art. 15.</w:t>
            </w:r>
          </w:p>
        </w:tc>
      </w:tr>
      <w:tr>
        <w:trPr>
          <w:cantSplit/>
        </w:trPr>
        <w:tc>
          <w:tcPr>
            <w:tcW w:type="dxa" w:w="26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Ouvidoria</w:t>
            </w:r>
          </w:p>
        </w:tc>
        <w:tc>
          <w:tcPr>
            <w:tcW w:type="dxa" w:w="438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Decisão final em 30 dias, prorrogável uma vez por mais 30, com justificativa.</w:t>
            </w:r>
          </w:p>
        </w:tc>
        <w:tc>
          <w:tcPr>
            <w:tcW w:type="dxa" w:w="265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Lei nº 13.460/2017, art. 16.</w:t>
            </w:r>
          </w:p>
        </w:tc>
      </w:tr>
      <w:tr>
        <w:trPr>
          <w:cantSplit/>
        </w:trPr>
        <w:tc>
          <w:tcPr>
            <w:tcW w:type="dxa" w:w="26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RGF</w:t>
            </w:r>
          </w:p>
        </w:tc>
        <w:tc>
          <w:tcPr>
            <w:tcW w:type="dxa" w:w="438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Até 30 dias após cada quadrimestre.</w:t>
            </w:r>
          </w:p>
        </w:tc>
        <w:tc>
          <w:tcPr>
            <w:tcW w:type="dxa" w:w="26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LRF, arts. 54 e 55.</w:t>
            </w:r>
          </w:p>
        </w:tc>
      </w:tr>
      <w:tr>
        <w:trPr>
          <w:cantSplit/>
        </w:trPr>
        <w:tc>
          <w:tcPr>
            <w:tcW w:type="dxa" w:w="26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Contas municipais</w:t>
            </w:r>
          </w:p>
        </w:tc>
        <w:tc>
          <w:tcPr>
            <w:tcW w:type="dxa" w:w="438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Durante todo o exercício; também por 60 dias anuais para exame do contribuinte.</w:t>
            </w:r>
          </w:p>
        </w:tc>
        <w:tc>
          <w:tcPr>
            <w:tcW w:type="dxa" w:w="265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LRF, art. 49; CF, art. 31, §3º.</w:t>
            </w:r>
          </w:p>
        </w:tc>
      </w:tr>
      <w:tr>
        <w:trPr>
          <w:cantSplit/>
        </w:trPr>
        <w:tc>
          <w:tcPr>
            <w:tcW w:type="dxa" w:w="26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Contratos no PNCP</w:t>
            </w:r>
          </w:p>
        </w:tc>
        <w:tc>
          <w:tcPr>
            <w:tcW w:type="dxa" w:w="438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20 dias úteis após assinatura em licitação; 10 dias úteis na contratação direta.</w:t>
            </w:r>
          </w:p>
        </w:tc>
        <w:tc>
          <w:tcPr>
            <w:tcW w:type="dxa" w:w="26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Lei nº 14.133/2021, art. 94.</w:t>
            </w:r>
          </w:p>
        </w:tc>
      </w:tr>
      <w:tr>
        <w:trPr>
          <w:cantSplit/>
        </w:trPr>
        <w:tc>
          <w:tcPr>
            <w:tcW w:type="dxa" w:w="26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Obras contratadas</w:t>
            </w:r>
          </w:p>
        </w:tc>
        <w:tc>
          <w:tcPr>
            <w:tcW w:type="dxa" w:w="438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Quantidades/preços em 25 dias úteis da assinatura; executados/pagos em 45 dias úteis da conclusão.</w:t>
            </w:r>
          </w:p>
        </w:tc>
        <w:tc>
          <w:tcPr>
            <w:tcW w:type="dxa" w:w="265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Lei nº 14.133/2021, art. 94, §3º.</w:t>
            </w:r>
          </w:p>
        </w:tc>
      </w:tr>
    </w:tbl>
    <w:p>
      <w:pPr>
        <w:pStyle w:val="Heading1"/>
      </w:pPr>
      <w:r>
        <w:t>8. Modelo de governança participativa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7138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RESPONSÁVEL</w:t>
            </w:r>
          </w:p>
        </w:tc>
        <w:tc>
          <w:tcPr>
            <w:tcW w:type="dxa" w:w="713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CONTRIBUIÇÃO SUGERIDA</w:t>
            </w:r>
          </w:p>
        </w:tc>
      </w:tr>
      <w:tr>
        <w:trPr>
          <w:cantSplit/>
        </w:trPr>
        <w:tc>
          <w:tcPr>
            <w:tcW w:type="dxa" w:w="25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Mesa Diretora</w:t>
            </w:r>
          </w:p>
        </w:tc>
        <w:tc>
          <w:tcPr>
            <w:tcW w:type="dxa" w:w="71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Patrocinar o plano, remover impedimentos e acompanhar o cronograma mensal.</w:t>
            </w:r>
          </w:p>
        </w:tc>
      </w:tr>
      <w:tr>
        <w:trPr>
          <w:cantSplit/>
        </w:trPr>
        <w:tc>
          <w:tcPr>
            <w:tcW w:type="dxa" w:w="25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Controladoria Interna</w:t>
            </w:r>
          </w:p>
        </w:tc>
        <w:tc>
          <w:tcPr>
            <w:tcW w:type="dxa" w:w="71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Validar critérios, evidências, prazos legais e correções antes da publicação.</w:t>
            </w:r>
          </w:p>
        </w:tc>
      </w:tr>
      <w:tr>
        <w:trPr>
          <w:cantSplit/>
        </w:trPr>
        <w:tc>
          <w:tcPr>
            <w:tcW w:type="dxa" w:w="25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Tecnologia da Informação</w:t>
            </w:r>
          </w:p>
        </w:tc>
        <w:tc>
          <w:tcPr>
            <w:tcW w:type="dxa" w:w="71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Garantir disponibilidade, integrações, acessibilidade, busca, exportação, APIs e monitoramento.</w:t>
            </w:r>
          </w:p>
        </w:tc>
      </w:tr>
      <w:tr>
        <w:trPr>
          <w:cantSplit/>
        </w:trPr>
        <w:tc>
          <w:tcPr>
            <w:tcW w:type="dxa" w:w="25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Contabilidade e Finanças</w:t>
            </w:r>
          </w:p>
        </w:tc>
        <w:tc>
          <w:tcPr>
            <w:tcW w:type="dxa" w:w="71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Manter receitas, despesas, RGF, balanço, pagamentos e conciliações no prazo.</w:t>
            </w:r>
          </w:p>
        </w:tc>
      </w:tr>
      <w:tr>
        <w:trPr>
          <w:cantSplit/>
        </w:trPr>
        <w:tc>
          <w:tcPr>
            <w:tcW w:type="dxa" w:w="25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Licitações e Contratos</w:t>
            </w:r>
          </w:p>
        </w:tc>
        <w:tc>
          <w:tcPr>
            <w:tcW w:type="dxa" w:w="71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Publicar processos, documentos, PNCP, contratos, aditivos, fiscais e execução.</w:t>
            </w:r>
          </w:p>
        </w:tc>
      </w:tr>
      <w:tr>
        <w:trPr>
          <w:cantSplit/>
        </w:trPr>
        <w:tc>
          <w:tcPr>
            <w:tcW w:type="dxa" w:w="25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Recursos Humanos</w:t>
            </w:r>
          </w:p>
        </w:tc>
        <w:tc>
          <w:tcPr>
            <w:tcW w:type="dxa" w:w="71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Atualizar pessoal, remuneração, cargos, atos, concursos, estagiários e terceirizados.</w:t>
            </w:r>
          </w:p>
        </w:tc>
      </w:tr>
      <w:tr>
        <w:trPr>
          <w:cantSplit/>
        </w:trPr>
        <w:tc>
          <w:tcPr>
            <w:tcW w:type="dxa" w:w="25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Secretaria Legislativa</w:t>
            </w:r>
          </w:p>
        </w:tc>
        <w:tc>
          <w:tcPr>
            <w:tcW w:type="dxa" w:w="71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Atualizar matérias, pautas, comissões, atas, presença, votações e julgamento de contas.</w:t>
            </w:r>
          </w:p>
        </w:tc>
      </w:tr>
      <w:tr>
        <w:trPr>
          <w:cantSplit/>
        </w:trPr>
        <w:tc>
          <w:tcPr>
            <w:tcW w:type="dxa" w:w="25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SIC, Ouvidoria e LGPD</w:t>
            </w:r>
          </w:p>
        </w:tc>
        <w:tc>
          <w:tcPr>
            <w:tcW w:type="dxa" w:w="71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Cuidar dos canais, prazos, relatórios, Carta de Serviços, privacidade e acesso parcial.</w:t>
            </w:r>
          </w:p>
        </w:tc>
      </w:tr>
      <w:tr>
        <w:trPr>
          <w:cantSplit/>
        </w:trPr>
        <w:tc>
          <w:tcPr>
            <w:tcW w:type="dxa" w:w="25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Comunicação</w:t>
            </w:r>
          </w:p>
        </w:tc>
        <w:tc>
          <w:tcPr>
            <w:tcW w:type="dxa" w:w="71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Traduzir conteúdos, divulgar atualizações e ampliar participação e pesquisa de satisfação.</w:t>
            </w:r>
          </w:p>
        </w:tc>
      </w:tr>
      <w:tr>
        <w:trPr>
          <w:cantSplit/>
        </w:trPr>
        <w:tc>
          <w:tcPr>
            <w:tcW w:type="dxa" w:w="25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Sociedade civil</w:t>
            </w:r>
          </w:p>
        </w:tc>
        <w:tc>
          <w:tcPr>
            <w:tcW w:type="dxa" w:w="71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Testar o portal, indicar barreiras, participar de reuniões e acompanhar a matriz pública.</w:t>
            </w:r>
          </w:p>
        </w:tc>
      </w:tr>
    </w:tbl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80" w:type="dxa"/>
              <w:start w:w="120" w:type="dxa"/>
              <w:bottom w:w="80" w:type="dxa"/>
              <w:end w:w="120" w:type="dxa"/>
            </w:tcMar>
            <w:shd w:fill="EAF5EF"/>
            <w:tcBorders>
              <w:left w:val="single" w:sz="18" w:color="297A5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 xml:space="preserve">Proposta de participação. </w:t>
            </w:r>
            <w:r>
              <w:rPr>
                <w:rFonts w:ascii="Calibri" w:hAnsi="Calibri"/>
                <w:color w:val="20262C"/>
                <w:sz w:val="20"/>
              </w:rPr>
              <w:t>Realizar uma reunião técnica inicial, seguida de devolutiva pública em até 30 dias. A sociedade civil poderá contribuir com testes de navegação, organização das evidências e sugestões em linguagem cidadã, respeitando a autonomia administrativa da Câmara.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9. Painel público de acompanhamento</w:t>
      </w:r>
    </w:p>
    <w:p>
      <w:pPr>
        <w:keepLines/>
        <w:widowControl/>
        <w:jc w:val="both"/>
      </w:pPr>
      <w:r>
        <w:rPr>
          <w:rFonts w:ascii="Calibri" w:hAnsi="Calibri"/>
          <w:color w:val="20262C"/>
          <w:sz w:val="21"/>
        </w:rPr>
        <w:t>Sugere-se publicar uma planilha ou painel com uma linha para cada critério. O acompanhamento deve permanecer acessível entre os ciclos de avaliação e registrar tanto as correções quanto eventuais regressões.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438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43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CONTEÚDO</w:t>
            </w:r>
          </w:p>
        </w:tc>
      </w:tr>
      <w:tr>
        <w:trPr>
          <w:cantSplit/>
        </w:trPr>
        <w:tc>
          <w:tcPr>
            <w:tcW w:type="dxa" w:w="22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Critério PNTP</w:t>
            </w:r>
          </w:p>
        </w:tc>
        <w:tc>
          <w:tcPr>
            <w:tcW w:type="dxa" w:w="74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ID, classe e descrição.</w:t>
            </w:r>
          </w:p>
        </w:tc>
      </w:tr>
      <w:tr>
        <w:trPr>
          <w:cantSplit/>
        </w:trPr>
        <w:tc>
          <w:tcPr>
            <w:tcW w:type="dxa" w:w="22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Situação</w:t>
            </w:r>
          </w:p>
        </w:tc>
        <w:tc>
          <w:tcPr>
            <w:tcW w:type="dxa" w:w="74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Atende; atende parcialmente; não atende; não se aplica; em validação.</w:t>
            </w:r>
          </w:p>
        </w:tc>
      </w:tr>
      <w:tr>
        <w:trPr>
          <w:cantSplit/>
        </w:trPr>
        <w:tc>
          <w:tcPr>
            <w:tcW w:type="dxa" w:w="22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Evidência</w:t>
            </w:r>
          </w:p>
        </w:tc>
        <w:tc>
          <w:tcPr>
            <w:tcW w:type="dxa" w:w="74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URL direta, arquivo, tela ou relatório que comprova o atendimento.</w:t>
            </w:r>
          </w:p>
        </w:tc>
      </w:tr>
      <w:tr>
        <w:trPr>
          <w:cantSplit/>
        </w:trPr>
        <w:tc>
          <w:tcPr>
            <w:tcW w:type="dxa" w:w="22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Qualidade</w:t>
            </w:r>
          </w:p>
        </w:tc>
        <w:tc>
          <w:tcPr>
            <w:tcW w:type="dxa" w:w="74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Disponibilidade, atualidade, histórico, gravação/exportação e pesquisa.</w:t>
            </w:r>
          </w:p>
        </w:tc>
      </w:tr>
      <w:tr>
        <w:trPr>
          <w:cantSplit/>
        </w:trPr>
        <w:tc>
          <w:tcPr>
            <w:tcW w:type="dxa" w:w="22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Responsável</w:t>
            </w:r>
          </w:p>
        </w:tc>
        <w:tc>
          <w:tcPr>
            <w:tcW w:type="dxa" w:w="74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Setor e agente encarregado pela atualização.</w:t>
            </w:r>
          </w:p>
        </w:tc>
      </w:tr>
      <w:tr>
        <w:trPr>
          <w:cantSplit/>
        </w:trPr>
        <w:tc>
          <w:tcPr>
            <w:tcW w:type="dxa" w:w="22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Prazo</w:t>
            </w:r>
          </w:p>
        </w:tc>
        <w:tc>
          <w:tcPr>
            <w:tcW w:type="dxa" w:w="74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Data prevista e data efetiva de conclusão.</w:t>
            </w:r>
          </w:p>
        </w:tc>
      </w:tr>
      <w:tr>
        <w:trPr>
          <w:cantSplit/>
        </w:trPr>
        <w:tc>
          <w:tcPr>
            <w:tcW w:type="dxa" w:w="22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Observação</w:t>
            </w:r>
          </w:p>
        </w:tc>
        <w:tc>
          <w:tcPr>
            <w:tcW w:type="dxa" w:w="74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Pendência, justificativa, dependência do fornecedor e próxima ação.</w:t>
            </w:r>
          </w:p>
        </w:tc>
      </w:tr>
      <w:tr>
        <w:trPr>
          <w:cantSplit/>
        </w:trPr>
        <w:tc>
          <w:tcPr>
            <w:tcW w:type="dxa" w:w="22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Revisão</w:t>
            </w:r>
          </w:p>
        </w:tc>
        <w:tc>
          <w:tcPr>
            <w:tcW w:type="dxa" w:w="74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Data, responsável e resultado do último teste.</w:t>
            </w:r>
          </w:p>
        </w:tc>
      </w:tr>
    </w:tbl>
    <w:p>
      <w:pPr>
        <w:pStyle w:val="Heading1"/>
      </w:pPr>
      <w:r>
        <w:t>10. Base normativa e referências</w:t>
      </w:r>
    </w:p>
    <w:p>
      <w:pPr>
        <w:spacing w:after="80"/>
        <w:ind w:left="85" w:hanging="85"/>
      </w:pPr>
      <w:r>
        <w:rPr>
          <w:rFonts w:ascii="Calibri" w:hAnsi="Calibri"/>
          <w:b/>
          <w:color w:val="1F5D8F"/>
          <w:sz w:val="19"/>
        </w:rPr>
        <w:t xml:space="preserve">1. </w:t>
      </w:r>
      <w:hyperlink r:id="rId14">
        <w:r>
          <w:rPr>
            <w:color w:val="1F5D8F"/>
            <w:u w:val="single"/>
            <w:sz w:val="20"/>
          </w:rPr>
          <w:t>Portal de Transparência da Câmara</w:t>
        </w:r>
      </w:hyperlink>
      <w:r>
        <w:rPr>
          <w:rFonts w:ascii="Calibri" w:hAnsi="Calibri"/>
          <w:color w:val="20262C"/>
          <w:sz w:val="19"/>
        </w:rPr>
        <w:t xml:space="preserve"> - estrutura atual de acesso às informações.</w:t>
      </w:r>
    </w:p>
    <w:p>
      <w:pPr>
        <w:spacing w:after="80"/>
        <w:ind w:left="85" w:hanging="85"/>
      </w:pPr>
      <w:r>
        <w:rPr>
          <w:rFonts w:ascii="Calibri" w:hAnsi="Calibri"/>
          <w:b/>
          <w:color w:val="1F5D8F"/>
          <w:sz w:val="19"/>
        </w:rPr>
        <w:t xml:space="preserve">2. </w:t>
      </w:r>
      <w:hyperlink r:id="rId12">
        <w:r>
          <w:rPr>
            <w:color w:val="1F5D8F"/>
            <w:u w:val="single"/>
            <w:sz w:val="20"/>
          </w:rPr>
          <w:t>Downloads oficiais PNTP</w:t>
        </w:r>
      </w:hyperlink>
      <w:r>
        <w:rPr>
          <w:rFonts w:ascii="Calibri" w:hAnsi="Calibri"/>
          <w:color w:val="20262C"/>
          <w:sz w:val="19"/>
        </w:rPr>
        <w:t xml:space="preserve"> - matriz do ciclo 2026.</w:t>
      </w:r>
    </w:p>
    <w:p>
      <w:pPr>
        <w:spacing w:after="80"/>
        <w:ind w:left="85" w:hanging="85"/>
      </w:pPr>
      <w:r>
        <w:rPr>
          <w:rFonts w:ascii="Calibri" w:hAnsi="Calibri"/>
          <w:b/>
          <w:color w:val="1F5D8F"/>
          <w:sz w:val="19"/>
        </w:rPr>
        <w:t xml:space="preserve">3. </w:t>
      </w:r>
      <w:hyperlink r:id="rId15">
        <w:r>
          <w:rPr>
            <w:color w:val="1F5D8F"/>
            <w:u w:val="single"/>
            <w:sz w:val="20"/>
          </w:rPr>
          <w:t>Cartilha PNTP 2026</w:t>
        </w:r>
      </w:hyperlink>
      <w:r>
        <w:rPr>
          <w:rFonts w:ascii="Calibri" w:hAnsi="Calibri"/>
          <w:color w:val="20262C"/>
          <w:sz w:val="19"/>
        </w:rPr>
        <w:t xml:space="preserve"> - metodologia e níveis de transparência.</w:t>
      </w:r>
    </w:p>
    <w:p>
      <w:pPr>
        <w:spacing w:after="80"/>
        <w:ind w:left="85" w:hanging="85"/>
      </w:pPr>
      <w:r>
        <w:rPr>
          <w:rFonts w:ascii="Calibri" w:hAnsi="Calibri"/>
          <w:b/>
          <w:color w:val="1F5D8F"/>
          <w:sz w:val="19"/>
        </w:rPr>
        <w:t xml:space="preserve">4. </w:t>
      </w:r>
      <w:hyperlink r:id="rId16">
        <w:r>
          <w:rPr>
            <w:color w:val="1F5D8F"/>
            <w:u w:val="single"/>
            <w:sz w:val="20"/>
          </w:rPr>
          <w:t>Resultado público anteriormente consultado</w:t>
        </w:r>
      </w:hyperlink>
      <w:r>
        <w:rPr>
          <w:rFonts w:ascii="Calibri" w:hAnsi="Calibri"/>
          <w:color w:val="20262C"/>
          <w:sz w:val="19"/>
        </w:rPr>
        <w:t xml:space="preserve"> - índice e evolução; sujeito à confirmação oficial.</w:t>
      </w:r>
    </w:p>
    <w:p>
      <w:pPr>
        <w:spacing w:after="80"/>
        <w:ind w:left="85" w:hanging="85"/>
      </w:pPr>
      <w:r>
        <w:rPr>
          <w:rFonts w:ascii="Calibri" w:hAnsi="Calibri"/>
          <w:b/>
          <w:color w:val="1F5D8F"/>
          <w:sz w:val="19"/>
        </w:rPr>
        <w:t xml:space="preserve">5. </w:t>
      </w:r>
      <w:hyperlink r:id="rId17">
        <w:r>
          <w:rPr>
            <w:color w:val="1F5D8F"/>
            <w:u w:val="single"/>
            <w:sz w:val="20"/>
          </w:rPr>
          <w:t>Lei nº 12.527/2011 - LAI</w:t>
        </w:r>
      </w:hyperlink>
      <w:r>
        <w:rPr>
          <w:rFonts w:ascii="Calibri" w:hAnsi="Calibri"/>
          <w:color w:val="20262C"/>
          <w:sz w:val="19"/>
        </w:rPr>
        <w:t xml:space="preserve"> - transparência ativa, formatos, prazos e recursos.</w:t>
      </w:r>
    </w:p>
    <w:p>
      <w:pPr>
        <w:spacing w:after="80"/>
        <w:ind w:left="85" w:hanging="85"/>
      </w:pPr>
      <w:r>
        <w:rPr>
          <w:rFonts w:ascii="Calibri" w:hAnsi="Calibri"/>
          <w:b/>
          <w:color w:val="1F5D8F"/>
          <w:sz w:val="19"/>
        </w:rPr>
        <w:t xml:space="preserve">6. </w:t>
      </w:r>
      <w:hyperlink r:id="rId18">
        <w:r>
          <w:rPr>
            <w:color w:val="1F5D8F"/>
            <w:u w:val="single"/>
            <w:sz w:val="20"/>
          </w:rPr>
          <w:t>Lei Municipal nº 5.729/2013</w:t>
        </w:r>
      </w:hyperlink>
      <w:r>
        <w:rPr>
          <w:rFonts w:ascii="Calibri" w:hAnsi="Calibri"/>
          <w:color w:val="20262C"/>
          <w:sz w:val="19"/>
        </w:rPr>
        <w:t xml:space="preserve"> - regulamentação local para Executivo e Legislativo.</w:t>
      </w:r>
    </w:p>
    <w:p>
      <w:pPr>
        <w:spacing w:after="80"/>
        <w:ind w:left="85" w:hanging="85"/>
      </w:pPr>
      <w:r>
        <w:rPr>
          <w:rFonts w:ascii="Calibri" w:hAnsi="Calibri"/>
          <w:b/>
          <w:color w:val="1F5D8F"/>
          <w:sz w:val="19"/>
        </w:rPr>
        <w:t xml:space="preserve">7. </w:t>
      </w:r>
      <w:hyperlink r:id="rId19">
        <w:r>
          <w:rPr>
            <w:color w:val="1F5D8F"/>
            <w:u w:val="single"/>
            <w:sz w:val="20"/>
          </w:rPr>
          <w:t>Lei Complementar nº 101/2000 - LRF</w:t>
        </w:r>
      </w:hyperlink>
      <w:r>
        <w:rPr>
          <w:rFonts w:ascii="Calibri" w:hAnsi="Calibri"/>
          <w:color w:val="20262C"/>
          <w:sz w:val="19"/>
        </w:rPr>
        <w:t xml:space="preserve"> - contas, relatórios e fiscalização.</w:t>
      </w:r>
    </w:p>
    <w:p>
      <w:pPr>
        <w:spacing w:after="80"/>
        <w:ind w:left="85" w:hanging="85"/>
      </w:pPr>
      <w:r>
        <w:rPr>
          <w:rFonts w:ascii="Calibri" w:hAnsi="Calibri"/>
          <w:b/>
          <w:color w:val="1F5D8F"/>
          <w:sz w:val="19"/>
        </w:rPr>
        <w:t xml:space="preserve">8. </w:t>
      </w:r>
      <w:hyperlink r:id="rId20">
        <w:r>
          <w:rPr>
            <w:color w:val="1F5D8F"/>
            <w:u w:val="single"/>
            <w:sz w:val="20"/>
          </w:rPr>
          <w:t>Decreto nº 10.540/2020 - SIAFIC</w:t>
        </w:r>
      </w:hyperlink>
      <w:r>
        <w:rPr>
          <w:rFonts w:ascii="Calibri" w:hAnsi="Calibri"/>
          <w:color w:val="20262C"/>
          <w:sz w:val="19"/>
        </w:rPr>
        <w:t xml:space="preserve"> - tempo real e detalhamento.</w:t>
      </w:r>
    </w:p>
    <w:p>
      <w:pPr>
        <w:spacing w:after="80"/>
        <w:ind w:left="85" w:hanging="85"/>
      </w:pPr>
      <w:r>
        <w:rPr>
          <w:rFonts w:ascii="Calibri" w:hAnsi="Calibri"/>
          <w:b/>
          <w:color w:val="1F5D8F"/>
          <w:sz w:val="19"/>
        </w:rPr>
        <w:t xml:space="preserve">9. </w:t>
      </w:r>
      <w:hyperlink r:id="rId21">
        <w:r>
          <w:rPr>
            <w:color w:val="1F5D8F"/>
            <w:u w:val="single"/>
            <w:sz w:val="20"/>
          </w:rPr>
          <w:t>Lei nº 14.133/2021</w:t>
        </w:r>
      </w:hyperlink>
      <w:r>
        <w:rPr>
          <w:rFonts w:ascii="Calibri" w:hAnsi="Calibri"/>
          <w:color w:val="20262C"/>
          <w:sz w:val="19"/>
        </w:rPr>
        <w:t xml:space="preserve"> - PNCP, contratos e obras.</w:t>
      </w:r>
    </w:p>
    <w:p>
      <w:pPr>
        <w:spacing w:after="80"/>
        <w:ind w:left="85" w:hanging="85"/>
      </w:pPr>
      <w:r>
        <w:rPr>
          <w:rFonts w:ascii="Calibri" w:hAnsi="Calibri"/>
          <w:b/>
          <w:color w:val="1F5D8F"/>
          <w:sz w:val="19"/>
        </w:rPr>
        <w:t xml:space="preserve">10. </w:t>
      </w:r>
      <w:hyperlink r:id="rId22">
        <w:r>
          <w:rPr>
            <w:color w:val="1F5D8F"/>
            <w:u w:val="single"/>
            <w:sz w:val="20"/>
          </w:rPr>
          <w:t>Lei nº 13.460/2017</w:t>
        </w:r>
      </w:hyperlink>
      <w:r>
        <w:rPr>
          <w:rFonts w:ascii="Calibri" w:hAnsi="Calibri"/>
          <w:color w:val="20262C"/>
          <w:sz w:val="19"/>
        </w:rPr>
        <w:t xml:space="preserve"> - Ouvidoria e direitos do usuário.</w:t>
      </w:r>
    </w:p>
    <w:p>
      <w:pPr>
        <w:spacing w:after="80"/>
        <w:ind w:left="85" w:hanging="85"/>
      </w:pPr>
      <w:r>
        <w:rPr>
          <w:rFonts w:ascii="Calibri" w:hAnsi="Calibri"/>
          <w:b/>
          <w:color w:val="1F5D8F"/>
          <w:sz w:val="19"/>
        </w:rPr>
        <w:t xml:space="preserve">11. </w:t>
      </w:r>
      <w:hyperlink r:id="rId23">
        <w:r>
          <w:rPr>
            <w:color w:val="1F5D8F"/>
            <w:u w:val="single"/>
            <w:sz w:val="20"/>
          </w:rPr>
          <w:t>Lei nº 13.709/2018 - LGPD</w:t>
        </w:r>
      </w:hyperlink>
      <w:r>
        <w:rPr>
          <w:rFonts w:ascii="Calibri" w:hAnsi="Calibri"/>
          <w:color w:val="20262C"/>
          <w:sz w:val="19"/>
        </w:rPr>
        <w:t xml:space="preserve"> - proteção de dados pelo poder público.</w:t>
      </w:r>
    </w:p>
    <w:p>
      <w:pPr>
        <w:spacing w:after="80"/>
        <w:ind w:left="85" w:hanging="85"/>
      </w:pPr>
      <w:r>
        <w:rPr>
          <w:rFonts w:ascii="Calibri" w:hAnsi="Calibri"/>
          <w:b/>
          <w:color w:val="1F5D8F"/>
          <w:sz w:val="19"/>
        </w:rPr>
        <w:t xml:space="preserve">12. </w:t>
      </w:r>
      <w:hyperlink r:id="rId24">
        <w:r>
          <w:rPr>
            <w:color w:val="1F5D8F"/>
            <w:u w:val="single"/>
            <w:sz w:val="20"/>
          </w:rPr>
          <w:t>Lei nº 13.146/2015 - LBI</w:t>
        </w:r>
      </w:hyperlink>
      <w:r>
        <w:rPr>
          <w:rFonts w:ascii="Calibri" w:hAnsi="Calibri"/>
          <w:color w:val="20262C"/>
          <w:sz w:val="19"/>
        </w:rPr>
        <w:t xml:space="preserve"> - acessibilidade dos sítios governamentais.</w:t>
      </w:r>
    </w:p>
    <w:p>
      <w:pPr>
        <w:spacing w:after="80"/>
        <w:ind w:left="85" w:hanging="85"/>
      </w:pPr>
      <w:r>
        <w:rPr>
          <w:rFonts w:ascii="Calibri" w:hAnsi="Calibri"/>
          <w:b/>
          <w:color w:val="1F5D8F"/>
          <w:sz w:val="19"/>
        </w:rPr>
        <w:t xml:space="preserve">13. </w:t>
      </w:r>
      <w:hyperlink r:id="rId25">
        <w:r>
          <w:rPr>
            <w:color w:val="1F5D8F"/>
            <w:u w:val="single"/>
            <w:sz w:val="20"/>
          </w:rPr>
          <w:t>Constituição Federal, art. 37 e §1º</w:t>
        </w:r>
      </w:hyperlink>
      <w:r>
        <w:rPr>
          <w:rFonts w:ascii="Calibri" w:hAnsi="Calibri"/>
          <w:color w:val="20262C"/>
          <w:sz w:val="19"/>
        </w:rPr>
        <w:t xml:space="preserve"> - princípios da administração e publicidade institucional.</w:t>
      </w:r>
    </w:p>
    <w:p>
      <w:pPr>
        <w:spacing w:after="80"/>
        <w:ind w:left="85" w:hanging="85"/>
      </w:pPr>
      <w:r>
        <w:rPr>
          <w:rFonts w:ascii="Calibri" w:hAnsi="Calibri"/>
          <w:b/>
          <w:color w:val="1F5D8F"/>
          <w:sz w:val="19"/>
        </w:rPr>
        <w:t xml:space="preserve">14. </w:t>
      </w:r>
      <w:hyperlink r:id="rId26">
        <w:r>
          <w:rPr>
            <w:color w:val="1F5D8F"/>
            <w:u w:val="single"/>
            <w:sz w:val="20"/>
          </w:rPr>
          <w:t>Lei Complementar nº 131/2009</w:t>
        </w:r>
      </w:hyperlink>
      <w:r>
        <w:rPr>
          <w:rFonts w:ascii="Calibri" w:hAnsi="Calibri"/>
          <w:color w:val="20262C"/>
          <w:sz w:val="19"/>
        </w:rPr>
        <w:t xml:space="preserve"> - transparência da execução orçamentária e financeira.</w:t>
      </w:r>
    </w:p>
    <w:p>
      <w:pPr>
        <w:spacing w:after="80"/>
        <w:ind w:left="85" w:hanging="85"/>
      </w:pPr>
      <w:r>
        <w:rPr>
          <w:rFonts w:ascii="Calibri" w:hAnsi="Calibri"/>
          <w:b/>
          <w:color w:val="1F5D8F"/>
          <w:sz w:val="19"/>
        </w:rPr>
        <w:t xml:space="preserve">15. </w:t>
      </w:r>
      <w:hyperlink r:id="rId27">
        <w:r>
          <w:rPr>
            <w:color w:val="1F5D8F"/>
            <w:u w:val="single"/>
            <w:sz w:val="20"/>
          </w:rPr>
          <w:t>Lei nº 12.232/2010</w:t>
        </w:r>
      </w:hyperlink>
      <w:r>
        <w:rPr>
          <w:rFonts w:ascii="Calibri" w:hAnsi="Calibri"/>
          <w:color w:val="20262C"/>
          <w:sz w:val="19"/>
        </w:rPr>
        <w:t xml:space="preserve"> - contratação de serviços de publicidade por agências.</w:t>
      </w:r>
    </w:p>
    <w:p>
      <w:pPr>
        <w:pStyle w:val="Heading1"/>
      </w:pPr>
      <w:r>
        <w:t>Anexo A - Checklist completo PNTP 2026 para a Câmara</w:t>
      </w:r>
    </w:p>
    <w:p>
      <w:pPr>
        <w:keepLines/>
        <w:widowControl/>
        <w:jc w:val="both"/>
      </w:pPr>
      <w:r>
        <w:rPr>
          <w:rFonts w:ascii="Calibri" w:hAnsi="Calibri"/>
          <w:color w:val="20262C"/>
          <w:sz w:val="21"/>
        </w:rPr>
        <w:t>Este anexo reúne todos os 83 critérios aplicáveis às matrizes COMUM, COMUM (exceto estatais), COMUM (exceto estatais independentes) e PODER LEGISLATIVO. A coluna Situação sugerida não presume falha: orienta a Câmara a validar, regularizar e publicar a evidência.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80" w:type="dxa"/>
              <w:start w:w="120" w:type="dxa"/>
              <w:bottom w:w="80" w:type="dxa"/>
              <w:end w:w="120" w:type="dxa"/>
            </w:tcMar>
            <w:shd w:fill="FFF7DD"/>
            <w:tcBorders>
              <w:left w:val="single" w:sz="18" w:color="8A650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 xml:space="preserve">Regra de priorização. </w:t>
            </w:r>
            <w:r>
              <w:rPr>
                <w:rFonts w:ascii="Calibri" w:hAnsi="Calibri"/>
                <w:color w:val="20262C"/>
                <w:sz w:val="20"/>
              </w:rPr>
              <w:t>Critérios essenciais devem alcançar 100%. Em seguida, corrigem-se os obrigatórios e, depois, os recomendados. Cada validação deve testar disponibilidade, atualidade, série histórica, gravação/exportação e filtros de pesquisa.</w:t>
            </w:r>
          </w:p>
        </w:tc>
      </w:tr>
    </w:tbl>
    <w:p>
      <w:pPr>
        <w:spacing w:after="0" w:before="0"/>
      </w:pPr>
    </w:p>
    <w:p>
      <w:pPr>
        <w:pStyle w:val="Heading2"/>
        <w:keepNext/>
      </w:pPr>
      <w:r>
        <w:t>Informações Prioritárias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250"/>
        <w:gridCol w:w="3100"/>
        <w:gridCol w:w="2868"/>
        <w:gridCol w:w="1800"/>
      </w:tblGrid>
      <w:tr>
        <w:trPr>
          <w:tblHeader w:val="true"/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CLASSE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CRITÉRIO PNTP</w:t>
            </w:r>
          </w:p>
        </w:tc>
        <w:tc>
          <w:tcPr>
            <w:tcW w:type="dxa" w:w="286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AÇÃO DE MELHORIA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EVIDÊNCIA ESPERADA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A33A32"/>
                <w:sz w:val="16"/>
              </w:rPr>
              <w:t>1.1</w:t>
            </w:r>
          </w:p>
        </w:tc>
        <w:tc>
          <w:tcPr>
            <w:tcW w:type="dxa" w:w="1250"/>
            <w:vAlign w:val="top"/>
            <w:shd w:fill="FBEDEC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A33A32"/>
                <w:sz w:val="16"/>
              </w:rPr>
              <w:t>Essencial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Possui sítio oficial próprio na internet?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Manter o sítio oficial estável, seguro, responsivo e claramente identificado como canal institucional.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Acesso visível na capa, busca funcional, endereço estável e teste sem cadastro.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A33A32"/>
                <w:sz w:val="16"/>
              </w:rPr>
              <w:t>1.2</w:t>
            </w:r>
          </w:p>
        </w:tc>
        <w:tc>
          <w:tcPr>
            <w:tcW w:type="dxa" w:w="1250"/>
            <w:vAlign w:val="top"/>
            <w:shd w:fill="FBEDEC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A33A32"/>
                <w:sz w:val="16"/>
              </w:rPr>
              <w:t>Essencial</w:t>
            </w:r>
          </w:p>
        </w:tc>
        <w:tc>
          <w:tcPr>
            <w:tcW w:type="dxa" w:w="3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Possui portal da transparência próprio ou compartilhado na internet?</w:t>
            </w:r>
          </w:p>
        </w:tc>
        <w:tc>
          <w:tcPr>
            <w:tcW w:type="dxa" w:w="28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Manter portal próprio ou compartilhado com acesso público, navegação estável e identificação inequívoca da Câmara.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Acesso visível na capa, busca funcional, endereço estável e teste sem cadastro.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1.3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 acesso ao portal transparência está visível na capa do site?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Dar destaque permanente ao botão Transparência na capa e em todas as versões móvel e desktop.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Acesso visível na capa, busca funcional, endereço estável e teste sem cadastro.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1.4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 site e o portal de transparência contêm ferramenta de pesquisa de conteúdo que permita o acesso à informação?</w:t>
            </w:r>
          </w:p>
        </w:tc>
        <w:tc>
          <w:tcPr>
            <w:tcW w:type="dxa" w:w="28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Unificar busca do site e do portal, com pesquisa textual, filtros e orientação quando não houver resultado.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Acesso visível na capa, busca funcional, endereço estável e teste sem cadastro.</w:t>
            </w:r>
          </w:p>
        </w:tc>
      </w:tr>
    </w:tbl>
    <w:p>
      <w:pPr>
        <w:spacing w:before="80" w:after="80"/>
      </w:pPr>
      <w:r>
        <w:rPr>
          <w:rFonts w:ascii="Calibri" w:hAnsi="Calibri"/>
          <w:i/>
          <w:color w:val="687581"/>
          <w:sz w:val="17"/>
        </w:rPr>
        <w:t>Situação inicial sugerida: VALIDAR/REGULARIZAR - concluir até o 45º dia e registrar URL, data, responsável e evidência.</w:t>
      </w:r>
    </w:p>
    <w:p>
      <w:pPr>
        <w:pStyle w:val="Heading2"/>
        <w:keepNext/>
      </w:pPr>
      <w:r>
        <w:t>Informações Institucionais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250"/>
        <w:gridCol w:w="3100"/>
        <w:gridCol w:w="2868"/>
        <w:gridCol w:w="1800"/>
      </w:tblGrid>
      <w:tr>
        <w:trPr>
          <w:tblHeader w:val="true"/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CLASSE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CRITÉRIO PNTP</w:t>
            </w:r>
          </w:p>
        </w:tc>
        <w:tc>
          <w:tcPr>
            <w:tcW w:type="dxa" w:w="286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AÇÃO DE MELHORIA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EVIDÊNCIA ESPERADA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2.1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sua estrutura organizacional e a norma que a institui/altera?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a sua estrutura organizacional e a norma que a institui/altera.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Página atualizada, ato de suporte, responsável, data de revisão, contatos e histórico.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2.2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competências e/ou atribuições?</w:t>
            </w:r>
          </w:p>
        </w:tc>
        <w:tc>
          <w:tcPr>
            <w:tcW w:type="dxa" w:w="28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competências e/ou atribuições.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Página atualizada, ato de suporte, responsável, data de revisão, contatos e histórico.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2.3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Identifica o nome dos atuais responsáveis pela gestão do Poder/Órgão?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Identificar e manter atualizados o nome dos atuais responsáveis pela gestão do Poder/Órgão.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Página atualizada, ato de suporte, responsável, data de revisão, contatos e histórico.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2.4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os endereços e telefones atuais do Poder ou órgão e e-mails institucionais?</w:t>
            </w:r>
          </w:p>
        </w:tc>
        <w:tc>
          <w:tcPr>
            <w:tcW w:type="dxa" w:w="28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os endereços e telefones atuais do Poder ou órgão e e-mails institucionais.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Página atualizada, ato de suporte, responsável, data de revisão, contatos e histórico.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2.5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o horário de atendimento?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o horário de atendimento.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Página atualizada, ato de suporte, responsável, data de revisão, contatos e histórico.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2.6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os atos normativos próprios?</w:t>
            </w:r>
          </w:p>
        </w:tc>
        <w:tc>
          <w:tcPr>
            <w:tcW w:type="dxa" w:w="28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os atos normativos próprios.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Página atualizada, ato de suporte, responsável, data de revisão, contatos e histórico.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2.7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as perguntas e respostas mais frequentes relacionadas às atividades desenvolvidas pelo Poder/Órgão?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as perguntas e respostas mais frequentes relacionadas às atividades desenvolvidas pelo Poder/Órgão.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Página atualizada, ato de suporte, responsável, data de revisão, contatos e histórico.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97A5B"/>
                <w:sz w:val="16"/>
              </w:rPr>
              <w:t>2.8</w:t>
            </w:r>
          </w:p>
        </w:tc>
        <w:tc>
          <w:tcPr>
            <w:tcW w:type="dxa" w:w="1250"/>
            <w:vAlign w:val="top"/>
            <w:shd w:fill="EAF5EF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97A5B"/>
                <w:sz w:val="16"/>
              </w:rPr>
              <w:t>Recomendada</w:t>
            </w:r>
          </w:p>
        </w:tc>
        <w:tc>
          <w:tcPr>
            <w:tcW w:type="dxa" w:w="3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Participa em redes sociais e apresenta, no seu sítio institucional, link de acesso ao seu perfil?</w:t>
            </w:r>
          </w:p>
        </w:tc>
        <w:tc>
          <w:tcPr>
            <w:tcW w:type="dxa" w:w="28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Manter presença institucional e divulgar em redes sociais e apresenta, no seu sítio institucional, link de acesso ao seu perfil.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Página atualizada, ato de suporte, responsável, data de revisão, contatos e histórico.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97A5B"/>
                <w:sz w:val="16"/>
              </w:rPr>
              <w:t>2.9</w:t>
            </w:r>
          </w:p>
        </w:tc>
        <w:tc>
          <w:tcPr>
            <w:tcW w:type="dxa" w:w="1250"/>
            <w:vAlign w:val="top"/>
            <w:shd w:fill="EAF5EF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97A5B"/>
                <w:sz w:val="16"/>
              </w:rPr>
              <w:t>Recomendada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Inclui botão do Radar da Transparência Pública no site institucional ou portal transparência?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Incluir e manter botão do Radar da Transparência Pública no site institucional ou portal transparência.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Página atualizada, ato de suporte, responsável, data de revisão, contatos e histórico.</w:t>
            </w:r>
          </w:p>
        </w:tc>
      </w:tr>
    </w:tbl>
    <w:p>
      <w:pPr>
        <w:spacing w:before="80" w:after="80"/>
      </w:pPr>
      <w:r>
        <w:rPr>
          <w:rFonts w:ascii="Calibri" w:hAnsi="Calibri"/>
          <w:i/>
          <w:color w:val="687581"/>
          <w:sz w:val="17"/>
        </w:rPr>
        <w:t>Situação inicial sugerida: VALIDAR/REGULARIZAR - concluir até o 45º dia e registrar URL, data, responsável e evidência.</w:t>
      </w:r>
    </w:p>
    <w:p>
      <w:pPr>
        <w:pStyle w:val="Heading2"/>
        <w:keepNext/>
      </w:pPr>
      <w:r>
        <w:t>Receita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250"/>
        <w:gridCol w:w="3100"/>
        <w:gridCol w:w="2868"/>
        <w:gridCol w:w="1800"/>
      </w:tblGrid>
      <w:tr>
        <w:trPr>
          <w:tblHeader w:val="true"/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CLASSE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CRITÉRIO PNTP</w:t>
            </w:r>
          </w:p>
        </w:tc>
        <w:tc>
          <w:tcPr>
            <w:tcW w:type="dxa" w:w="286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AÇÃO DE MELHORIA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EVIDÊNCIA ESPERADA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A33A32"/>
                <w:sz w:val="16"/>
              </w:rPr>
              <w:t>3.1</w:t>
            </w:r>
          </w:p>
        </w:tc>
        <w:tc>
          <w:tcPr>
            <w:tcW w:type="dxa" w:w="1250"/>
            <w:vAlign w:val="top"/>
            <w:shd w:fill="FBEDEC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A33A32"/>
                <w:sz w:val="16"/>
              </w:rPr>
              <w:t>Essencial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as receitas do Poder ou órgão, evidenciando sua previsão e realização?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Disponibilizar previsão e realização das receitas por exercício, natureza, fonte e data, com exportação integral.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URL direta; consulta por exercício; CSV/XLSX/JSON; data/hora de atualização; campos completos.</w:t>
            </w:r>
          </w:p>
        </w:tc>
      </w:tr>
    </w:tbl>
    <w:p>
      <w:pPr>
        <w:spacing w:before="80" w:after="80"/>
      </w:pPr>
      <w:r>
        <w:rPr>
          <w:rFonts w:ascii="Calibri" w:hAnsi="Calibri"/>
          <w:i/>
          <w:color w:val="687581"/>
          <w:sz w:val="17"/>
        </w:rPr>
        <w:t>Situação inicial sugerida: VALIDAR/REGULARIZAR - concluir até o 45º dia e registrar URL, data, responsável e evidência.</w:t>
      </w:r>
    </w:p>
    <w:p>
      <w:pPr>
        <w:pStyle w:val="Heading2"/>
        <w:keepNext/>
      </w:pPr>
      <w:r>
        <w:t>Despesa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250"/>
        <w:gridCol w:w="3100"/>
        <w:gridCol w:w="2868"/>
        <w:gridCol w:w="1800"/>
      </w:tblGrid>
      <w:tr>
        <w:trPr>
          <w:tblHeader w:val="true"/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CLASSE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CRITÉRIO PNTP</w:t>
            </w:r>
          </w:p>
        </w:tc>
        <w:tc>
          <w:tcPr>
            <w:tcW w:type="dxa" w:w="286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AÇÃO DE MELHORIA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EVIDÊNCIA ESPERADA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A33A32"/>
                <w:sz w:val="16"/>
              </w:rPr>
              <w:t>4.1</w:t>
            </w:r>
          </w:p>
        </w:tc>
        <w:tc>
          <w:tcPr>
            <w:tcW w:type="dxa" w:w="1250"/>
            <w:vAlign w:val="top"/>
            <w:shd w:fill="FBEDEC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A33A32"/>
                <w:sz w:val="16"/>
              </w:rPr>
              <w:t>Essencial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o total das despesas empenhadas, liquidadas e pagas?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Exibir totais empenhados, liquidados e pagos, conciliados e atualizados até o primeiro dia útil após o registro.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URL direta; consulta por exercício; CSV/XLSX/JSON; data/hora de atualização; campos completos.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A33A32"/>
                <w:sz w:val="16"/>
              </w:rPr>
              <w:t>4.2</w:t>
            </w:r>
          </w:p>
        </w:tc>
        <w:tc>
          <w:tcPr>
            <w:tcW w:type="dxa" w:w="1250"/>
            <w:vAlign w:val="top"/>
            <w:shd w:fill="FBEDEC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A33A32"/>
                <w:sz w:val="16"/>
              </w:rPr>
              <w:t>Essencial</w:t>
            </w:r>
          </w:p>
        </w:tc>
        <w:tc>
          <w:tcPr>
            <w:tcW w:type="dxa" w:w="3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as despesas por classificação orçamentária?</w:t>
            </w:r>
          </w:p>
        </w:tc>
        <w:tc>
          <w:tcPr>
            <w:tcW w:type="dxa" w:w="28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Permitir consulta da despesa por órgão/unidade, função, programa, ação, natureza, fonte e exercício.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URL direta; consulta por exercício; CSV/XLSX/JSON; data/hora de atualização; campos completos.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A33A32"/>
                <w:sz w:val="16"/>
              </w:rPr>
              <w:t>4.3</w:t>
            </w:r>
          </w:p>
        </w:tc>
        <w:tc>
          <w:tcPr>
            <w:tcW w:type="dxa" w:w="1250"/>
            <w:vAlign w:val="top"/>
            <w:shd w:fill="FBEDEC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A33A32"/>
                <w:sz w:val="16"/>
              </w:rPr>
              <w:t>Essencial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Possibilita a consulta de empenhos com os detalhes do beneficiário do pagamento ou credor, o valor, o bem fornecido ou serviço prestado e a identificação do procedimento licitatório originário da despesa?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Ligar cada empenho ao credor, CNPJ/CPF protegido quando necessário, objeto, valor, licitação, contrato e pagamentos.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URL direta; consulta por exercício; CSV/XLSX/JSON; data/hora de atualização; campos completos.</w:t>
            </w:r>
          </w:p>
        </w:tc>
      </w:tr>
    </w:tbl>
    <w:p>
      <w:pPr>
        <w:spacing w:before="80" w:after="80"/>
      </w:pPr>
      <w:r>
        <w:rPr>
          <w:rFonts w:ascii="Calibri" w:hAnsi="Calibri"/>
          <w:i/>
          <w:color w:val="687581"/>
          <w:sz w:val="17"/>
        </w:rPr>
        <w:t>Situação inicial sugerida: VALIDAR/REGULARIZAR - concluir até o 45º dia e registrar URL, data, responsável e evidência.</w:t>
      </w:r>
    </w:p>
    <w:p>
      <w:pPr>
        <w:pStyle w:val="Heading2"/>
        <w:keepNext/>
      </w:pPr>
      <w:r>
        <w:t>Convênios e Transferências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250"/>
        <w:gridCol w:w="3100"/>
        <w:gridCol w:w="2868"/>
        <w:gridCol w:w="1800"/>
      </w:tblGrid>
      <w:tr>
        <w:trPr>
          <w:tblHeader w:val="true"/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CLASSE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CRITÉRIO PNTP</w:t>
            </w:r>
          </w:p>
        </w:tc>
        <w:tc>
          <w:tcPr>
            <w:tcW w:type="dxa" w:w="286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AÇÃO DE MELHORIA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EVIDÊNCIA ESPERADA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5.1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as transferências recebidas a partir da celebração de convênios/acordos com indicação, no mínimo, do número/ano do convênio/termo ou ajuste, do valor total previsto dos recursos envolvidos, do valor recebido, do objeto, da vigência, da origem (órgão repassador/concedente) e o inteiro teor do instrumento de convênio/transferência?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as transferências recebidas a partir da celebração de convênios/acordos com indicação, no mínimo, do número/ano do convênio/termo ou ajuste, do valor total previsto dos recursos envolvidos, do valor recebido, do objeto, da vigência, da origem (órgão repassador/concedente) e o inteiro teor do instrumento de convênio/transferência.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Relação, partes, objeto, vigência, valores, execução e inteiro teor; declaração negativa quando cabível.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5.2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as transferências realizadas a partir da celebração de convênios/acordos/ajustes, com indicação, no mínimo, do número/ano do convênio/termo ou ajuste, do beneficiário, do objeto, da vigência, do valor total previsto para repasse, do valor concedido e inteiro teor do instrumento de convênio/termo ou ajuste?</w:t>
            </w:r>
          </w:p>
        </w:tc>
        <w:tc>
          <w:tcPr>
            <w:tcW w:type="dxa" w:w="28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as transferências realizadas a partir da celebração de convênios/acordos/ajustes, com indicação, no mínimo, do número/ano do convênio/termo ou ajuste, do beneficiário, do objeto, da vigência, do valor total previsto para repasse, do valor concedido e inteiro teor do instrumento de convênio/termo ou ajuste.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Relação, partes, objeto, vigência, valores, execução e inteiro teor; declaração negativa quando cabível.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5.3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os acordos firmados que não envolvam transferência de recursos financeiros, identificando as partes, o número/ano do convênio/termo ou ajuste, o objeto, a vigência, as obrigações ajustadas e o inteiro teor do instrumento de convênio/termo ou ajuste?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os acordos firmados que não envolvam transferência de recursos financeiros, identificando as partes, o número/ano do convênio/termo ou ajuste, o objeto, a vigência, as obrigações ajustadas e o inteiro teor do instrumento de convênio/termo ou ajuste.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Relação, partes, objeto, vigência, valores, execução e inteiro teor; declaração negativa quando cabível.</w:t>
            </w:r>
          </w:p>
        </w:tc>
      </w:tr>
    </w:tbl>
    <w:p>
      <w:pPr>
        <w:spacing w:before="80" w:after="80"/>
      </w:pPr>
      <w:r>
        <w:rPr>
          <w:rFonts w:ascii="Calibri" w:hAnsi="Calibri"/>
          <w:i/>
          <w:color w:val="687581"/>
          <w:sz w:val="17"/>
        </w:rPr>
        <w:t>Situação inicial sugerida: VALIDAR/REGULARIZAR - concluir até o 45º dia e registrar URL, data, responsável e evidência.</w:t>
      </w:r>
    </w:p>
    <w:p>
      <w:pPr>
        <w:pStyle w:val="Heading2"/>
        <w:keepNext/>
      </w:pPr>
      <w:r>
        <w:t>Recursos Humanos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250"/>
        <w:gridCol w:w="3100"/>
        <w:gridCol w:w="2868"/>
        <w:gridCol w:w="1800"/>
      </w:tblGrid>
      <w:tr>
        <w:trPr>
          <w:tblHeader w:val="true"/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CLASSE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CRITÉRIO PNTP</w:t>
            </w:r>
          </w:p>
        </w:tc>
        <w:tc>
          <w:tcPr>
            <w:tcW w:type="dxa" w:w="286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AÇÃO DE MELHORIA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EVIDÊNCIA ESPERADA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6.1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relação nominal dos servidores/autoridades/membros, seus cargos/funções, as respectivas lotações, as suas datas de admissão/exoneração/inativação e a carga horária do cargo/função ocupada/desempenhada?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a relação nominal dos servidores/autoridades/membros, seus cargos/funções, as respectivas lotações, as suas datas de admissão/exoneração/inativação e a carga horária do cargo/função ocupada/desempenhada.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Base nominal pesquisável; competência; histórico; exportação; ato de ingresso/saída e tabela legal.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6.2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remuneração nominal de cada servidor/autoridade/Membro?</w:t>
            </w:r>
          </w:p>
        </w:tc>
        <w:tc>
          <w:tcPr>
            <w:tcW w:type="dxa" w:w="28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a remuneração nominal de cada servidor/autoridade/Membro.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Base nominal pesquisável; competência; histórico; exportação; ato de ingresso/saída e tabela legal.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6.3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tabela com o padrão remuneratório dos cargos e funções?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a tabela com o padrão remuneratório dos cargos e funções.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Base nominal pesquisável; competência; histórico; exportação; ato de ingresso/saída e tabela legal.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97A5B"/>
                <w:sz w:val="16"/>
              </w:rPr>
              <w:t>6.4</w:t>
            </w:r>
          </w:p>
        </w:tc>
        <w:tc>
          <w:tcPr>
            <w:tcW w:type="dxa" w:w="1250"/>
            <w:vAlign w:val="top"/>
            <w:shd w:fill="EAF5EF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97A5B"/>
                <w:sz w:val="16"/>
              </w:rPr>
              <w:t>Recomendada</w:t>
            </w:r>
          </w:p>
        </w:tc>
        <w:tc>
          <w:tcPr>
            <w:tcW w:type="dxa" w:w="3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lista de seus estagiários, contendo o nome dos estudantes; a data de contratação e a data de término do respectivo contrato?</w:t>
            </w:r>
          </w:p>
        </w:tc>
        <w:tc>
          <w:tcPr>
            <w:tcW w:type="dxa" w:w="28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a lista de seus estagiários, contendo o nome dos estudantes; a data de contratação e a data de término do respectivo contrato.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Base nominal pesquisável; competência; histórico; exportação; ato de ingresso/saída e tabela legal.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97A5B"/>
                <w:sz w:val="16"/>
              </w:rPr>
              <w:t>6.5</w:t>
            </w:r>
          </w:p>
        </w:tc>
        <w:tc>
          <w:tcPr>
            <w:tcW w:type="dxa" w:w="1250"/>
            <w:vAlign w:val="top"/>
            <w:shd w:fill="EAF5EF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97A5B"/>
                <w:sz w:val="16"/>
              </w:rPr>
              <w:t>Recomendada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 lista dos terceirizados que prestam serviços para o Poder ou órgão/entidades, contendo, em relação a cada um deles: nome completo, função ou atividade exercida e nome da empresa empregadora?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no prazo e preservar lista dos terceirizados que prestam serviços para o Poder ou órgão/entidades, contendo, em relação a cada um deles: nome completo, função ou atividade exercida e nome da empresa empregadora.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Base nominal pesquisável; competência; histórico; exportação; ato de ingresso/saída e tabela legal.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6.6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íntegra dos editais de concursos e seleções públicas realizados pelo Poder ou órgão para provimento de cargos e empregos públicos?</w:t>
            </w:r>
          </w:p>
        </w:tc>
        <w:tc>
          <w:tcPr>
            <w:tcW w:type="dxa" w:w="28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a íntegra dos editais de concursos e seleções públicas realizados pelo Poder ou órgão para provimento de cargos e empregos públicos.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Base nominal pesquisável; competência; histórico; exportação; ato de ingresso/saída e tabela legal.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6.7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informações sobre os demais atos dos concursos públicos e processos seletivos do Poder ou órgão, contendo no mínimo a lista de aprovados com as classificações e as nomeações?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informações sobre os demais atos dos concursos públicos e processos seletivos do Poder ou órgão, contendo no mínimo a lista de aprovados com as classificações e as nomeações.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Base nominal pesquisável; competência; histórico; exportação; ato de ingresso/saída e tabela legal.</w:t>
            </w:r>
          </w:p>
        </w:tc>
      </w:tr>
    </w:tbl>
    <w:p>
      <w:pPr>
        <w:spacing w:before="80" w:after="80"/>
      </w:pPr>
      <w:r>
        <w:rPr>
          <w:rFonts w:ascii="Calibri" w:hAnsi="Calibri"/>
          <w:i/>
          <w:color w:val="687581"/>
          <w:sz w:val="17"/>
        </w:rPr>
        <w:t>Situação inicial sugerida: VALIDAR/REGULARIZAR - concluir até o 45º dia e registrar URL, data, responsável e evidência.</w:t>
      </w:r>
    </w:p>
    <w:p>
      <w:pPr>
        <w:pStyle w:val="Heading2"/>
        <w:keepNext/>
      </w:pPr>
      <w:r>
        <w:t>Diárias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250"/>
        <w:gridCol w:w="3100"/>
        <w:gridCol w:w="2868"/>
        <w:gridCol w:w="1800"/>
      </w:tblGrid>
      <w:tr>
        <w:trPr>
          <w:tblHeader w:val="true"/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CLASSE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CRITÉRIO PNTP</w:t>
            </w:r>
          </w:p>
        </w:tc>
        <w:tc>
          <w:tcPr>
            <w:tcW w:type="dxa" w:w="286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AÇÃO DE MELHORIA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EVIDÊNCIA ESPERADA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7.1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o nome e o cargo/função do beneficiário, além do valor total recebido, número de diárias usufruídas por afastamento, período de afastamento, motivo do afastamento e local de destino?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o nome e o cargo/função do beneficiário, além do valor total recebido, número de diárias usufruídas por afastamento, período de afastamento, motivo do afastamento e local de destino.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Beneficiário, cargo, destino, motivo, período, quantidade, valor, norma e exportação.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7.2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tabela ou relação que explicite os valores das diárias dentro do Estado, fora do Estado e fora do país, conforme legislação local?</w:t>
            </w:r>
          </w:p>
        </w:tc>
        <w:tc>
          <w:tcPr>
            <w:tcW w:type="dxa" w:w="28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tabela ou relação que explicite os valores das diárias dentro do Estado, fora do Estado e fora do país, conforme legislação local.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Beneficiário, cargo, destino, motivo, período, quantidade, valor, norma e exportação.</w:t>
            </w:r>
          </w:p>
        </w:tc>
      </w:tr>
    </w:tbl>
    <w:p>
      <w:pPr>
        <w:spacing w:before="80" w:after="80"/>
      </w:pPr>
      <w:r>
        <w:rPr>
          <w:rFonts w:ascii="Calibri" w:hAnsi="Calibri"/>
          <w:i/>
          <w:color w:val="687581"/>
          <w:sz w:val="17"/>
        </w:rPr>
        <w:t>Situação inicial sugerida: VALIDAR/REGULARIZAR - concluir até o 45º dia e registrar URL, data, responsável e evidência.</w:t>
      </w:r>
    </w:p>
    <w:p>
      <w:pPr>
        <w:pStyle w:val="Heading2"/>
        <w:keepNext/>
      </w:pPr>
      <w:r>
        <w:t>Licitações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250"/>
        <w:gridCol w:w="3100"/>
        <w:gridCol w:w="2868"/>
        <w:gridCol w:w="1800"/>
      </w:tblGrid>
      <w:tr>
        <w:trPr>
          <w:tblHeader w:val="true"/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CLASSE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CRITÉRIO PNTP</w:t>
            </w:r>
          </w:p>
        </w:tc>
        <w:tc>
          <w:tcPr>
            <w:tcW w:type="dxa" w:w="286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AÇÃO DE MELHORIA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EVIDÊNCIA ESPERADA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8.1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relação das licitações em ordem sequencial, informando o número e modalidade licitatória, o objeto, a data, o valor estimado/homologado e a situação?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a relação das licitações em ordem sequencial, informando o número e modalidade licitatória, o objeto, a data, o valor estimado/homologado e a situação.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Processo integral; pesquisa e filtros; anexos; situação; datas; vínculo com contrato, PNCP e despesa.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8.2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íntegra dos editais de licitação?</w:t>
            </w:r>
          </w:p>
        </w:tc>
        <w:tc>
          <w:tcPr>
            <w:tcW w:type="dxa" w:w="28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a íntegra dos editais de licitação.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Processo integral; pesquisa e filtros; anexos; situação; datas; vínculo com contrato, PNCP e despesa.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8.3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íntegra dos demais documentos das fases interna e externa das licitações?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documentos das fases preparatória e externa, preservando estudo técnico, termo de referência, pareceres, propostas, atas e decisões.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Processo integral; pesquisa e filtros; anexos; situação; datas; vínculo com contrato, PNCP e despesa.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8.4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íntegra dos principais documentos dos processos de dispensa e inexigibilidade de licitação?</w:t>
            </w:r>
          </w:p>
        </w:tc>
        <w:tc>
          <w:tcPr>
            <w:tcW w:type="dxa" w:w="28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Organizar dispensas e inexigibilidades por processo, com justificativas, pareceres, ratificação, contratação e PNCP.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Processo integral; pesquisa e filtros; anexos; situação; datas; vínculo com contrato, PNCP e despesa.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8.5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íntegra das Atas de Adesão – SRP?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a íntegra das Atas de Adesão – SRP.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Processo integral; pesquisa e filtros; anexos; situação; datas; vínculo com contrato, PNCP e despesa.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97A5B"/>
                <w:sz w:val="16"/>
              </w:rPr>
              <w:t>8.6</w:t>
            </w:r>
          </w:p>
        </w:tc>
        <w:tc>
          <w:tcPr>
            <w:tcW w:type="dxa" w:w="1250"/>
            <w:vAlign w:val="top"/>
            <w:shd w:fill="EAF5EF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97A5B"/>
                <w:sz w:val="16"/>
              </w:rPr>
              <w:t>Recomendada</w:t>
            </w:r>
          </w:p>
        </w:tc>
        <w:tc>
          <w:tcPr>
            <w:tcW w:type="dxa" w:w="3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o plano de contratações anual?</w:t>
            </w:r>
          </w:p>
        </w:tc>
        <w:tc>
          <w:tcPr>
            <w:tcW w:type="dxa" w:w="28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o plano de contratações anual.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Processo integral; pesquisa e filtros; anexos; situação; datas; vínculo com contrato, PNCP e despesa.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97A5B"/>
                <w:sz w:val="16"/>
              </w:rPr>
              <w:t>8.7</w:t>
            </w:r>
          </w:p>
        </w:tc>
        <w:tc>
          <w:tcPr>
            <w:tcW w:type="dxa" w:w="1250"/>
            <w:vAlign w:val="top"/>
            <w:shd w:fill="EAF5EF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97A5B"/>
                <w:sz w:val="16"/>
              </w:rPr>
              <w:t>Recomendada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relação dos licitantes e/ou contratados sancionados administrativamente pelo Poder ou órgão?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a relação dos licitantes e/ou contratados sancionados administrativamente pelo Poder ou órgão.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Processo integral; pesquisa e filtros; anexos; situação; datas; vínculo com contrato, PNCP e despesa.</w:t>
            </w:r>
          </w:p>
        </w:tc>
      </w:tr>
    </w:tbl>
    <w:p>
      <w:pPr>
        <w:spacing w:before="80" w:after="80"/>
      </w:pPr>
      <w:r>
        <w:rPr>
          <w:rFonts w:ascii="Calibri" w:hAnsi="Calibri"/>
          <w:i/>
          <w:color w:val="687581"/>
          <w:sz w:val="17"/>
        </w:rPr>
        <w:t>Situação inicial sugerida: VALIDAR/REGULARIZAR - concluir até o 45º dia e registrar URL, data, responsável e evidência.</w:t>
      </w:r>
    </w:p>
    <w:p>
      <w:pPr>
        <w:pStyle w:val="Heading2"/>
        <w:keepNext/>
      </w:pPr>
      <w:r>
        <w:t>Contratos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250"/>
        <w:gridCol w:w="3100"/>
        <w:gridCol w:w="2868"/>
        <w:gridCol w:w="1800"/>
      </w:tblGrid>
      <w:tr>
        <w:trPr>
          <w:tblHeader w:val="true"/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CLASSE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CRITÉRIO PNTP</w:t>
            </w:r>
          </w:p>
        </w:tc>
        <w:tc>
          <w:tcPr>
            <w:tcW w:type="dxa" w:w="286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AÇÃO DE MELHORIA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EVIDÊNCIA ESPERADA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9.1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relação dos contratos celebrados em ordem sequencial, com o seu respectivo resumo, contendo, no mínimo, indicação do contratado(a), do valor, do objeto e da vigência, bem como dos aditivos deles decorrentes?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a relação dos contratos celebrados em ordem sequencial, com o seu respectivo resumo, contendo, no mínimo, indicação do contratado(a), do valor, do objeto e da vigência, bem como dos aditivos deles decorrentes.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Relação sequencial; inteiro teor; aditivos; fiscal; vigência; execução; pagamentos; vínculo PNCP.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9.2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o inteiro teor dos contratos e dos respectivos termos aditivos?</w:t>
            </w:r>
          </w:p>
        </w:tc>
        <w:tc>
          <w:tcPr>
            <w:tcW w:type="dxa" w:w="28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o inteiro teor dos contratos e dos respectivos termos aditivos.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Relação sequencial; inteiro teor; aditivos; fiscal; vigência; execução; pagamentos; vínculo PNCP.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9.3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relação/lista dos fiscais de cada contrato vigente e encerrado?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a relação/lista dos fiscais de cada contrato vigente e encerrado.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Relação sequencial; inteiro teor; aditivos; fiscal; vigência; execução; pagamentos; vínculo PNCP.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9.4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ordem cronológica de seus pagamentos, bem como as justificativas que fundamentaram a eventual alteração dessa ordem?</w:t>
            </w:r>
          </w:p>
        </w:tc>
        <w:tc>
          <w:tcPr>
            <w:tcW w:type="dxa" w:w="28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ordem cronológica por fonte de recursos e justificar de forma individualizada qualquer alteração.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Relação sequencial; inteiro teor; aditivos; fiscal; vigência; execução; pagamentos; vínculo PNCP.</w:t>
            </w:r>
          </w:p>
        </w:tc>
      </w:tr>
    </w:tbl>
    <w:p>
      <w:pPr>
        <w:spacing w:before="80" w:after="80"/>
      </w:pPr>
      <w:r>
        <w:rPr>
          <w:rFonts w:ascii="Calibri" w:hAnsi="Calibri"/>
          <w:i/>
          <w:color w:val="687581"/>
          <w:sz w:val="17"/>
        </w:rPr>
        <w:t>Situação inicial sugerida: VALIDAR/REGULARIZAR - concluir até o 45º dia e registrar URL, data, responsável e evidência.</w:t>
      </w:r>
    </w:p>
    <w:p>
      <w:pPr>
        <w:pStyle w:val="Heading2"/>
        <w:keepNext/>
      </w:pPr>
      <w:r>
        <w:t>Obras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250"/>
        <w:gridCol w:w="3100"/>
        <w:gridCol w:w="2868"/>
        <w:gridCol w:w="1800"/>
      </w:tblGrid>
      <w:tr>
        <w:trPr>
          <w:tblHeader w:val="true"/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CLASSE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CRITÉRIO PNTP</w:t>
            </w:r>
          </w:p>
        </w:tc>
        <w:tc>
          <w:tcPr>
            <w:tcW w:type="dxa" w:w="286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AÇÃO DE MELHORIA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EVIDÊNCIA ESPERADA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97A5B"/>
                <w:sz w:val="16"/>
              </w:rPr>
              <w:t>10.1</w:t>
            </w:r>
          </w:p>
        </w:tc>
        <w:tc>
          <w:tcPr>
            <w:tcW w:type="dxa" w:w="1250"/>
            <w:vAlign w:val="top"/>
            <w:shd w:fill="EAF5EF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97A5B"/>
                <w:sz w:val="16"/>
              </w:rPr>
              <w:t>Recomendada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informações sobre as obras contendo o objeto, a situação atual, as datas de início e de conclusão da obra, empresa contratada e o percentual concluído?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informações sobre as obras contendo o objeto, a situação atual, as datas de início e de conclusão da obra, empresa contratada e o percentual concluído.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Painel da obra; contrato; medições; quantitativos; preços; percentual; fotos e situação atual.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10.2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os quantitativos, os preços unitários e totais contratados?</w:t>
            </w:r>
          </w:p>
        </w:tc>
        <w:tc>
          <w:tcPr>
            <w:tcW w:type="dxa" w:w="28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os quantitativos, os preços unitários e totais contratados.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Painel da obra; contrato; medições; quantitativos; preços; percentual; fotos e situação atual.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10.3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os quantitativos executados e os preços efetivamente pagos?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os quantitativos executados e os preços efetivamente pagos.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Painel da obra; contrato; medições; quantitativos; preços; percentual; fotos e situação atual.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10.4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relação das obras paralisadas contendo o motivo, o responsável pela inexecução temporária do objeto do contrato e a data prevista para o reinício da sua execução?</w:t>
            </w:r>
          </w:p>
        </w:tc>
        <w:tc>
          <w:tcPr>
            <w:tcW w:type="dxa" w:w="28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Criar relação específica de obras paralisadas; quando inexistentes, publicar declaração negativa datada.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Painel da obra; contrato; medições; quantitativos; preços; percentual; fotos e situação atual.</w:t>
            </w:r>
          </w:p>
        </w:tc>
      </w:tr>
    </w:tbl>
    <w:p>
      <w:pPr>
        <w:spacing w:before="80" w:after="80"/>
      </w:pPr>
      <w:r>
        <w:rPr>
          <w:rFonts w:ascii="Calibri" w:hAnsi="Calibri"/>
          <w:i/>
          <w:color w:val="687581"/>
          <w:sz w:val="17"/>
        </w:rPr>
        <w:t>Situação inicial sugerida: VALIDAR/REGULARIZAR - concluir até o 45º dia e registrar URL, data, responsável e evidência.</w:t>
      </w:r>
    </w:p>
    <w:p>
      <w:pPr>
        <w:pStyle w:val="Heading2"/>
        <w:keepNext/>
      </w:pPr>
      <w:r>
        <w:t>Planejamento e Prestação de contas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250"/>
        <w:gridCol w:w="3100"/>
        <w:gridCol w:w="2868"/>
        <w:gridCol w:w="1800"/>
      </w:tblGrid>
      <w:tr>
        <w:trPr>
          <w:tblHeader w:val="true"/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CLASSE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CRITÉRIO PNTP</w:t>
            </w:r>
          </w:p>
        </w:tc>
        <w:tc>
          <w:tcPr>
            <w:tcW w:type="dxa" w:w="286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AÇÃO DE MELHORIA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EVIDÊNCIA ESPERADA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11.1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 a Prestação de Contas do Ano Anterior (Balanço Geral)?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no prazo e preservar a Prestação de Contas do Ano Anterior (Balanço Geral).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Documento integral; exercício/período; data de publicação; histórico; decisão do TCE e exportação.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11.2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o Relatório de Gestão ou Atividades?</w:t>
            </w:r>
          </w:p>
        </w:tc>
        <w:tc>
          <w:tcPr>
            <w:tcW w:type="dxa" w:w="28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o Relatório de Gestão ou Atividades.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Documento integral; exercício/período; data de publicação; histórico; decisão do TCE e exportação.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11.3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íntegra da decisão da apreciação ou julgamento das contas pelo Tribunal de Contas?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a íntegra da decisão da apreciação ou julgamento das contas pelo Tribunal de Contas.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Documento integral; exercício/período; data de publicação; histórico; decisão do TCE e exportação.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A33A32"/>
                <w:sz w:val="16"/>
              </w:rPr>
              <w:t>11.5</w:t>
            </w:r>
          </w:p>
        </w:tc>
        <w:tc>
          <w:tcPr>
            <w:tcW w:type="dxa" w:w="1250"/>
            <w:vAlign w:val="top"/>
            <w:shd w:fill="FBEDEC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A33A32"/>
                <w:sz w:val="16"/>
              </w:rPr>
              <w:t>Essencial</w:t>
            </w:r>
          </w:p>
        </w:tc>
        <w:tc>
          <w:tcPr>
            <w:tcW w:type="dxa" w:w="3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o Relatório de Gestão Fiscal (RGF)?</w:t>
            </w:r>
          </w:p>
        </w:tc>
        <w:tc>
          <w:tcPr>
            <w:tcW w:type="dxa" w:w="28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RGF no prazo legal, com todos os anexos, assinatura, período e série histórica.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Documento integral; exercício/período; data de publicação; histórico; decisão do TCE e exportação.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97A5B"/>
                <w:sz w:val="16"/>
              </w:rPr>
              <w:t>11.7</w:t>
            </w:r>
          </w:p>
        </w:tc>
        <w:tc>
          <w:tcPr>
            <w:tcW w:type="dxa" w:w="1250"/>
            <w:vAlign w:val="top"/>
            <w:shd w:fill="EAF5EF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97A5B"/>
                <w:sz w:val="16"/>
              </w:rPr>
              <w:t>Recomendada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o plano estratégico institucional?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o plano estratégico institucional.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Documento integral; exercício/período; data de publicação; histórico; decisão do TCE e exportação.</w:t>
            </w:r>
          </w:p>
        </w:tc>
      </w:tr>
    </w:tbl>
    <w:p>
      <w:pPr>
        <w:spacing w:before="80" w:after="80"/>
      </w:pPr>
      <w:r>
        <w:rPr>
          <w:rFonts w:ascii="Calibri" w:hAnsi="Calibri"/>
          <w:i/>
          <w:color w:val="687581"/>
          <w:sz w:val="17"/>
        </w:rPr>
        <w:t>Situação inicial sugerida: VALIDAR/REGULARIZAR - concluir até o 45º dia e registrar URL, data, responsável e evidência.</w:t>
      </w:r>
    </w:p>
    <w:p>
      <w:pPr>
        <w:pStyle w:val="Heading2"/>
        <w:keepNext/>
      </w:pPr>
      <w:r>
        <w:t>Serviço de Informação ao Cidadão - SIC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250"/>
        <w:gridCol w:w="3100"/>
        <w:gridCol w:w="2868"/>
        <w:gridCol w:w="1800"/>
      </w:tblGrid>
      <w:tr>
        <w:trPr>
          <w:tblHeader w:val="true"/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CLASSE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CRITÉRIO PNTP</w:t>
            </w:r>
          </w:p>
        </w:tc>
        <w:tc>
          <w:tcPr>
            <w:tcW w:type="dxa" w:w="286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AÇÃO DE MELHORIA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EVIDÊNCIA ESPERADA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12.1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Existe o SIC no site ou no portal de transparência e indica a unidade/setor responsável?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Manter e identificar o SIC no site ou no portal de transparência e indica a unidade/setor responsável.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Página própria; formulário funcional; protocolo; prazos; recursos; relatórios e listas de sigilo.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12.2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Indica o endereço físico, o telefone e o e-mail da unidade responsável pelo SIC, além do horário de funcionamento?</w:t>
            </w:r>
          </w:p>
        </w:tc>
        <w:tc>
          <w:tcPr>
            <w:tcW w:type="dxa" w:w="28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Indica o endereço físico, o telefone e o e-mail da unidade responsável pelo SIC, além do horário de funcionamento.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Página própria; formulário funcional; protocolo; prazos; recursos; relatórios e listas de sigilo.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12.3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Há possibilidade de envio de pedidos de informação de forma eletrônica (e­-SIC)?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Disponibilizar e testar possibilidade de envio de pedidos de informação de forma eletrônica (e­-SIC).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Página própria; formulário funcional; protocolo; prazos; recursos; relatórios e listas de sigilo.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12.4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A solicitação por meio de eSic é simples, ou seja, sem a exigência de itens de identificação do requerente que dificultem ou impossibilitem o acesso à informação, tais como: envio de documentos, assinatura reconhecida, declaração de responsabilidade, maioridade?</w:t>
            </w:r>
          </w:p>
        </w:tc>
        <w:tc>
          <w:tcPr>
            <w:tcW w:type="dxa" w:w="28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Simplificar o e-SIC, solicitando apenas dados necessários e eliminando exigência de documento, assinatura ou justificativa.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Página própria; formulário funcional; protocolo; prazos; recursos; relatórios e listas de sigilo.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12.5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nesta seção, instrumento normativo local que regulamente a Lei nº 12.527/2011 – LAI?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nesta seção, instrumento normativo local que regulamente a Lei nº 12.527/2011 – LAI.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Página própria; formulário funcional; protocolo; prazos; recursos; relatórios e listas de sigilo.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97A5B"/>
                <w:sz w:val="16"/>
              </w:rPr>
              <w:t>12.6</w:t>
            </w:r>
          </w:p>
        </w:tc>
        <w:tc>
          <w:tcPr>
            <w:tcW w:type="dxa" w:w="1250"/>
            <w:vAlign w:val="top"/>
            <w:shd w:fill="EAF5EF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97A5B"/>
                <w:sz w:val="16"/>
              </w:rPr>
              <w:t>Recomendada</w:t>
            </w:r>
          </w:p>
        </w:tc>
        <w:tc>
          <w:tcPr>
            <w:tcW w:type="dxa" w:w="3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Divulga, na seção relativa ao e-SIC, os prazos de resposta ao cidadão, incluindo o recursal, e as autoridades competentes para o exame dos pedidos, além do procedimento referente à realização do pedido e de eventual recurso?</w:t>
            </w:r>
          </w:p>
        </w:tc>
        <w:tc>
          <w:tcPr>
            <w:tcW w:type="dxa" w:w="28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Divulga, na seção relativa ao e-SIC, os prazos de resposta ao cidadão, incluindo o recursal, e as autoridades competentes para o exame dos pedidos, além do procedimento referente à realização do pedido e de eventual recurso.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Página própria; formulário funcional; protocolo; prazos; recursos; relatórios e listas de sigilo.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12.7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relatório anual estatístico contendo a quantidade de pedidos de acesso recebidos, atendidos, indeferidos, bem como informações genéricas sobre os solicitantes?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anualmente estatísticas de pedidos recebidos, atendidos, indeferidos, prazos médios e perfil genérico.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Página própria; formulário funcional; protocolo; prazos; recursos; relatórios e listas de sigilo.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12.8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lista de documentos classificados em cada grau de sigilo, contendo pelo menos o assunto sobre o qual versa a informação, a categoria na qual ela se encontra, o dispositivo legal que fundamenta a classificação e o respectivo prazo?</w:t>
            </w:r>
          </w:p>
        </w:tc>
        <w:tc>
          <w:tcPr>
            <w:tcW w:type="dxa" w:w="28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lista de informações classificadas; se não houver, divulgar declaração negativa anual.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Página própria; formulário funcional; protocolo; prazos; recursos; relatórios e listas de sigilo.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12.9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lista das informações que tenham sido desclassificadas nos últimos 12 (doze) meses?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lista das informações desclassificadas nos últimos 12 meses; se não houver, divulgar declaração negativa.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Página própria; formulário funcional; protocolo; prazos; recursos; relatórios e listas de sigilo.</w:t>
            </w:r>
          </w:p>
        </w:tc>
      </w:tr>
    </w:tbl>
    <w:p>
      <w:pPr>
        <w:spacing w:before="80" w:after="80"/>
      </w:pPr>
      <w:r>
        <w:rPr>
          <w:rFonts w:ascii="Calibri" w:hAnsi="Calibri"/>
          <w:i/>
          <w:color w:val="687581"/>
          <w:sz w:val="17"/>
        </w:rPr>
        <w:t>Situação inicial sugerida: VALIDAR/REGULARIZAR - concluir até o 45º dia e registrar URL, data, responsável e evidência.</w:t>
      </w:r>
    </w:p>
    <w:p>
      <w:pPr>
        <w:pStyle w:val="Heading2"/>
        <w:keepNext/>
      </w:pPr>
      <w:r>
        <w:t>Acessibilidade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250"/>
        <w:gridCol w:w="3100"/>
        <w:gridCol w:w="2868"/>
        <w:gridCol w:w="1800"/>
      </w:tblGrid>
      <w:tr>
        <w:trPr>
          <w:tblHeader w:val="true"/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CLASSE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CRITÉRIO PNTP</w:t>
            </w:r>
          </w:p>
        </w:tc>
        <w:tc>
          <w:tcPr>
            <w:tcW w:type="dxa" w:w="286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AÇÃO DE MELHORIA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EVIDÊNCIA ESPERADA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13.1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 site oficial e o portal de transparência contêm símbolo de acessibilidade em destaque?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Garantir que o site oficial e o portal de transparência contêm símbolo de acessibilidade em destaque.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Teste em site e portal; teclado; leitor de tela; contraste; redimensionamento; mapa/caminho.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13.2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 site e o portal de transparência contêm exibição do “caminho” de páginas percorridas pelo usuário?</w:t>
            </w:r>
          </w:p>
        </w:tc>
        <w:tc>
          <w:tcPr>
            <w:tcW w:type="dxa" w:w="28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Garantir que o site e o portal de transparência contêm exibição do “caminho” de páginas percorridas pelo usuário.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Teste em site e portal; teclado; leitor de tela; contraste; redimensionamento; mapa/caminho.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13.3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 site e o portal de transparência contêm opção de alto contraste?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Garantir que o site e o portal de transparência contêm opção de alto contraste.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Teste em site e portal; teclado; leitor de tela; contraste; redimensionamento; mapa/caminho.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13.4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 site e o portal de transparência contêm ferramenta de redimensionamento de texto?</w:t>
            </w:r>
          </w:p>
        </w:tc>
        <w:tc>
          <w:tcPr>
            <w:tcW w:type="dxa" w:w="28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Garantir que o site e o portal de transparência contêm ferramenta de redimensionamento de texto.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Teste em site e portal; teclado; leitor de tela; contraste; redimensionamento; mapa/caminho.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97A5B"/>
                <w:sz w:val="16"/>
              </w:rPr>
              <w:t>13.5</w:t>
            </w:r>
          </w:p>
        </w:tc>
        <w:tc>
          <w:tcPr>
            <w:tcW w:type="dxa" w:w="1250"/>
            <w:vAlign w:val="top"/>
            <w:shd w:fill="EAF5EF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97A5B"/>
                <w:sz w:val="16"/>
              </w:rPr>
              <w:t>Recomendada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Contém mapa do site institucional?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Disponibilizar mapa do site institucional.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Teste em site e portal; teclado; leitor de tela; contraste; redimensionamento; mapa/caminho.</w:t>
            </w:r>
          </w:p>
        </w:tc>
      </w:tr>
    </w:tbl>
    <w:p>
      <w:pPr>
        <w:spacing w:before="80" w:after="80"/>
      </w:pPr>
      <w:r>
        <w:rPr>
          <w:rFonts w:ascii="Calibri" w:hAnsi="Calibri"/>
          <w:i/>
          <w:color w:val="687581"/>
          <w:sz w:val="17"/>
        </w:rPr>
        <w:t>Situação inicial sugerida: VALIDAR/REGULARIZAR - concluir até o 45º dia e registrar URL, data, responsável e evidência.</w:t>
      </w:r>
    </w:p>
    <w:p>
      <w:pPr>
        <w:pStyle w:val="Heading2"/>
        <w:keepNext/>
      </w:pPr>
      <w:r>
        <w:t>Ouvidorias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250"/>
        <w:gridCol w:w="3100"/>
        <w:gridCol w:w="2868"/>
        <w:gridCol w:w="1800"/>
      </w:tblGrid>
      <w:tr>
        <w:trPr>
          <w:tblHeader w:val="true"/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CLASSE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CRITÉRIO PNTP</w:t>
            </w:r>
          </w:p>
        </w:tc>
        <w:tc>
          <w:tcPr>
            <w:tcW w:type="dxa" w:w="286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AÇÃO DE MELHORIA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EVIDÊNCIA ESPERADA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14.1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Há informações sobre o atendimento presencial pela Ouvidoria (Indicação de endereço físico e telefone, além do horário de funcionamento)?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Disponibilizar e testar informações sobre o atendimento presencial pela Ouvidoria (Indicação de endereço físico e telefone, além do horário de funcionamento).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Canal presencial e digital; protocolo; prazo; acompanhamento; Carta de Serviços atualizada.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14.2.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Há canal eletrônico de acesso/interação com a ouvidoria?</w:t>
            </w:r>
          </w:p>
        </w:tc>
        <w:tc>
          <w:tcPr>
            <w:tcW w:type="dxa" w:w="28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Disponibilizar e testar canal eletrônico de acesso/interação com a ouvidoria.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Canal presencial e digital; protocolo; prazo; acompanhamento; Carta de Serviços atualizada.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14.3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Carta de Serviços ao Usuário?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Carta de Serviços com serviços, requisitos, etapas, canais, prazos, compromissos e padrão de atendimento.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Canal presencial e digital; protocolo; prazo; acompanhamento; Carta de Serviços atualizada.</w:t>
            </w:r>
          </w:p>
        </w:tc>
      </w:tr>
    </w:tbl>
    <w:p>
      <w:pPr>
        <w:spacing w:before="80" w:after="80"/>
      </w:pPr>
      <w:r>
        <w:rPr>
          <w:rFonts w:ascii="Calibri" w:hAnsi="Calibri"/>
          <w:i/>
          <w:color w:val="687581"/>
          <w:sz w:val="17"/>
        </w:rPr>
        <w:t>Situação inicial sugerida: VALIDAR/REGULARIZAR - concluir até o 45º dia e registrar URL, data, responsável e evidência.</w:t>
      </w:r>
    </w:p>
    <w:p>
      <w:pPr>
        <w:pStyle w:val="Heading2"/>
        <w:keepNext/>
      </w:pPr>
      <w:r>
        <w:t>Lei Geral de Proteção de Dados (LGPD) e Governo Digital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250"/>
        <w:gridCol w:w="3100"/>
        <w:gridCol w:w="2868"/>
        <w:gridCol w:w="1800"/>
      </w:tblGrid>
      <w:tr>
        <w:trPr>
          <w:tblHeader w:val="true"/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CLASSE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CRITÉRIO PNTP</w:t>
            </w:r>
          </w:p>
        </w:tc>
        <w:tc>
          <w:tcPr>
            <w:tcW w:type="dxa" w:w="286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AÇÃO DE MELHORIA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EVIDÊNCIA ESPERADA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15.1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Identifica o encarregado/responsável pelo tratamento de dados pessoais e disponibiliza Canal de Comunicação com esse servidor (telefone e/ou e-mail)?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Identificar e manter atualizados o encarregado/responsável pelo tratamento de dados pessoais e disponibiliza Canal de Comunicação com esse servidor (telefone e/ou e-mail).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Responsável e canal; política; serviços digitais; arquivos abertos/API; regras de uso; pesquisa.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97A5B"/>
                <w:sz w:val="16"/>
              </w:rPr>
              <w:t>15.2</w:t>
            </w:r>
          </w:p>
        </w:tc>
        <w:tc>
          <w:tcPr>
            <w:tcW w:type="dxa" w:w="1250"/>
            <w:vAlign w:val="top"/>
            <w:shd w:fill="EAF5EF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97A5B"/>
                <w:sz w:val="16"/>
              </w:rPr>
              <w:t>Recomendada</w:t>
            </w:r>
          </w:p>
        </w:tc>
        <w:tc>
          <w:tcPr>
            <w:tcW w:type="dxa" w:w="3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 a sua Política de Privacidade e Proteção de Dados?</w:t>
            </w:r>
          </w:p>
        </w:tc>
        <w:tc>
          <w:tcPr>
            <w:tcW w:type="dxa" w:w="28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no prazo e preservar a sua Política de Privacidade e Proteção de Dados.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Responsável e canal; política; serviços digitais; arquivos abertos/API; regras de uso; pesquisa.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15.3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Possibilita a demanda e o acesso a serviços públicos por meio digital, sem necessidade de solicitação presencial?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Disponibilizar e testar a demanda e o acesso a serviços públicos por meio digital, sem necessidade de solicitação presencial.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Responsável e canal; política; serviços digitais; arquivos abertos/API; regras de uso; pesquisa.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15.4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Possibilita o acesso automatizado por sistemas externos em dados abertos  (estruturados e legíveis por máquina), e a página contém as regras de utilização?</w:t>
            </w:r>
          </w:p>
        </w:tc>
        <w:tc>
          <w:tcPr>
            <w:tcW w:type="dxa" w:w="28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Oferecer CSV, XLSX ou JSON, metadados, dicionário e API ou endpoint documentado, com regras claras de reutilização.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Responsável e canal; política; serviços digitais; arquivos abertos/API; regras de uso; pesquisa.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97A5B"/>
                <w:sz w:val="16"/>
              </w:rPr>
              <w:t>15.5</w:t>
            </w:r>
          </w:p>
        </w:tc>
        <w:tc>
          <w:tcPr>
            <w:tcW w:type="dxa" w:w="1250"/>
            <w:vAlign w:val="top"/>
            <w:shd w:fill="EAF5EF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97A5B"/>
                <w:sz w:val="16"/>
              </w:rPr>
              <w:t>Recomendada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Regulamenta a Lei Federal nº 14.129/2021 (Governo Digital) e divulga a normativa em seu portal?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Informar se houve adoção municipal da Lei nº 14.129/2021 e publicar a norma; se ausente, propor regulamentação local.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Responsável e canal; política; serviços digitais; arquivos abertos/API; regras de uso; pesquisa.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15.6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Realiza e divulga resultados de pesquisas de satisfação?</w:t>
            </w:r>
          </w:p>
        </w:tc>
        <w:tc>
          <w:tcPr>
            <w:tcW w:type="dxa" w:w="28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Realizar periodicamente e divulgar e divulga resultados de pesquisas de satisfação.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Responsável e canal; política; serviços digitais; arquivos abertos/API; regras de uso; pesquisa.</w:t>
            </w:r>
          </w:p>
        </w:tc>
      </w:tr>
    </w:tbl>
    <w:p>
      <w:pPr>
        <w:spacing w:before="80" w:after="80"/>
      </w:pPr>
      <w:r>
        <w:rPr>
          <w:rFonts w:ascii="Calibri" w:hAnsi="Calibri"/>
          <w:i/>
          <w:color w:val="687581"/>
          <w:sz w:val="17"/>
        </w:rPr>
        <w:t>Situação inicial sugerida: VALIDAR/REGULARIZAR - concluir até o 45º dia e registrar URL, data, responsável e evidência.</w:t>
      </w:r>
    </w:p>
    <w:p>
      <w:pPr>
        <w:pStyle w:val="Heading2"/>
        <w:keepNext/>
      </w:pPr>
      <w:r>
        <w:t>Atividades Finalísticas - PL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250"/>
        <w:gridCol w:w="3100"/>
        <w:gridCol w:w="2868"/>
        <w:gridCol w:w="1800"/>
      </w:tblGrid>
      <w:tr>
        <w:trPr>
          <w:tblHeader w:val="true"/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CLASSE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CRITÉRIO PNTP</w:t>
            </w:r>
          </w:p>
        </w:tc>
        <w:tc>
          <w:tcPr>
            <w:tcW w:type="dxa" w:w="286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AÇÃO DE MELHORIA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EVIDÊNCIA ESPERADA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20.1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composição da Casa, com a biografia dos parlamentares?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a composição da Casa, com a biografia dos parlamentares.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SAPL/site com URL permanente; documentos e anexos; autoria; tramitação; presença; votação e mídia.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20.2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as leis e atos infralegais (resoluções, decretos, etc.) produzidos?</w:t>
            </w:r>
          </w:p>
        </w:tc>
        <w:tc>
          <w:tcPr>
            <w:tcW w:type="dxa" w:w="28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as leis e atos infralegais (resoluções, decretos, etc.) produzidos.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SAPL/site com URL permanente; documentos e anexos; autoria; tramitação; presença; votação e mídia.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20.3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projetos de leis e de atos infralegais, bem como as respectivas tramitações (contemplando ementa, documentos anexos, situação atual e autor/relator)?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Garantir tramitação legislativa completa: ementa, autoria, relatoria, anexos, pareceres, emendas, situação e histórico.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SAPL/site com URL permanente; documentos e anexos; autoria; tramitação; presença; votação e mídia.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20.4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pauta das sessões do Plenário?</w:t>
            </w:r>
          </w:p>
        </w:tc>
        <w:tc>
          <w:tcPr>
            <w:tcW w:type="dxa" w:w="28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a pauta das sessões do Plenário.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SAPL/site com URL permanente; documentos e anexos; autoria; tramitação; presença; votação e mídia.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20.5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pauta das Comissões?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pautas das comissões com antecedência e manter arquivo por comissão, data e matéria.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SAPL/site com URL permanente; documentos e anexos; autoria; tramitação; presença; votação e mídia.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20.6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as atas das sessões, incluindo a lista de presença dos parlamentares em cada sessão?</w:t>
            </w:r>
          </w:p>
        </w:tc>
        <w:tc>
          <w:tcPr>
            <w:tcW w:type="dxa" w:w="28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atas e presenças em formato pesquisável, ligadas à sessão, pauta, vídeo e votações.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SAPL/site com URL permanente; documentos e anexos; autoria; tramitação; presença; votação e mídia.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97A5B"/>
                <w:sz w:val="16"/>
              </w:rPr>
              <w:t>20.7</w:t>
            </w:r>
          </w:p>
        </w:tc>
        <w:tc>
          <w:tcPr>
            <w:tcW w:type="dxa" w:w="1250"/>
            <w:vAlign w:val="top"/>
            <w:shd w:fill="EAF5EF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97A5B"/>
                <w:sz w:val="16"/>
              </w:rPr>
              <w:t>Recomendada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lista sobre as votações nominais?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Criar consulta de votações nominais por matéria, sessão, vereador e resultado.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SAPL/site com URL permanente; documentos e anexos; autoria; tramitação; presença; votação e mídia.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20.8</w:t>
            </w:r>
          </w:p>
        </w:tc>
        <w:tc>
          <w:tcPr>
            <w:tcW w:type="dxa" w:w="1250"/>
            <w:vAlign w:val="top"/>
            <w:shd w:fill="F4F7FA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Obrigatória</w:t>
            </w:r>
          </w:p>
        </w:tc>
        <w:tc>
          <w:tcPr>
            <w:tcW w:type="dxa" w:w="3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o ato que aprecia as Contas do Chefe do Poder Executivo (Decreto) e o teor do julgamento (Ata ou Resumo da Sessão que aprovou ou rejeitou as contas)?</w:t>
            </w:r>
          </w:p>
        </w:tc>
        <w:tc>
          <w:tcPr>
            <w:tcW w:type="dxa" w:w="28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Reunir decreto legislativo, parecer prévio do TCE, ata e resultado do julgamento das contas do Executivo.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SAPL/site com URL permanente; documentos e anexos; autoria; tramitação; presença; votação e mídia.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97A5B"/>
                <w:sz w:val="16"/>
              </w:rPr>
              <w:t>20.9</w:t>
            </w:r>
          </w:p>
        </w:tc>
        <w:tc>
          <w:tcPr>
            <w:tcW w:type="dxa" w:w="1250"/>
            <w:vAlign w:val="top"/>
            <w:shd w:fill="EAF5EF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97A5B"/>
                <w:sz w:val="16"/>
              </w:rPr>
              <w:t>Recomendada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Há transmissão de sessões, audiências públicas, consultas públicas ou outras formas de participação popular via meios de comunicação como rádio, TV, internet, entre outros?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Transmitir e arquivar sessões e audiências, com data, pauta, descrição, capítulos e link permanente.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SAPL/site com URL permanente; documentos e anexos; autoria; tramitação; presença; votação e mídia.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97A5B"/>
                <w:sz w:val="16"/>
              </w:rPr>
              <w:t>20.10</w:t>
            </w:r>
          </w:p>
        </w:tc>
        <w:tc>
          <w:tcPr>
            <w:tcW w:type="dxa" w:w="1250"/>
            <w:vAlign w:val="top"/>
            <w:shd w:fill="EAF5EF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97A5B"/>
                <w:sz w:val="16"/>
              </w:rPr>
              <w:t>Recomendada</w:t>
            </w:r>
          </w:p>
        </w:tc>
        <w:tc>
          <w:tcPr>
            <w:tcW w:type="dxa" w:w="3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regulamentação e os valores relativos às cotas para exercício da atividade parlamentar/verba indenizatória?</w:t>
            </w:r>
          </w:p>
        </w:tc>
        <w:tc>
          <w:tcPr>
            <w:tcW w:type="dxa" w:w="286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norma, limites e valores de cotas/verbas, com prestação por parlamentar, competência e comprovantes.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SAPL/site com URL permanente; documentos e anexos; autoria; tramitação; presença; votação e mídia.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97A5B"/>
                <w:sz w:val="16"/>
              </w:rPr>
              <w:t>20.11</w:t>
            </w:r>
          </w:p>
        </w:tc>
        <w:tc>
          <w:tcPr>
            <w:tcW w:type="dxa" w:w="1250"/>
            <w:vAlign w:val="top"/>
            <w:shd w:fill="EAF5EF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97A5B"/>
                <w:sz w:val="16"/>
              </w:rPr>
              <w:t>Recomendada</w:t>
            </w:r>
          </w:p>
        </w:tc>
        <w:tc>
          <w:tcPr>
            <w:tcW w:type="dxa" w:w="3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dados sobre as atividades legislativas dos parlamentares?</w:t>
            </w:r>
          </w:p>
        </w:tc>
        <w:tc>
          <w:tcPr>
            <w:tcW w:type="dxa" w:w="286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Criar painel de atividades por parlamentar: proposições, relatorias, presenças, votações, comissões e despesas.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SAPL/site com URL permanente; documentos e anexos; autoria; tramitação; presença; votação e mídia.</w:t>
            </w:r>
          </w:p>
        </w:tc>
      </w:tr>
    </w:tbl>
    <w:p>
      <w:pPr>
        <w:spacing w:before="80" w:after="80"/>
      </w:pPr>
      <w:r>
        <w:rPr>
          <w:rFonts w:ascii="Calibri" w:hAnsi="Calibri"/>
          <w:i/>
          <w:color w:val="687581"/>
          <w:sz w:val="17"/>
        </w:rPr>
        <w:t>Situação inicial sugerida: VALIDAR/REGULARIZAR - concluir até o 45º dia e registrar URL, data, responsável e evidência.</w:t>
      </w:r>
    </w:p>
    <w:p>
      <w:pPr>
        <w:pStyle w:val="Heading1"/>
      </w:pPr>
      <w:r>
        <w:t>Encaminhamento colaborativo</w:t>
      </w:r>
    </w:p>
    <w:p>
      <w:pPr>
        <w:keepLines/>
        <w:widowControl/>
        <w:jc w:val="both"/>
      </w:pPr>
      <w:r>
        <w:rPr>
          <w:rFonts w:ascii="Calibri" w:hAnsi="Calibri"/>
          <w:color w:val="20262C"/>
          <w:sz w:val="21"/>
        </w:rPr>
        <w:t>Sugere-se que este plano seja recebido como contribuição técnica e cidadã, submetido aos setores responsáveis e executado em até 45 dias, com indicação dos itens já atendidos, das correções aceitas, dos responsáveis e das datas de conclusão. A publicação da própria resposta e do cronograma reforçará a confiança, facilitará o controle interno e permitirá que a sociedade acompanhe os avanços de forma construtiva.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80" w:type="dxa"/>
              <w:start w:w="120" w:type="dxa"/>
              <w:bottom w:w="80" w:type="dxa"/>
              <w:end w:w="120" w:type="dxa"/>
            </w:tcMar>
            <w:shd w:fill="EAF5EF"/>
            <w:tcBorders>
              <w:left w:val="single" w:sz="18" w:color="297A5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 xml:space="preserve">Resultado pretendido. </w:t>
            </w:r>
            <w:r>
              <w:rPr>
                <w:rFonts w:ascii="Calibri" w:hAnsi="Calibri"/>
                <w:color w:val="20262C"/>
                <w:sz w:val="20"/>
              </w:rPr>
              <w:t>Um portal confiável, atualizado, acessível e reutilizável, capaz de apoiar o cidadão, a gestão, os vereadores, o controle interno e os órgãos de fiscalização - com menos retrabalho e maior clareza sobre cada entrega.</w:t>
            </w:r>
          </w:p>
        </w:tc>
      </w:tr>
    </w:tbl>
    <w:p>
      <w:pPr>
        <w:keepLines/>
        <w:spacing w:before="120"/>
        <w:jc w:val="center"/>
      </w:pPr>
      <w:r>
        <w:rPr>
          <w:rFonts w:ascii="Calibri" w:hAnsi="Calibri"/>
          <w:b/>
          <w:color w:val="17324D"/>
          <w:sz w:val="22"/>
        </w:rPr>
        <w:t>GLEISON KLEBER DOS SANTOS</w:t>
      </w:r>
      <w:r>
        <w:rPr>
          <w:rFonts w:ascii="Calibri" w:hAnsi="Calibri"/>
          <w:color w:val="687581"/>
          <w:sz w:val="19"/>
        </w:rPr>
        <w:br/>
        <w:t>Contribuição cidadã independente e apartidária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Calibri" w:hAnsi="Calibri"/>
        <w:color w:val="687581"/>
        <w:sz w:val="17"/>
      </w:rPr>
      <w:t xml:space="preserve">Contribuição cidadã independente • Plano colaborativo • Página </w:t>
    </w:r>
    <w:r>
      <w:rPr>
        <w:rFonts w:ascii="Calibri" w:hAnsi="Calibri"/>
        <w:color w:val="687581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638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100"/>
      <w:gridCol w:w="3538"/>
    </w:tblGrid>
    <w:tr>
      <w:tc>
        <w:tcPr>
          <w:tcW w:type="dxa" w:w="6100"/>
          <w:tcMar>
            <w:top w:w="80" w:type="dxa"/>
            <w:start w:w="120" w:type="dxa"/>
            <w:bottom w:w="80" w:type="dxa"/>
            <w:end w:w="120" w:type="dxa"/>
          </w:tcMar>
          <w:shd w:fill="17324D"/>
          <w:vAlign w:val="center"/>
        </w:tcPr>
        <w:p>
          <w:pPr>
            <w:spacing w:after="0"/>
            <w:jc w:val="left"/>
          </w:pPr>
          <w:r>
            <w:rPr>
              <w:rFonts w:ascii="Calibri" w:hAnsi="Calibri"/>
              <w:b/>
              <w:color w:val="FFFFFF"/>
              <w:sz w:val="18"/>
            </w:rPr>
            <w:t>CONTRIBUIÇÃO CIDADÃ</w:t>
          </w:r>
        </w:p>
      </w:tc>
      <w:tc>
        <w:tcPr>
          <w:tcW w:type="dxa" w:w="3538"/>
          <w:tcMar>
            <w:top w:w="80" w:type="dxa"/>
            <w:start w:w="120" w:type="dxa"/>
            <w:bottom w:w="80" w:type="dxa"/>
            <w:end w:w="120" w:type="dxa"/>
          </w:tcMar>
          <w:shd w:fill="1F5D8F"/>
          <w:vAlign w:val="center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color w:val="FFFFFF"/>
              <w:sz w:val="18"/>
            </w:rPr>
            <w:t>CÂMARA MUNICIPAL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Calibri" w:hAnsi="Calibri"/>
      <w:color w:val="2026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5D8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F5D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tricon.org.br/136944-2/" TargetMode="External"/><Relationship Id="rId12" Type="http://schemas.openxmlformats.org/officeDocument/2006/relationships/hyperlink" Target="https://radardatransparencia.atricon.org.br/downloads.html" TargetMode="External"/><Relationship Id="rId13" Type="http://schemas.openxmlformats.org/officeDocument/2006/relationships/hyperlink" Target="https://www.tce.mg.gov.br/fale_tce/docs/PNTP-PerguntasFrequentesTCEMG_2025.pdf" TargetMode="External"/><Relationship Id="rId14" Type="http://schemas.openxmlformats.org/officeDocument/2006/relationships/hyperlink" Target="https://camaravarginha.mg.gov.br/transparencia" TargetMode="External"/><Relationship Id="rId15" Type="http://schemas.openxmlformats.org/officeDocument/2006/relationships/hyperlink" Target="https://www.tce.mg.gov.br/IMG/2026/Cartilha-PNTP-2026.pdf" TargetMode="External"/><Relationship Id="rId16" Type="http://schemas.openxmlformats.org/officeDocument/2006/relationships/hyperlink" Target="https://radartransparente.com.br/avaliacao/5518baf1-b161-4f79-b364-94c64e2af7bb" TargetMode="External"/><Relationship Id="rId17" Type="http://schemas.openxmlformats.org/officeDocument/2006/relationships/hyperlink" Target="https://www.planalto.gov.br/ccivil_03/_ato2011-2014/2011/lei/l12527.htm" TargetMode="External"/><Relationship Id="rId18" Type="http://schemas.openxmlformats.org/officeDocument/2006/relationships/hyperlink" Target="https://sapl.varginha.mg.leg.br/media/sapl/public/normajuridica/2013/5880/lei5729-2013.pdf" TargetMode="External"/><Relationship Id="rId19" Type="http://schemas.openxmlformats.org/officeDocument/2006/relationships/hyperlink" Target="https://www.planalto.gov.br/ccivil_03/leis/lcp/lcp101.htm" TargetMode="External"/><Relationship Id="rId20" Type="http://schemas.openxmlformats.org/officeDocument/2006/relationships/hyperlink" Target="https://www.planalto.gov.br/ccivil_03/_ato2019-2022/2020/decreto/d10540.htm" TargetMode="External"/><Relationship Id="rId21" Type="http://schemas.openxmlformats.org/officeDocument/2006/relationships/hyperlink" Target="https://www.planalto.gov.br/ccivil_03/_ato2019-2022/2021/lei/l14133.htm" TargetMode="External"/><Relationship Id="rId22" Type="http://schemas.openxmlformats.org/officeDocument/2006/relationships/hyperlink" Target="https://www.planalto.gov.br/ccivil_03/_ato2015-2018/2017/lei/l13460.htm" TargetMode="External"/><Relationship Id="rId23" Type="http://schemas.openxmlformats.org/officeDocument/2006/relationships/hyperlink" Target="https://www.planalto.gov.br/ccivil_03/_ato2015-2018/2018/lei/l13709compilado.htm" TargetMode="External"/><Relationship Id="rId24" Type="http://schemas.openxmlformats.org/officeDocument/2006/relationships/hyperlink" Target="https://www.planalto.gov.br/ccivil_03/_ato2015-2018/2015/lei/l13146.htm" TargetMode="External"/><Relationship Id="rId25" Type="http://schemas.openxmlformats.org/officeDocument/2006/relationships/hyperlink" Target="https://www.planalto.gov.br/ccivil_03/constituicao/constituicao.htm" TargetMode="External"/><Relationship Id="rId26" Type="http://schemas.openxmlformats.org/officeDocument/2006/relationships/hyperlink" Target="https://www.planalto.gov.br/ccivil_03/leis/lcp/lcp131.htm" TargetMode="External"/><Relationship Id="rId27" Type="http://schemas.openxmlformats.org/officeDocument/2006/relationships/hyperlink" Target="https://www.planalto.gov.br/ccivil_03/_ato2007-2010/2010/lei/l12232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Colaborativo de Melhoria do Portal da Transparência da Câmara de Varginha</dc:title>
  <dc:subject>Diagnóstico e regularização integral do portal em 45 dias</dc:subject>
  <dc:creator>Contribuição cidadã independente</dc:creator>
  <cp:keywords>transparência, Câmara Municipal, Varginha, PNTP, controle social</cp:keywords>
  <dc:description>Documento colaborativo, sem presunção de irregularidade.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