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F5D8F"/>
          <w:sz w:val="20"/>
        </w:rPr>
        <w:t>PORTAL DA TRANSPARÊNCIA</w:t>
      </w:r>
    </w:p>
    <w:p>
      <w:pPr>
        <w:spacing w:after="80"/>
      </w:pPr>
      <w:r>
        <w:rPr>
          <w:rFonts w:ascii="Calibri" w:hAnsi="Calibri"/>
          <w:b/>
          <w:color w:val="17324D"/>
          <w:sz w:val="50"/>
        </w:rPr>
        <w:t>Prefeitura Municipal de Varginha</w:t>
      </w:r>
    </w:p>
    <w:p>
      <w:pPr>
        <w:spacing w:after="240"/>
      </w:pPr>
      <w:r>
        <w:rPr>
          <w:rFonts w:ascii="Calibri" w:hAnsi="Calibri"/>
          <w:b/>
          <w:color w:val="1F5D8F"/>
          <w:sz w:val="26"/>
        </w:rPr>
        <w:t>Diagnóstico técnico dos portais e plano colaborativo de melhoria em 45 dias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538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75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INFORMAÇÃO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DESTINATÁRIO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Prefeitura Municipal de Varginha — Poder Executivo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ORIGEM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Contribuição cidadã independente e apartidária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DATA-BASE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29 de julho de 2026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FINALIDADE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Apoiar a correção das pendências, o cumprimento dos prazos legais e a melhoria da transparência ativa.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  <w:tcBorders>
              <w:left w:val="single" w:sz="18" w:color="1F5D8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Tom e finalidade. </w:t>
            </w:r>
            <w:r>
              <w:rPr>
                <w:rFonts w:ascii="Calibri" w:hAnsi="Calibri"/>
                <w:color w:val="20262C"/>
                <w:sz w:val="20"/>
              </w:rPr>
              <w:t>O documento reconhece os avanços já existentes, registra falhas, deficiências e atrasos que precisam ser enfrentados e propõe cooperação técnica para concluir as melhorias em 45 dias. Não presume dolo ou irregularidade e não substitui a avaliação oficial do Tribunal de Contas.</w:t>
            </w:r>
          </w:p>
        </w:tc>
      </w:tr>
    </w:tbl>
    <w:p>
      <w:pPr>
        <w:spacing w:after="0" w:before="0"/>
      </w:pPr>
    </w:p>
    <w:p>
      <w:r>
        <w:br w:type="page"/>
      </w:r>
    </w:p>
    <w:p>
      <w:pPr>
        <w:pStyle w:val="Heading1"/>
      </w:pPr>
      <w:r>
        <w:t>Apresentação institucional</w:t>
      </w:r>
    </w:p>
    <w:p>
      <w:pPr>
        <w:spacing w:after="160"/>
      </w:pPr>
      <w:r>
        <w:rPr>
          <w:rFonts w:ascii="Calibri" w:hAnsi="Calibri"/>
          <w:b/>
          <w:color w:val="17324D"/>
          <w:sz w:val="36"/>
        </w:rPr>
        <w:t>Origem e autoridade da metodologia utilizada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Os apontamentos deste plano não foram formulados a partir de preferências pessoais. A referência principal é o Programa Nacional de Transparência Pública (PNTP), iniciativa coordenada pela Associação dos Membros dos Tribunais de Contas do Brasil (Atricon), com participação dos Tribunais de Contas na avaliação e validação dos portais públicos.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4F7FA"/>
            <w:tcBorders>
              <w:left w:val="single" w:sz="18" w:color="1F5D8F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Referência nacional. </w:t>
            </w:r>
            <w:r>
              <w:rPr>
                <w:rFonts w:ascii="Calibri" w:hAnsi="Calibri"/>
                <w:color w:val="20262C"/>
                <w:sz w:val="20"/>
              </w:rPr>
              <w:t>O PNTP examina a transparência ativa dos Poderes Executivo, Legislativo e Judiciário e de outras instituições públicas. Os resultados são consolidados no Radar Nacional da Transparência Pública, com índices, níveis de transparência e evidências relacionadas aos critérios avaliados.</w:t>
            </w:r>
          </w:p>
        </w:tc>
      </w:tr>
    </w:tbl>
    <w:p>
      <w:pPr>
        <w:spacing w:after="0" w:before="0"/>
      </w:pP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650"/>
        <w:gridCol w:w="4288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ORIGEM INSTITUCIONAL</w:t>
            </w:r>
          </w:p>
        </w:tc>
        <w:tc>
          <w:tcPr>
            <w:tcW w:type="dxa" w:w="428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FUNÇÃO</w:t>
            </w:r>
          </w:p>
        </w:tc>
      </w:tr>
      <w:tr>
        <w:trPr>
          <w:cantSplit/>
        </w:trPr>
        <w:tc>
          <w:tcPr>
            <w:tcW w:type="dxa" w:w="17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Coordenação</w:t>
            </w:r>
          </w:p>
        </w:tc>
        <w:tc>
          <w:tcPr>
            <w:tcW w:type="dxa" w:w="3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Atricon e instituições parceiras do controle externo.</w:t>
            </w:r>
          </w:p>
        </w:tc>
        <w:tc>
          <w:tcPr>
            <w:tcW w:type="dxa" w:w="42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Metodologia, cartilha e matriz nacional.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Instrumento</w:t>
            </w:r>
          </w:p>
        </w:tc>
        <w:tc>
          <w:tcPr>
            <w:tcW w:type="dxa" w:w="3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Cartilha e Critérios de Avaliação PNTP 2026.</w:t>
            </w:r>
          </w:p>
        </w:tc>
        <w:tc>
          <w:tcPr>
            <w:tcW w:type="dxa" w:w="42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Redação, classe e aplicabilidade dos critérios.</w:t>
            </w:r>
          </w:p>
        </w:tc>
      </w:tr>
      <w:tr>
        <w:trPr>
          <w:cantSplit/>
        </w:trPr>
        <w:tc>
          <w:tcPr>
            <w:tcW w:type="dxa" w:w="17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Avaliação</w:t>
            </w:r>
          </w:p>
        </w:tc>
        <w:tc>
          <w:tcPr>
            <w:tcW w:type="dxa" w:w="3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Controladorias e equipes técnicas dos Tribunais de Contas.</w:t>
            </w:r>
          </w:p>
        </w:tc>
        <w:tc>
          <w:tcPr>
            <w:tcW w:type="dxa" w:w="42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Verificação do atendimento e das evidências.</w:t>
            </w:r>
          </w:p>
        </w:tc>
      </w:tr>
      <w:tr>
        <w:trPr>
          <w:cantSplit/>
        </w:trPr>
        <w:tc>
          <w:tcPr>
            <w:tcW w:type="dxa" w:w="17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Resultado</w:t>
            </w:r>
          </w:p>
        </w:tc>
        <w:tc>
          <w:tcPr>
            <w:tcW w:type="dxa" w:w="3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Radar Nacional da Transparência Pública.</w:t>
            </w:r>
          </w:p>
        </w:tc>
        <w:tc>
          <w:tcPr>
            <w:tcW w:type="dxa" w:w="42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Índice e níveis Diamante, Ouro, Prata, Elevado e demais faixas.</w:t>
            </w:r>
          </w:p>
        </w:tc>
      </w:tr>
      <w:tr>
        <w:trPr>
          <w:cantSplit/>
        </w:trPr>
        <w:tc>
          <w:tcPr>
            <w:tcW w:type="dxa" w:w="17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Aplicação em Minas</w:t>
            </w:r>
          </w:p>
        </w:tc>
        <w:tc>
          <w:tcPr>
            <w:tcW w:type="dxa" w:w="3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Tribunal de Contas do Estado de Minas Gerais.</w:t>
            </w:r>
          </w:p>
        </w:tc>
        <w:tc>
          <w:tcPr>
            <w:tcW w:type="dxa" w:w="42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Orientação e validação do ciclo mineiro.</w:t>
            </w:r>
          </w:p>
        </w:tc>
      </w:tr>
    </w:tbl>
    <w:p>
      <w:pPr>
        <w:pStyle w:val="Heading2"/>
      </w:pPr>
      <w:r>
        <w:t>Como a matriz foi aplicada à Prefeitura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A Matriz PNTP 2026 foi filtrada pelas categorias aplicáveis ao Poder Executivo municipal. Desse procedimento resultaram os 96 critérios reunidos no Anexo A: 12 essenciais, 65 obrigatórios e 19 recomendados. Cada critério foi convertido em ação e evidência de entrega, preservando-se a redação oficial na coluna correspondente.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300"/>
        <w:gridCol w:w="5438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NÍVEL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ÍNDICE</w:t>
            </w:r>
          </w:p>
        </w:tc>
        <w:tc>
          <w:tcPr>
            <w:tcW w:type="dxa" w:w="54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REQUISITO COMPLEMENTAR</w:t>
            </w:r>
          </w:p>
        </w:tc>
      </w:tr>
      <w:tr>
        <w:trPr>
          <w:cantSplit/>
        </w:trPr>
        <w:tc>
          <w:tcPr>
            <w:tcW w:type="dxa" w:w="19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Diamante</w:t>
            </w:r>
          </w:p>
        </w:tc>
        <w:tc>
          <w:tcPr>
            <w:tcW w:type="dxa" w:w="23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95% a 100%</w:t>
            </w:r>
          </w:p>
        </w:tc>
        <w:tc>
          <w:tcPr>
            <w:tcW w:type="dxa" w:w="5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100% dos critérios essenciais</w:t>
            </w:r>
          </w:p>
        </w:tc>
      </w:tr>
      <w:tr>
        <w:trPr>
          <w:cantSplit/>
        </w:trPr>
        <w:tc>
          <w:tcPr>
            <w:tcW w:type="dxa" w:w="19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Ouro</w:t>
            </w:r>
          </w:p>
        </w:tc>
        <w:tc>
          <w:tcPr>
            <w:tcW w:type="dxa" w:w="23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85% a 94%</w:t>
            </w:r>
          </w:p>
        </w:tc>
        <w:tc>
          <w:tcPr>
            <w:tcW w:type="dxa" w:w="5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100% dos critérios essenciais</w:t>
            </w:r>
          </w:p>
        </w:tc>
      </w:tr>
      <w:tr>
        <w:trPr>
          <w:cantSplit/>
        </w:trPr>
        <w:tc>
          <w:tcPr>
            <w:tcW w:type="dxa" w:w="19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Prata</w:t>
            </w:r>
          </w:p>
        </w:tc>
        <w:tc>
          <w:tcPr>
            <w:tcW w:type="dxa" w:w="23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75% a 84%</w:t>
            </w:r>
          </w:p>
        </w:tc>
        <w:tc>
          <w:tcPr>
            <w:tcW w:type="dxa" w:w="5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100% dos critérios essenciais</w:t>
            </w:r>
          </w:p>
        </w:tc>
      </w:tr>
      <w:tr>
        <w:trPr>
          <w:cantSplit/>
        </w:trPr>
        <w:tc>
          <w:tcPr>
            <w:tcW w:type="dxa" w:w="19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Elevado</w:t>
            </w:r>
          </w:p>
        </w:tc>
        <w:tc>
          <w:tcPr>
            <w:tcW w:type="dxa" w:w="23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Acima de 75%</w:t>
            </w:r>
          </w:p>
        </w:tc>
        <w:tc>
          <w:tcPr>
            <w:tcW w:type="dxa" w:w="5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Menos de 100% dos critérios essenciais</w:t>
            </w:r>
          </w:p>
        </w:tc>
      </w:tr>
      <w:tr>
        <w:trPr>
          <w:cantSplit/>
        </w:trPr>
        <w:tc>
          <w:tcPr>
            <w:tcW w:type="dxa" w:w="19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Intermediário</w:t>
            </w:r>
          </w:p>
        </w:tc>
        <w:tc>
          <w:tcPr>
            <w:tcW w:type="dxa" w:w="23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50% a 74%</w:t>
            </w:r>
          </w:p>
        </w:tc>
        <w:tc>
          <w:tcPr>
            <w:tcW w:type="dxa" w:w="5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Classificação sem selo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FF7DD"/>
            <w:tcBorders>
              <w:left w:val="single" w:sz="18" w:color="8A650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Natureza e limite deste documento. </w:t>
            </w:r>
            <w:r>
              <w:rPr>
                <w:rFonts w:ascii="Calibri" w:hAnsi="Calibri"/>
                <w:color w:val="20262C"/>
                <w:sz w:val="20"/>
              </w:rPr>
              <w:t>Este plano é uma contribuição cidadã baseada em fontes oficiais; não é parecer, auditoria ou avaliação emitida pela Atricon ou pelo TCE-MG. As constatações locais resultam de consulta pública realizada em 29 de julho de 2026 e devem ser confirmadas pela Prefeitura antes do encerramento de cada ação.</w:t>
            </w:r>
          </w:p>
        </w:tc>
      </w:tr>
    </w:tbl>
    <w:p>
      <w:pPr>
        <w:spacing w:after="0" w:before="0"/>
      </w:pPr>
    </w:p>
    <w:p>
      <w:pPr>
        <w:spacing w:after="0"/>
      </w:pPr>
      <w:r>
        <w:rPr>
          <w:rFonts w:ascii="Calibri" w:hAnsi="Calibri"/>
          <w:b/>
          <w:color w:val="17324D"/>
          <w:sz w:val="18"/>
        </w:rPr>
        <w:t xml:space="preserve">Fontes institucionais: </w:t>
      </w:r>
      <w:hyperlink r:id="rId11">
        <w:r>
          <w:rPr>
            <w:color w:val="1F5D8F"/>
            <w:u w:val="single"/>
            <w:sz w:val="20"/>
          </w:rPr>
          <w:t>PNTP/Atricon</w:t>
        </w:r>
      </w:hyperlink>
      <w:r>
        <w:rPr>
          <w:rFonts w:ascii="Calibri" w:hAnsi="Calibri"/>
          <w:color w:val="687581"/>
          <w:sz w:val="18"/>
        </w:rPr>
        <w:t xml:space="preserve"> • </w:t>
      </w:r>
      <w:hyperlink r:id="rId12">
        <w:r>
          <w:rPr>
            <w:color w:val="1F5D8F"/>
            <w:u w:val="single"/>
            <w:sz w:val="20"/>
          </w:rPr>
          <w:t>Cartilha PNTP 2026</w:t>
        </w:r>
      </w:hyperlink>
      <w:r>
        <w:rPr>
          <w:rFonts w:ascii="Calibri" w:hAnsi="Calibri"/>
          <w:color w:val="687581"/>
          <w:sz w:val="18"/>
        </w:rPr>
        <w:t xml:space="preserve"> • </w:t>
      </w:r>
      <w:hyperlink r:id="rId13">
        <w:r>
          <w:rPr>
            <w:color w:val="1F5D8F"/>
            <w:u w:val="single"/>
            <w:sz w:val="20"/>
          </w:rPr>
          <w:t>TCE-MG</w:t>
        </w:r>
      </w:hyperlink>
    </w:p>
    <w:p>
      <w:r>
        <w:br w:type="page"/>
      </w:r>
    </w:p>
    <w:p>
      <w:pPr>
        <w:pStyle w:val="Heading1"/>
      </w:pPr>
      <w:r>
        <w:t>1. Síntese executiva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O resultado público anteriormente consultado para a Prefeitura indicou índice geral de 81,8%, classificação “Elevado” e atendimento de 81,8% dos critérios essenciais. O desempenho demonstra uma base relevante, mas ainda não representa atendimento integral: critérios essenciais abaixo de 100%, publicações atrasadas e lacunas de qualidade impedem a conclusão plena do ciclo.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Mar>
              <w:top w:w="80" w:type="dxa"/>
              <w:start w:w="120" w:type="dxa"/>
              <w:bottom w:w="80" w:type="dxa"/>
              <w:end w:w="120" w:type="dxa"/>
            </w:tcMar>
            <w:shd w:fill="1F5D8F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32"/>
              </w:rPr>
              <w:t>81,8%</w:t>
            </w:r>
            <w:r>
              <w:rPr>
                <w:rFonts w:ascii="Calibri" w:hAnsi="Calibri"/>
                <w:b/>
                <w:color w:val="FFFFFF"/>
                <w:sz w:val="15"/>
              </w:rPr>
              <w:br/>
              <w:t>ÍNDICE INFORMADO</w:t>
            </w:r>
          </w:p>
        </w:tc>
        <w:tc>
          <w:tcPr>
            <w:tcW w:type="dxa" w:w="2409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32"/>
              </w:rPr>
              <w:t>ELEVADO</w:t>
            </w:r>
            <w:r>
              <w:rPr>
                <w:rFonts w:ascii="Calibri" w:hAnsi="Calibri"/>
                <w:b/>
                <w:color w:val="FFFFFF"/>
                <w:sz w:val="15"/>
              </w:rPr>
              <w:br/>
              <w:t>NÍVEL INFORMADO</w:t>
            </w:r>
          </w:p>
        </w:tc>
        <w:tc>
          <w:tcPr>
            <w:tcW w:type="dxa" w:w="2409"/>
            <w:tcMar>
              <w:top w:w="80" w:type="dxa"/>
              <w:start w:w="120" w:type="dxa"/>
              <w:bottom w:w="80" w:type="dxa"/>
              <w:end w:w="120" w:type="dxa"/>
            </w:tcMar>
            <w:shd w:fill="A33A32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32"/>
              </w:rPr>
              <w:t>81,8%</w:t>
            </w:r>
            <w:r>
              <w:rPr>
                <w:rFonts w:ascii="Calibri" w:hAnsi="Calibri"/>
                <w:b/>
                <w:color w:val="FFFFFF"/>
                <w:sz w:val="15"/>
              </w:rPr>
              <w:br/>
              <w:t>ESSENCIAIS INFORMADOS</w:t>
            </w:r>
          </w:p>
        </w:tc>
        <w:tc>
          <w:tcPr>
            <w:tcW w:type="dxa" w:w="2411"/>
            <w:tcMar>
              <w:top w:w="80" w:type="dxa"/>
              <w:start w:w="120" w:type="dxa"/>
              <w:bottom w:w="80" w:type="dxa"/>
              <w:end w:w="120" w:type="dxa"/>
            </w:tcMar>
            <w:shd w:fill="297A5B"/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32"/>
              </w:rPr>
              <w:t>45 DIAS</w:t>
            </w:r>
            <w:r>
              <w:rPr>
                <w:rFonts w:ascii="Calibri" w:hAnsi="Calibri"/>
                <w:b/>
                <w:color w:val="FFFFFF"/>
                <w:sz w:val="15"/>
              </w:rPr>
              <w:br/>
              <w:t>META DE CONCLUSÃO</w:t>
            </w:r>
          </w:p>
        </w:tc>
      </w:tr>
    </w:tbl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A Prefeitura mantém portal institucional, área de dados abertos, Diário Oficial e sistemas temáticos. O desafio é tornar esse conjunto uma experiência única e verificável, com conteúdo completo, atualizado, pesquisável, exportável, acessível e ligado aos respectivos atos, processos e registros contábeis.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FF7DD"/>
            <w:tcBorders>
              <w:left w:val="single" w:sz="18" w:color="8A650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Escopo completo. </w:t>
            </w:r>
            <w:r>
              <w:rPr>
                <w:rFonts w:ascii="Calibri" w:hAnsi="Calibri"/>
                <w:color w:val="20262C"/>
                <w:sz w:val="20"/>
              </w:rPr>
              <w:t>A matriz PNTP 2026 reúne 96 critérios aplicáveis ao Executivo municipal: 12 essenciais, 65 obrigatórios e 19 recomendados. O Anexo A converte todos eles em ações e evidências de entrega.</w:t>
            </w:r>
          </w:p>
        </w:tc>
      </w:tr>
    </w:tbl>
    <w:p>
      <w:pPr>
        <w:spacing w:after="0" w:before="0"/>
      </w:pP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Meta de 45 dias. </w:t>
            </w:r>
            <w:r>
              <w:rPr>
                <w:rFonts w:ascii="Calibri" w:hAnsi="Calibri"/>
                <w:color w:val="20262C"/>
                <w:sz w:val="20"/>
              </w:rPr>
              <w:t>Até o encerramento do período, os 96 critérios deverão estar validados; o passivo de publicações deverá estar regularizado; e cada item aplicável deverá possuir URL, evidência, responsável, data de atualização e teste final registrados em até 45 dias.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2. Avaliação dos portais consultados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A verificação foi realizada em 29 de julho de 2026 nos canais indicados pelo próprio site da Prefeitura. Foram considerados o portal institucional, a transparência financeira Betha, o catálogo de dados abertos, o Diário Oficial, licitações, contratos, Carta de Serviços, SIC, Ouvidoria, publicidade institucional e páginas de orçamento. O teste registra o que o cidadão consegue localizar e utilizar sem acesso interno.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450"/>
        <w:gridCol w:w="3400"/>
        <w:gridCol w:w="3338"/>
      </w:tblGrid>
      <w:tr>
        <w:trPr>
          <w:tblHeader w:val="true"/>
          <w:cantSplit/>
        </w:trP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CANAL</w:t>
            </w:r>
          </w:p>
        </w:tc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RESULTADO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 PÚBLICA</w:t>
            </w:r>
          </w:p>
        </w:tc>
        <w:tc>
          <w:tcPr>
            <w:tcW w:type="dxa" w:w="33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MELHORIA PROPOSTA</w:t>
            </w:r>
          </w:p>
        </w:tc>
      </w:tr>
      <w:tr>
        <w:trPr>
          <w:cantSplit/>
        </w:trPr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Diário Oficial</w:t>
            </w:r>
          </w:p>
        </w:tc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Positivo</w:t>
            </w:r>
          </w:p>
        </w:tc>
        <w:tc>
          <w:tcPr>
            <w:tcW w:type="dxa" w:w="34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Edições atuais, pesquisa e acesso ao arquivo oficial; consulta pública indicou edição de 27/07/2026.</w:t>
            </w:r>
          </w:p>
        </w:tc>
        <w:tc>
          <w:tcPr>
            <w:tcW w:type="dxa" w:w="33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rotina, URL permanente, metadados e histórico.</w:t>
            </w:r>
          </w:p>
        </w:tc>
      </w:tr>
      <w:tr>
        <w:trPr>
          <w:cantSplit/>
        </w:trPr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Licitações</w:t>
            </w:r>
          </w:p>
        </w:tc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Positivo</w:t>
            </w:r>
          </w:p>
        </w:tc>
        <w:tc>
          <w:tcPr>
            <w:tcW w:type="dxa" w:w="34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com milhares de editais, filtros, PDF/CSV e vínculos para PNCP e documentos do processo.</w:t>
            </w:r>
          </w:p>
        </w:tc>
        <w:tc>
          <w:tcPr>
            <w:tcW w:type="dxa" w:w="33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Vincular cada certame ao contrato, empenho, pagamento e execução.</w:t>
            </w:r>
          </w:p>
        </w:tc>
      </w:tr>
      <w:tr>
        <w:trPr>
          <w:cantSplit/>
        </w:trPr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Dados abertos</w:t>
            </w:r>
          </w:p>
        </w:tc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Parcial</w:t>
            </w:r>
          </w:p>
        </w:tc>
        <w:tc>
          <w:tcPr>
            <w:tcW w:type="dxa" w:w="34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Catálogo em JSON existe, mas declara excluir sistemas externos; bases de 2026 de contas, obras, contratos e Carta retornaram sem registros.</w:t>
            </w:r>
          </w:p>
        </w:tc>
        <w:tc>
          <w:tcPr>
            <w:tcW w:type="dxa" w:w="33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catálogo unificado e carregar dados ou justificar tecnicamente cada declaração negativa.</w:t>
            </w:r>
          </w:p>
        </w:tc>
      </w:tr>
      <w:tr>
        <w:trPr>
          <w:cantSplit/>
        </w:trPr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Contratos</w:t>
            </w:r>
          </w:p>
        </w:tc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34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 página pública, atualizada em 27/07/2026, exibiu “0 — Nenhum registro foi encontrado”; a API de 2026 também retornou vazia.</w:t>
            </w:r>
          </w:p>
        </w:tc>
        <w:tc>
          <w:tcPr>
            <w:tcW w:type="dxa" w:w="33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contratos e aditivos com objeto, contratado, valor, vigência, fiscais, execução e dados abertos.</w:t>
            </w:r>
          </w:p>
        </w:tc>
      </w:tr>
      <w:tr>
        <w:trPr>
          <w:cantSplit/>
        </w:trPr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Carta de Serviços</w:t>
            </w:r>
          </w:p>
        </w:tc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34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 consulta pública exibiu “Nenhum serviço encontrado”; a base JSON de 2026 também não apresentou registros.</w:t>
            </w:r>
          </w:p>
        </w:tc>
        <w:tc>
          <w:tcPr>
            <w:tcW w:type="dxa" w:w="33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Cadastrar todos os serviços conforme a Lei nº 13.460/2017, com requisitos, etapas, prazo, canal e avaliação.</w:t>
            </w:r>
          </w:p>
        </w:tc>
      </w:tr>
      <w:tr>
        <w:trPr>
          <w:cantSplit/>
        </w:trPr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SIC/e-SIC</w:t>
            </w:r>
          </w:p>
        </w:tc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34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link oficial encaminhou a uma tela de “Acesso negado”; a base estatística de 2026 informou zero solicitantes e zero pedidos.</w:t>
            </w:r>
          </w:p>
        </w:tc>
        <w:tc>
          <w:tcPr>
            <w:tcW w:type="dxa" w:w="33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Restabelecer acesso anônimo ao canal, testar protocolo/recurso e publicar estatísticas coerentes e atualizadas.</w:t>
            </w:r>
          </w:p>
        </w:tc>
      </w:tr>
      <w:tr>
        <w:trPr>
          <w:cantSplit/>
        </w:trPr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Ouvidoria</w:t>
            </w:r>
          </w:p>
        </w:tc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Positivo com ajuste</w:t>
            </w:r>
          </w:p>
        </w:tc>
        <w:tc>
          <w:tcPr>
            <w:tcW w:type="dxa" w:w="34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Canal informa responsável, endereço, telefone, e-mail, prazo de 30 dias, consulta de protocolo e relatórios exportáveis.</w:t>
            </w:r>
          </w:p>
        </w:tc>
        <w:tc>
          <w:tcPr>
            <w:tcW w:type="dxa" w:w="33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Reconciliar totais e estados do relatório, explicar métricas e revisar cadastros duplicados ou marcados “não usar”.</w:t>
            </w:r>
          </w:p>
        </w:tc>
      </w:tr>
      <w:tr>
        <w:trPr>
          <w:cantSplit/>
        </w:trPr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PPA, LDO e LOA</w:t>
            </w:r>
          </w:p>
        </w:tc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Positivo com ajuste</w:t>
            </w:r>
          </w:p>
        </w:tc>
        <w:tc>
          <w:tcPr>
            <w:tcW w:type="dxa" w:w="34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Leis e anexos vigentes foram localizados no repositório legislativo oficial.</w:t>
            </w:r>
          </w:p>
        </w:tc>
        <w:tc>
          <w:tcPr>
            <w:tcW w:type="dxa" w:w="33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página orçamentária única, por exercício, com versões, RREO, RGF, execução e audiências vinculadas.</w:t>
            </w:r>
          </w:p>
        </w:tc>
      </w:tr>
      <w:tr>
        <w:trPr>
          <w:cantSplit/>
        </w:trPr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Publicidade</w:t>
            </w:r>
          </w:p>
        </w:tc>
        <w:tc>
          <w:tcPr>
            <w:tcW w:type="dxa" w:w="14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Positivo com ajuste</w:t>
            </w:r>
          </w:p>
        </w:tc>
        <w:tc>
          <w:tcPr>
            <w:tcW w:type="dxa" w:w="34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Existe portal externo específico, com veículos, fornecedores, investimentos e sessão pública.</w:t>
            </w:r>
          </w:p>
        </w:tc>
        <w:tc>
          <w:tcPr>
            <w:tcW w:type="dxa" w:w="33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Exibir campanha, objeto, peça, período, agência, veículo, fornecedor, empenho, liquidação e pagamento em trilha única.</w:t>
            </w:r>
          </w:p>
        </w:tc>
      </w:tr>
      <w:tr>
        <w:trPr>
          <w:cantSplit/>
        </w:trPr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Saúde e educação</w:t>
            </w:r>
          </w:p>
        </w:tc>
        <w:tc>
          <w:tcPr>
            <w:tcW w:type="dxa" w:w="14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Parcial</w:t>
            </w:r>
          </w:p>
        </w:tc>
        <w:tc>
          <w:tcPr>
            <w:tcW w:type="dxa" w:w="34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atalhos e lista de contemplados da educação infantil para 2026, mas o conteúdo está distribuído em vários domínios e páginas.</w:t>
            </w:r>
          </w:p>
        </w:tc>
        <w:tc>
          <w:tcPr>
            <w:tcW w:type="dxa" w:w="33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Centralizar planos, metas, filas, critérios, estoques, conselhos, atualização e séries históricas.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Leitura equilibrada. </w:t>
            </w:r>
            <w:r>
              <w:rPr>
                <w:rFonts w:ascii="Calibri" w:hAnsi="Calibri"/>
                <w:color w:val="20262C"/>
                <w:sz w:val="20"/>
              </w:rPr>
              <w:t>O portal possui ativos relevantes e atualizados. As falhas mais urgentes não decorrem da ausência de todo o ecossistema, mas da fragmentação entre plataformas e de páginas estruturantes que, no teste público, ficaram vazias ou inacessíveis. A correção deve preservar o que já funciona e integrar os conteúdos em uma experiência única.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3. Como os apontamentos foram classificados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500"/>
        <w:gridCol w:w="4038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CLASSIFICAÇÃO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40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TRATAMENTO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Falha confirmada</w:t>
            </w:r>
          </w:p>
        </w:tc>
        <w:tc>
          <w:tcPr>
            <w:tcW w:type="dxa" w:w="3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Resultado público ou ausência objetivamente verificável.</w:t>
            </w:r>
          </w:p>
        </w:tc>
        <w:tc>
          <w:tcPr>
            <w:tcW w:type="dxa" w:w="40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Corrigir, publicar evidência e registrar a data.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Deficiência observada</w:t>
            </w:r>
          </w:p>
        </w:tc>
        <w:tc>
          <w:tcPr>
            <w:tcW w:type="dxa" w:w="3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Barreira de navegação, organização ou forma de entrega.</w:t>
            </w:r>
          </w:p>
        </w:tc>
        <w:tc>
          <w:tcPr>
            <w:tcW w:type="dxa" w:w="40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Validar com o setor e ajustar a experiência.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Atraso relatado</w:t>
            </w:r>
          </w:p>
        </w:tc>
        <w:tc>
          <w:tcPr>
            <w:tcW w:type="dxa" w:w="3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Entrega informada como pendente ou fora da rotina esperada.</w:t>
            </w:r>
          </w:p>
        </w:tc>
        <w:tc>
          <w:tcPr>
            <w:tcW w:type="dxa" w:w="40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Inventariar, atribuir responsável e recuperar o passivo.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Item a validar</w:t>
            </w:r>
          </w:p>
        </w:tc>
        <w:tc>
          <w:tcPr>
            <w:tcW w:type="dxa" w:w="3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Critério sem espelho detalhado público disponível.</w:t>
            </w:r>
          </w:p>
        </w:tc>
        <w:tc>
          <w:tcPr>
            <w:tcW w:type="dxa" w:w="40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Conferir sem presumir falha antes da validação.</w:t>
            </w:r>
          </w:p>
        </w:tc>
      </w:tr>
    </w:tbl>
    <w:p>
      <w:pPr>
        <w:pStyle w:val="Heading1"/>
      </w:pPr>
      <w:r>
        <w:t>4. Apontamento das principais falhas e deficiências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500"/>
        <w:gridCol w:w="2580"/>
        <w:gridCol w:w="3938"/>
        <w:gridCol w:w="10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APONTAMENTO</w:t>
            </w:r>
          </w:p>
        </w:tc>
        <w:tc>
          <w:tcPr>
            <w:tcW w:type="dxa" w:w="39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MELHORIA COLABORATIVA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PRAZO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F-01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Índice geral informado de 81,8%, ainda sem atendimento integral.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plano critério a critério e evidenciar a correção dos itens restantes.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Imediata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F-02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Essenciais informados em 81,8%, abaixo dos 100% necessários ao selo.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Priorizar todos os essenciais não atendidos ou parciais.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Imediata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F-03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de contratos e base aberta de 2026 retornaram sem registros.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contratos, aditivos, fiscais, execução e vínculos contábeis.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0-15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F-04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Carta de Serviços retornou sem serviços na página e na base aberta de 2026.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Cadastrar serviços, requisitos, etapas, prazos, canais e avaliação.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0-15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F-05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Falha confirmada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Link oficial do SIC apresentou acesso negado e estatísticas abertas de 2026 ficaram zeradas.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Restabelecer o e-SIC e testar pedido, protocolo, recurso e relatório.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0-7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F-06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observada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Catálogo aberto exclui sistemas externos e bases estruturantes de 2026 retornaram vazias.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Integrar catálogo, informar fonte, cobertura, periodicidade e declaração negativa.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0-23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F-07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observada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Conteúdo distribuído entre portal, Betha, Diário, legislação, PNCP e outros domínios.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página única por tema com links diretos, contexto, período e responsável.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0-23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F-08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observada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Relatório da Ouvidoria apresenta totais/estados que exigem reconciliação e cadastros legados.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Revisar regras de contagem, dicionário e categorias; publicar série coerente.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0-23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F-09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observada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PPA, LDO e LOA existem, mas não estão reunidos com RREO, RGF, execução e audiências.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repositório orçamentário único por exercício e período.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0-23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F-10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Item a validar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Saúde, educação, assistência, filas e medicamentos estão dispersos e exigem rotina clara.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Centralizar, datar, versionar e proteger dados pessoais.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0-38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F-11</w:t>
            </w:r>
          </w:p>
        </w:tc>
        <w:tc>
          <w:tcPr>
            <w:tcW w:type="dxa" w:w="15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Item a validar</w:t>
            </w:r>
          </w:p>
        </w:tc>
        <w:tc>
          <w:tcPr>
            <w:tcW w:type="dxa" w:w="258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Renúncias e emendas precisam permitir rastrear fundamento, beneficiário, objeto e execução.</w:t>
            </w:r>
          </w:p>
        </w:tc>
        <w:tc>
          <w:tcPr>
            <w:tcW w:type="dxa" w:w="3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bases abertas e relacionar previsão, concessão e execução.</w:t>
            </w:r>
          </w:p>
        </w:tc>
        <w:tc>
          <w:tcPr>
            <w:tcW w:type="dxa" w:w="10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0-38 dias</w:t>
            </w:r>
          </w:p>
        </w:tc>
      </w:tr>
      <w:tr>
        <w:trPr>
          <w:cantSplit/>
        </w:trPr>
        <w:tc>
          <w:tcPr>
            <w:tcW w:type="dxa" w:w="62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F-12</w:t>
            </w:r>
          </w:p>
        </w:tc>
        <w:tc>
          <w:tcPr>
            <w:tcW w:type="dxa" w:w="15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Deficiência de governança</w:t>
            </w:r>
          </w:p>
        </w:tc>
        <w:tc>
          <w:tcPr>
            <w:tcW w:type="dxa" w:w="258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Não está visível rotina pública única de responsáveis, prazos e testes.</w:t>
            </w:r>
          </w:p>
        </w:tc>
        <w:tc>
          <w:tcPr>
            <w:tcW w:type="dxa" w:w="3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Instituir comitê, calendário, alertas, painel e revisão mensal.</w:t>
            </w:r>
          </w:p>
        </w:tc>
        <w:tc>
          <w:tcPr>
            <w:tcW w:type="dxa" w:w="10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0-7 dias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BEDEC"/>
            <w:tcBorders>
              <w:left w:val="single" w:sz="18" w:color="A33A32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Cautela metodológica. </w:t>
            </w:r>
            <w:r>
              <w:rPr>
                <w:rFonts w:ascii="Calibri" w:hAnsi="Calibri"/>
                <w:color w:val="20262C"/>
                <w:sz w:val="20"/>
              </w:rPr>
              <w:t>Como o espelho detalhado da avaliação não estava disponível na página pública consultada, não se atribui automaticamente cada critério como falha. A Prefeitura poderá validar o anexo, identificar o que já atende e concentrar a correção nos itens parciais, atrasados ou ausentes.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5. Plano de melhoria integral em 45 dias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800"/>
        <w:gridCol w:w="4438"/>
        <w:gridCol w:w="2150"/>
      </w:tblGrid>
      <w:tr>
        <w:trPr>
          <w:tblHeader w:val="true"/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JANELA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FOCO</w:t>
            </w:r>
          </w:p>
        </w:tc>
        <w:tc>
          <w:tcPr>
            <w:tcW w:type="dxa" w:w="44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ENTREGAS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2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1-7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Governança e urgências</w:t>
            </w:r>
          </w:p>
        </w:tc>
        <w:tc>
          <w:tcPr>
            <w:tcW w:type="dxa" w:w="4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Nomear ponto focal; validar 96 critérios; restabelecer SIC; inventariar passivo e responsáveis.</w:t>
            </w:r>
          </w:p>
        </w:tc>
        <w:tc>
          <w:tcPr>
            <w:tcW w:type="dxa" w:w="21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Matriz completa e canais críticos funcionais.</w:t>
            </w:r>
          </w:p>
        </w:tc>
      </w:tr>
      <w:tr>
        <w:trPr>
          <w:cantSplit/>
        </w:trPr>
        <w:tc>
          <w:tcPr>
            <w:tcW w:type="dxa" w:w="12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8-15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Contratos e serviços</w:t>
            </w:r>
          </w:p>
        </w:tc>
        <w:tc>
          <w:tcPr>
            <w:tcW w:type="dxa" w:w="4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Carregar contratos/aditivos e cadastrar a Carta de Serviços; corrigir links e declarações negativas.</w:t>
            </w:r>
          </w:p>
        </w:tc>
        <w:tc>
          <w:tcPr>
            <w:tcW w:type="dxa" w:w="21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Páginas estruturantes com dados verificáveis.</w:t>
            </w:r>
          </w:p>
        </w:tc>
      </w:tr>
      <w:tr>
        <w:trPr>
          <w:cantSplit/>
        </w:trPr>
        <w:tc>
          <w:tcPr>
            <w:tcW w:type="dxa" w:w="12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16-23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Fiscal e integração</w:t>
            </w:r>
          </w:p>
        </w:tc>
        <w:tc>
          <w:tcPr>
            <w:tcW w:type="dxa" w:w="4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Integrar receita, despesa, dívida, RREO, RGF, PPA, LDO, LOA, obras, PNCP e dados abertos.</w:t>
            </w:r>
          </w:p>
        </w:tc>
        <w:tc>
          <w:tcPr>
            <w:tcW w:type="dxa" w:w="21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Trilhas completas e bases exportáveis.</w:t>
            </w:r>
          </w:p>
        </w:tc>
      </w:tr>
      <w:tr>
        <w:trPr>
          <w:cantSplit/>
        </w:trPr>
        <w:tc>
          <w:tcPr>
            <w:tcW w:type="dxa" w:w="12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24-31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Pessoal e transferências</w:t>
            </w:r>
          </w:p>
        </w:tc>
        <w:tc>
          <w:tcPr>
            <w:tcW w:type="dxa" w:w="4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Regularizar pessoal, diárias, concursos, convênios, transferências, prestação e publicidade.</w:t>
            </w:r>
          </w:p>
        </w:tc>
        <w:tc>
          <w:tcPr>
            <w:tcW w:type="dxa" w:w="21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Passivo publicado, datado e relacionado.</w:t>
            </w:r>
          </w:p>
        </w:tc>
      </w:tr>
      <w:tr>
        <w:trPr>
          <w:cantSplit/>
        </w:trPr>
        <w:tc>
          <w:tcPr>
            <w:tcW w:type="dxa" w:w="12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32-38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Áreas finalísticas</w:t>
            </w:r>
          </w:p>
        </w:tc>
        <w:tc>
          <w:tcPr>
            <w:tcW w:type="dxa" w:w="4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Completar saúde, educação, assistência, renúncias, emendas, conselhos, filas e medicamentos.</w:t>
            </w:r>
          </w:p>
        </w:tc>
        <w:tc>
          <w:tcPr>
            <w:tcW w:type="dxa" w:w="21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Políticas e recursos rastreáveis.</w:t>
            </w:r>
          </w:p>
        </w:tc>
      </w:tr>
      <w:tr>
        <w:trPr>
          <w:cantSplit/>
        </w:trPr>
        <w:tc>
          <w:tcPr>
            <w:tcW w:type="dxa" w:w="12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Dias 39-45</w:t>
            </w:r>
          </w:p>
        </w:tc>
        <w:tc>
          <w:tcPr>
            <w:tcW w:type="dxa" w:w="18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Teste e entrega</w:t>
            </w:r>
          </w:p>
        </w:tc>
        <w:tc>
          <w:tcPr>
            <w:tcW w:type="dxa" w:w="4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Testar 96 critérios, acessibilidade, busca, exportações e publicar matriz final com evidências.</w:t>
            </w:r>
          </w:p>
        </w:tc>
        <w:tc>
          <w:tcPr>
            <w:tcW w:type="dxa" w:w="21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Nenhuma pendência aplicável sem tratamento.</w:t>
            </w:r>
          </w:p>
        </w:tc>
      </w:tr>
      <w:tr>
        <w:trPr>
          <w:cantSplit/>
        </w:trPr>
        <w:tc>
          <w:tcPr>
            <w:tcW w:type="dxa" w:w="12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Após o dia 45</w:t>
            </w:r>
          </w:p>
        </w:tc>
        <w:tc>
          <w:tcPr>
            <w:tcW w:type="dxa" w:w="18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Manutenção</w:t>
            </w:r>
          </w:p>
        </w:tc>
        <w:tc>
          <w:tcPr>
            <w:tcW w:type="dxa" w:w="4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Revisão mensal, alertas, testes trimestrais e registro público de regressões.</w:t>
            </w:r>
          </w:p>
        </w:tc>
        <w:tc>
          <w:tcPr>
            <w:tcW w:type="dxa" w:w="21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Evitar novos atrasos.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Regra de conclusão. </w:t>
            </w:r>
            <w:r>
              <w:rPr>
                <w:rFonts w:ascii="Calibri" w:hAnsi="Calibri"/>
                <w:color w:val="20262C"/>
                <w:sz w:val="20"/>
              </w:rPr>
              <w:t>Uma ação somente será concluída com publicação acessível, URL direta, conteúdo integral, data de atualização, responsável e teste registrado. Dependência de fornecedor deverá ter solução alternativa e não poderá manter informação indisponível após o 45º dia.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6. Pacotes de melhoria por área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50"/>
        <w:gridCol w:w="7088"/>
      </w:tblGrid>
      <w:tr>
        <w:trPr>
          <w:tblHeader w:val="true"/>
          <w:cantSplit/>
        </w:trPr>
        <w:tc>
          <w:tcPr>
            <w:tcW w:type="dxa" w:w="25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708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MELHORIAS PROPOSTAS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Governança e arquitetura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Matriz pública, responsáveis, calendário, páginas temáticas, URLs permanentes, busca e alertas.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Receita, despesa e dívida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Previsão/realização; classificação; empenho/liquidação/pagamento; credor; processo; dívida ativa; exportação.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Planejamento e contas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PPA, LDO, LOA, RREO, RGF, balanços, metas, audiências, decisões e séries históricas.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Compras, contratos e obras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Processo integral, PNCP, aditivos, fiscais, execução, medições, pagamentos, fotos e paralisações.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Pessoal e diárias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Base nominal, remuneração, lotação, vínculos, atos, concursos, terceirizados, viagens e exportação.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Convênios e transferências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Instrumento, partes, objeto, valores, vigência, execução, prestação e inteiro teor.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Renúncias e emendas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Base legal, beneficiários, valores, autores, objetos, planos, empenhos, pagamentos e resultados.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Saúde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Plano, serviços, profissionais, listas de espera, critérios, medicamentos, despesas, indicadores e conselho.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Educação e assistência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Planos, metas, vagas, listas, critérios, serviços, benefícios, resultados e conselhos.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SIC, Ouvidoria e Carta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Canais simples, protocolos, prazos, recursos, estatísticas, serviços e acompanhamento.</w:t>
            </w:r>
          </w:p>
        </w:tc>
      </w:tr>
      <w:tr>
        <w:trPr>
          <w:cantSplit/>
        </w:trPr>
        <w:tc>
          <w:tcPr>
            <w:tcW w:type="dxa" w:w="25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Dados abertos e integração</w:t>
            </w:r>
          </w:p>
        </w:tc>
        <w:tc>
          <w:tcPr>
            <w:tcW w:type="dxa" w:w="70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CSV/XLSX/JSON, dicionário, metadados, APIs e chaves entre processo, contrato, empenho e pagamento.</w:t>
            </w:r>
          </w:p>
        </w:tc>
      </w:tr>
      <w:tr>
        <w:trPr>
          <w:cantSplit/>
        </w:trPr>
        <w:tc>
          <w:tcPr>
            <w:tcW w:type="dxa" w:w="25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Acessibilidade, LGPD e participação</w:t>
            </w:r>
          </w:p>
        </w:tc>
        <w:tc>
          <w:tcPr>
            <w:tcW w:type="dxa" w:w="70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Teclado, leitor de tela, contraste, linguagem simples, acesso parcial, audiências e devolutivas.</w:t>
            </w:r>
          </w:p>
        </w:tc>
      </w:tr>
    </w:tbl>
    <w:p>
      <w:pPr>
        <w:pStyle w:val="Heading1"/>
      </w:pPr>
      <w:r>
        <w:t>7. Padrão mínimo para cada publicação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538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ELEMENTO</w:t>
            </w:r>
          </w:p>
        </w:tc>
        <w:tc>
          <w:tcPr>
            <w:tcW w:type="dxa" w:w="75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PADRÃO DE ENTREGA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Identificação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Título, unidade, responsável, exercício/competência e descrição.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Atualidade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Data do registro, publicação, última atualização e periodicidade.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Completude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Conteúdo integral e anexos; declaração negativa quando o evento não ocorreu.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Formato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Consulta e exportação integral em CSV, XLSX ou JSON; PDF como complemento.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Pesquisa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Busca textual, filtros combináveis, ordenação e paginação transparente.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Histórico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Ao menos três exercícios ou período legal; versões anteriores preservadas.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Integração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Chaves entre processo, licitação, contrato, empenho, pagamento e PNCP.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Acessibilidade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Teclado, leitor de tela, contraste, redimensionamento e documentos pesquisáveis.</w:t>
            </w:r>
          </w:p>
        </w:tc>
      </w:tr>
      <w:tr>
        <w:trPr>
          <w:cantSplit/>
        </w:trPr>
        <w:tc>
          <w:tcPr>
            <w:tcW w:type="dxa" w:w="21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Rastreabilidade</w:t>
            </w:r>
          </w:p>
        </w:tc>
        <w:tc>
          <w:tcPr>
            <w:tcW w:type="dxa" w:w="75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URL permanente, fonte, versão, dicionário de dados e contato técnico.</w:t>
            </w:r>
          </w:p>
        </w:tc>
      </w:tr>
      <w:tr>
        <w:trPr>
          <w:cantSplit/>
        </w:trPr>
        <w:tc>
          <w:tcPr>
            <w:tcW w:type="dxa" w:w="21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Proteção de dados</w:t>
            </w:r>
          </w:p>
        </w:tc>
        <w:tc>
          <w:tcPr>
            <w:tcW w:type="dxa" w:w="75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Ocultar apenas o trecho protegido, fornecer a parte pública e indicar a base legal.</w:t>
            </w:r>
          </w:p>
        </w:tc>
      </w:tr>
    </w:tbl>
    <w:p>
      <w:pPr>
        <w:pStyle w:val="Heading1"/>
      </w:pPr>
      <w:r>
        <w:t>8. Prazos e periodicidades prioritários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88"/>
        <w:gridCol w:w="265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INFORMAÇÃO</w:t>
            </w:r>
          </w:p>
        </w:tc>
        <w:tc>
          <w:tcPr>
            <w:tcW w:type="dxa" w:w="438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PRAZO</w:t>
            </w:r>
          </w:p>
        </w:tc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7"/>
              </w:rPr>
              <w:t>BASE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Execução orçamentária e financeira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Até o primeiro dia útil após o registro contábil.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Decreto nº 10.540/2020.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Pedido de acesso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Imediato; se inviável, 20 dias + uma prorrogação de 10, justificada.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LAI e Lei Municipal nº 5.729/2013.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Ouvidoria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30 dias + uma prorrogação de 30, justificada.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Lei nº 13.460/2017.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Carta de Serviços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Publicação permanente e atualização periódica; padrão de qualidade e prazo de cada serviço.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Lei nº 13.460/2017, arts. 7º e 23.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RREO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Até 30 dias após cada bimestre.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LRF, arts. 52 e 53.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RGF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Até 30 dias após cada quadrimestre.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LRF, arts. 54 e 55.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Metas fiscais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Audiências até o fim de fevereiro, maio e setembro.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LRF, art. 9º, §4º.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Programação financeira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Até 30 dias após a publicação do orçamento.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LRF, art. 8º.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Contratos no PNCP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20 dias úteis após licitação; 10 dias úteis na contratação direta.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Lei nº 14.133/2021, art. 94.</w:t>
            </w:r>
          </w:p>
        </w:tc>
      </w:tr>
      <w:tr>
        <w:trPr>
          <w:cantSplit/>
        </w:trPr>
        <w:tc>
          <w:tcPr>
            <w:tcW w:type="dxa" w:w="26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Obras</w:t>
            </w:r>
          </w:p>
        </w:tc>
        <w:tc>
          <w:tcPr>
            <w:tcW w:type="dxa" w:w="438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Quantidades/preços em 25 dias úteis; executados/pagos em 45 dias úteis da conclusão.</w:t>
            </w:r>
          </w:p>
        </w:tc>
        <w:tc>
          <w:tcPr>
            <w:tcW w:type="dxa" w:w="265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Lei nº 14.133/2021, art. 94, §3º.</w:t>
            </w:r>
          </w:p>
        </w:tc>
      </w:tr>
      <w:tr>
        <w:trPr>
          <w:cantSplit/>
        </w:trPr>
        <w:tc>
          <w:tcPr>
            <w:tcW w:type="dxa" w:w="26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7"/>
              </w:rPr>
              <w:t>Contas anuais</w:t>
            </w:r>
          </w:p>
        </w:tc>
        <w:tc>
          <w:tcPr>
            <w:tcW w:type="dxa" w:w="438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Disponíveis durante todo o exercício, inclusive para consulta e apreciação cidadã.</w:t>
            </w:r>
          </w:p>
        </w:tc>
        <w:tc>
          <w:tcPr>
            <w:tcW w:type="dxa" w:w="265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7"/>
              </w:rPr>
              <w:t>LRF, art. 49.</w:t>
            </w:r>
          </w:p>
        </w:tc>
      </w:tr>
    </w:tbl>
    <w:p>
      <w:pPr>
        <w:pStyle w:val="Heading1"/>
      </w:pPr>
      <w:r>
        <w:t>9. Governança participativa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938"/>
      </w:tblGrid>
      <w:tr>
        <w:trPr>
          <w:tblHeader w:val="true"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69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CONTRIBUIÇÃO SUGERIDA</w:t>
            </w:r>
          </w:p>
        </w:tc>
      </w:tr>
      <w:tr>
        <w:trPr>
          <w:cantSplit/>
        </w:trPr>
        <w:tc>
          <w:tcPr>
            <w:tcW w:type="dxa" w:w="27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Gabinete e Secretaria de Governo</w:t>
            </w:r>
          </w:p>
        </w:tc>
        <w:tc>
          <w:tcPr>
            <w:tcW w:type="dxa" w:w="6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Patrocinar o plano, remover impedimentos e acompanhar marcos.</w:t>
            </w:r>
          </w:p>
        </w:tc>
      </w:tr>
      <w:tr>
        <w:trPr>
          <w:cantSplit/>
        </w:trPr>
        <w:tc>
          <w:tcPr>
            <w:tcW w:type="dxa" w:w="27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Controladoria</w:t>
            </w:r>
          </w:p>
        </w:tc>
        <w:tc>
          <w:tcPr>
            <w:tcW w:type="dxa" w:w="6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Validar critérios, evidências, prazos e correções.</w:t>
            </w:r>
          </w:p>
        </w:tc>
      </w:tr>
      <w:tr>
        <w:trPr>
          <w:cantSplit/>
        </w:trPr>
        <w:tc>
          <w:tcPr>
            <w:tcW w:type="dxa" w:w="27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Fazenda e Contabilidade</w:t>
            </w:r>
          </w:p>
        </w:tc>
        <w:tc>
          <w:tcPr>
            <w:tcW w:type="dxa" w:w="6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Atualizar receita, despesa, dívida, relatórios, orçamento e contas.</w:t>
            </w:r>
          </w:p>
        </w:tc>
      </w:tr>
      <w:tr>
        <w:trPr>
          <w:cantSplit/>
        </w:trPr>
        <w:tc>
          <w:tcPr>
            <w:tcW w:type="dxa" w:w="27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Planejamento</w:t>
            </w:r>
          </w:p>
        </w:tc>
        <w:tc>
          <w:tcPr>
            <w:tcW w:type="dxa" w:w="6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Coordenar PPA, LDO, LOA, metas, indicadores e audiências.</w:t>
            </w:r>
          </w:p>
        </w:tc>
      </w:tr>
      <w:tr>
        <w:trPr>
          <w:cantSplit/>
        </w:trPr>
        <w:tc>
          <w:tcPr>
            <w:tcW w:type="dxa" w:w="27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Administração e RH</w:t>
            </w:r>
          </w:p>
        </w:tc>
        <w:tc>
          <w:tcPr>
            <w:tcW w:type="dxa" w:w="6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Atualizar pessoal, remuneração, cargos, concursos, terceirizados e diárias.</w:t>
            </w:r>
          </w:p>
        </w:tc>
      </w:tr>
      <w:tr>
        <w:trPr>
          <w:cantSplit/>
        </w:trPr>
        <w:tc>
          <w:tcPr>
            <w:tcW w:type="dxa" w:w="27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Compras, Contratos e Obras</w:t>
            </w:r>
          </w:p>
        </w:tc>
        <w:tc>
          <w:tcPr>
            <w:tcW w:type="dxa" w:w="6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Publicar processos, PNCP, instrumentos, execução, medições e pagamentos.</w:t>
            </w:r>
          </w:p>
        </w:tc>
      </w:tr>
      <w:tr>
        <w:trPr>
          <w:cantSplit/>
        </w:trPr>
        <w:tc>
          <w:tcPr>
            <w:tcW w:type="dxa" w:w="27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Saúde, Educação e Assistência</w:t>
            </w:r>
          </w:p>
        </w:tc>
        <w:tc>
          <w:tcPr>
            <w:tcW w:type="dxa" w:w="6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Atualizar serviços, filas, estoques, metas, resultados e conselhos.</w:t>
            </w:r>
          </w:p>
        </w:tc>
      </w:tr>
      <w:tr>
        <w:trPr>
          <w:cantSplit/>
        </w:trPr>
        <w:tc>
          <w:tcPr>
            <w:tcW w:type="dxa" w:w="27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SIC, Ouvidoria e LGPD</w:t>
            </w:r>
          </w:p>
        </w:tc>
        <w:tc>
          <w:tcPr>
            <w:tcW w:type="dxa" w:w="6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Garantir canais, prazos, relatórios, Carta, privacidade e acesso parcial.</w:t>
            </w:r>
          </w:p>
        </w:tc>
      </w:tr>
      <w:tr>
        <w:trPr>
          <w:cantSplit/>
        </w:trPr>
        <w:tc>
          <w:tcPr>
            <w:tcW w:type="dxa" w:w="27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Tecnologia e Comunicação</w:t>
            </w:r>
          </w:p>
        </w:tc>
        <w:tc>
          <w:tcPr>
            <w:tcW w:type="dxa" w:w="69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Garantir disponibilidade, integração, acessibilidade, dados abertos e linguagem cidadã.</w:t>
            </w:r>
          </w:p>
        </w:tc>
      </w:tr>
      <w:tr>
        <w:trPr>
          <w:cantSplit/>
        </w:trPr>
        <w:tc>
          <w:tcPr>
            <w:tcW w:type="dxa" w:w="27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Sociedade civil</w:t>
            </w:r>
          </w:p>
        </w:tc>
        <w:tc>
          <w:tcPr>
            <w:tcW w:type="dxa" w:w="69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Testar o portal, indicar barreiras e acompanhar a matriz pública.</w:t>
            </w:r>
          </w:p>
        </w:tc>
      </w:tr>
    </w:tbl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Proposta de participação. </w:t>
            </w:r>
            <w:r>
              <w:rPr>
                <w:rFonts w:ascii="Calibri" w:hAnsi="Calibri"/>
                <w:color w:val="20262C"/>
                <w:sz w:val="20"/>
              </w:rPr>
              <w:t>Sugere-se reunião técnica inicial e devolutivas públicas no 15º, no 30º e no 45º dia. A sociedade civil pode contribuir com testes de navegação, organização das evidências e comunicação em linguagem cidadã, respeitada a autonomia administrativa da Prefeitura.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t>10. Painel público de acompanhamento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O painel deve conter uma linha por critério e permanecer público entre os ciclos de avaliação.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438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43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CONTEÚDO</w:t>
            </w:r>
          </w:p>
        </w:tc>
      </w:tr>
      <w:tr>
        <w:trPr>
          <w:cantSplit/>
        </w:trPr>
        <w:tc>
          <w:tcPr>
            <w:tcW w:type="dxa" w:w="22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Critério PNTP</w:t>
            </w:r>
          </w:p>
        </w:tc>
        <w:tc>
          <w:tcPr>
            <w:tcW w:type="dxa" w:w="7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ID, classe, matriz e descrição.</w:t>
            </w:r>
          </w:p>
        </w:tc>
      </w:tr>
      <w:tr>
        <w:trPr>
          <w:cantSplit/>
        </w:trPr>
        <w:tc>
          <w:tcPr>
            <w:tcW w:type="dxa" w:w="22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Situação</w:t>
            </w:r>
          </w:p>
        </w:tc>
        <w:tc>
          <w:tcPr>
            <w:tcW w:type="dxa" w:w="7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Atende; parcial; não atende; não se aplica; em validação.</w:t>
            </w:r>
          </w:p>
        </w:tc>
      </w:tr>
      <w:tr>
        <w:trPr>
          <w:cantSplit/>
        </w:trPr>
        <w:tc>
          <w:tcPr>
            <w:tcW w:type="dxa" w:w="22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Evidência</w:t>
            </w:r>
          </w:p>
        </w:tc>
        <w:tc>
          <w:tcPr>
            <w:tcW w:type="dxa" w:w="7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URL direta, arquivo, tela ou relatório comprobatório.</w:t>
            </w:r>
          </w:p>
        </w:tc>
      </w:tr>
      <w:tr>
        <w:trPr>
          <w:cantSplit/>
        </w:trPr>
        <w:tc>
          <w:tcPr>
            <w:tcW w:type="dxa" w:w="22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Qualidade</w:t>
            </w:r>
          </w:p>
        </w:tc>
        <w:tc>
          <w:tcPr>
            <w:tcW w:type="dxa" w:w="7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Disponibilidade, atualidade, histórico, exportação e pesquisa.</w:t>
            </w:r>
          </w:p>
        </w:tc>
      </w:tr>
      <w:tr>
        <w:trPr>
          <w:cantSplit/>
        </w:trPr>
        <w:tc>
          <w:tcPr>
            <w:tcW w:type="dxa" w:w="22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Responsável</w:t>
            </w:r>
          </w:p>
        </w:tc>
        <w:tc>
          <w:tcPr>
            <w:tcW w:type="dxa" w:w="7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Secretaria, setor e agente encarregado.</w:t>
            </w:r>
          </w:p>
        </w:tc>
      </w:tr>
      <w:tr>
        <w:trPr>
          <w:cantSplit/>
        </w:trPr>
        <w:tc>
          <w:tcPr>
            <w:tcW w:type="dxa" w:w="22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Prazo</w:t>
            </w:r>
          </w:p>
        </w:tc>
        <w:tc>
          <w:tcPr>
            <w:tcW w:type="dxa" w:w="7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Data prevista e data efetiva.</w:t>
            </w:r>
          </w:p>
        </w:tc>
      </w:tr>
      <w:tr>
        <w:trPr>
          <w:cantSplit/>
        </w:trPr>
        <w:tc>
          <w:tcPr>
            <w:tcW w:type="dxa" w:w="2200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Observação</w:t>
            </w:r>
          </w:p>
        </w:tc>
        <w:tc>
          <w:tcPr>
            <w:tcW w:type="dxa" w:w="7438"/>
            <w:vAlign w:val="top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Pendência, justificativa, dependência e próxima ação.</w:t>
            </w:r>
          </w:p>
        </w:tc>
      </w:tr>
      <w:tr>
        <w:trPr>
          <w:cantSplit/>
        </w:trPr>
        <w:tc>
          <w:tcPr>
            <w:tcW w:type="dxa" w:w="2200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color w:val="1F5D8F"/>
                <w:sz w:val="18"/>
              </w:rPr>
              <w:t>Revisão</w:t>
            </w:r>
          </w:p>
        </w:tc>
        <w:tc>
          <w:tcPr>
            <w:tcW w:type="dxa" w:w="7438"/>
            <w:vAlign w:val="top"/>
            <w:shd w:fill="F2F4F7"/>
            <w:tcBorders>
              <w:bottom w:val="single" w:sz="3" w:color="D8DEE3"/>
            </w:tcBorders>
          </w:tcPr>
          <w:p>
            <w:pPr>
              <w:spacing w:after="0" w:line="240" w:lineRule="auto"/>
            </w:pPr>
            <w:r>
              <w:rPr>
                <w:rFonts w:ascii="Calibri" w:hAnsi="Calibri"/>
                <w:b w:val="0"/>
                <w:color w:val="20262C"/>
                <w:sz w:val="18"/>
              </w:rPr>
              <w:t>Data, responsável e resultado do último teste.</w:t>
            </w:r>
          </w:p>
        </w:tc>
      </w:tr>
    </w:tbl>
    <w:p>
      <w:pPr>
        <w:pStyle w:val="Heading1"/>
      </w:pPr>
      <w:r>
        <w:t>11. Base normativa e referências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1. </w:t>
      </w:r>
      <w:hyperlink r:id="rId14">
        <w:r>
          <w:rPr>
            <w:color w:val="1F5D8F"/>
            <w:u w:val="single"/>
            <w:sz w:val="20"/>
          </w:rPr>
          <w:t>Portal institucional da Prefeitura</w:t>
        </w:r>
      </w:hyperlink>
      <w:r>
        <w:rPr>
          <w:rFonts w:ascii="Calibri" w:hAnsi="Calibri"/>
          <w:color w:val="20262C"/>
          <w:sz w:val="19"/>
        </w:rPr>
        <w:t xml:space="preserve"> — menu de transparência e serviços.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2. </w:t>
      </w:r>
      <w:hyperlink r:id="rId15">
        <w:r>
          <w:rPr>
            <w:color w:val="1F5D8F"/>
            <w:u w:val="single"/>
            <w:sz w:val="20"/>
          </w:rPr>
          <w:t>Transparência financeira Betha</w:t>
        </w:r>
      </w:hyperlink>
      <w:r>
        <w:rPr>
          <w:rFonts w:ascii="Calibri" w:hAnsi="Calibri"/>
          <w:color w:val="20262C"/>
          <w:sz w:val="19"/>
        </w:rPr>
        <w:t xml:space="preserve"> — execução orçamentária e financeira.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3. </w:t>
      </w:r>
      <w:hyperlink r:id="rId16">
        <w:r>
          <w:rPr>
            <w:color w:val="1F5D8F"/>
            <w:u w:val="single"/>
            <w:sz w:val="20"/>
          </w:rPr>
          <w:t>Dados Abertos da Prefeitura</w:t>
        </w:r>
      </w:hyperlink>
      <w:r>
        <w:rPr>
          <w:rFonts w:ascii="Calibri" w:hAnsi="Calibri"/>
          <w:color w:val="20262C"/>
          <w:sz w:val="19"/>
        </w:rPr>
        <w:t xml:space="preserve"> — bases e arquivos públicos.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4. </w:t>
      </w:r>
      <w:hyperlink r:id="rId17">
        <w:r>
          <w:rPr>
            <w:color w:val="1F5D8F"/>
            <w:u w:val="single"/>
            <w:sz w:val="20"/>
          </w:rPr>
          <w:t>Diário Oficial do Município</w:t>
        </w:r>
      </w:hyperlink>
      <w:r>
        <w:rPr>
          <w:rFonts w:ascii="Calibri" w:hAnsi="Calibri"/>
          <w:color w:val="20262C"/>
          <w:sz w:val="19"/>
        </w:rPr>
        <w:t xml:space="preserve"> — publicidade oficial.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5. </w:t>
      </w:r>
      <w:hyperlink r:id="rId18">
        <w:r>
          <w:rPr>
            <w:color w:val="1F5D8F"/>
            <w:u w:val="single"/>
            <w:sz w:val="20"/>
          </w:rPr>
          <w:t>Contratos</w:t>
        </w:r>
      </w:hyperlink>
      <w:r>
        <w:rPr>
          <w:rFonts w:ascii="Calibri" w:hAnsi="Calibri"/>
          <w:color w:val="20262C"/>
          <w:sz w:val="19"/>
        </w:rPr>
        <w:t xml:space="preserve"> — consulta pública verificada.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6. </w:t>
      </w:r>
      <w:hyperlink r:id="rId19">
        <w:r>
          <w:rPr>
            <w:color w:val="1F5D8F"/>
            <w:u w:val="single"/>
            <w:sz w:val="20"/>
          </w:rPr>
          <w:t>Carta de Serviços</w:t>
        </w:r>
      </w:hyperlink>
      <w:r>
        <w:rPr>
          <w:rFonts w:ascii="Calibri" w:hAnsi="Calibri"/>
          <w:color w:val="20262C"/>
          <w:sz w:val="19"/>
        </w:rPr>
        <w:t xml:space="preserve"> — serviços públicos verificados.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7. </w:t>
      </w:r>
      <w:hyperlink r:id="rId20">
        <w:r>
          <w:rPr>
            <w:color w:val="1F5D8F"/>
            <w:u w:val="single"/>
            <w:sz w:val="20"/>
          </w:rPr>
          <w:t>Ouvidoria</w:t>
        </w:r>
      </w:hyperlink>
      <w:r>
        <w:rPr>
          <w:rFonts w:ascii="Calibri" w:hAnsi="Calibri"/>
          <w:color w:val="20262C"/>
          <w:sz w:val="19"/>
        </w:rPr>
        <w:t xml:space="preserve"> — manifestações e relatórios.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8. </w:t>
      </w:r>
      <w:hyperlink r:id="rId21">
        <w:r>
          <w:rPr>
            <w:color w:val="1F5D8F"/>
            <w:u w:val="single"/>
            <w:sz w:val="20"/>
          </w:rPr>
          <w:t>SIC/e-SIC</w:t>
        </w:r>
      </w:hyperlink>
      <w:r>
        <w:rPr>
          <w:rFonts w:ascii="Calibri" w:hAnsi="Calibri"/>
          <w:color w:val="20262C"/>
          <w:sz w:val="19"/>
        </w:rPr>
        <w:t xml:space="preserve"> — acesso à informação.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9. </w:t>
      </w:r>
      <w:hyperlink r:id="rId22">
        <w:r>
          <w:rPr>
            <w:color w:val="1F5D8F"/>
            <w:u w:val="single"/>
            <w:sz w:val="20"/>
          </w:rPr>
          <w:t>Publicidade Transparente</w:t>
        </w:r>
      </w:hyperlink>
      <w:r>
        <w:rPr>
          <w:rFonts w:ascii="Calibri" w:hAnsi="Calibri"/>
          <w:color w:val="20262C"/>
          <w:sz w:val="19"/>
        </w:rPr>
        <w:t xml:space="preserve"> — veículos, fornecedores e investimentos.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10. </w:t>
      </w:r>
      <w:hyperlink r:id="rId23">
        <w:r>
          <w:rPr>
            <w:color w:val="1F5D8F"/>
            <w:u w:val="single"/>
            <w:sz w:val="20"/>
          </w:rPr>
          <w:t>LOA 2026 e anexos</w:t>
        </w:r>
      </w:hyperlink>
      <w:r>
        <w:rPr>
          <w:rFonts w:ascii="Calibri" w:hAnsi="Calibri"/>
          <w:color w:val="20262C"/>
          <w:sz w:val="19"/>
        </w:rPr>
        <w:t xml:space="preserve"> — orçamento anual localizado no repositório oficial.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11. </w:t>
      </w:r>
      <w:hyperlink r:id="rId24">
        <w:r>
          <w:rPr>
            <w:color w:val="1F5D8F"/>
            <w:u w:val="single"/>
            <w:sz w:val="20"/>
          </w:rPr>
          <w:t>LDO 2026 e anexos</w:t>
        </w:r>
      </w:hyperlink>
      <w:r>
        <w:rPr>
          <w:rFonts w:ascii="Calibri" w:hAnsi="Calibri"/>
          <w:color w:val="20262C"/>
          <w:sz w:val="19"/>
        </w:rPr>
        <w:t xml:space="preserve"> — diretrizes orçamentárias localizadas no repositório oficial.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12. </w:t>
      </w:r>
      <w:hyperlink r:id="rId25">
        <w:r>
          <w:rPr>
            <w:color w:val="1F5D8F"/>
            <w:u w:val="single"/>
            <w:sz w:val="20"/>
          </w:rPr>
          <w:t>PPA 2026–2029 e anexos</w:t>
        </w:r>
      </w:hyperlink>
      <w:r>
        <w:rPr>
          <w:rFonts w:ascii="Calibri" w:hAnsi="Calibri"/>
          <w:color w:val="20262C"/>
          <w:sz w:val="19"/>
        </w:rPr>
        <w:t xml:space="preserve"> — planejamento plurianual localizado no repositório oficial.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13. </w:t>
      </w:r>
      <w:hyperlink r:id="rId26">
        <w:r>
          <w:rPr>
            <w:color w:val="1F5D8F"/>
            <w:u w:val="single"/>
            <w:sz w:val="20"/>
          </w:rPr>
          <w:t>Downloads oficiais PNTP</w:t>
        </w:r>
      </w:hyperlink>
      <w:r>
        <w:rPr>
          <w:rFonts w:ascii="Calibri" w:hAnsi="Calibri"/>
          <w:color w:val="20262C"/>
          <w:sz w:val="19"/>
        </w:rPr>
        <w:t xml:space="preserve"> — matriz do ciclo 2026.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14. </w:t>
      </w:r>
      <w:hyperlink r:id="rId11">
        <w:r>
          <w:rPr>
            <w:color w:val="1F5D8F"/>
            <w:u w:val="single"/>
            <w:sz w:val="20"/>
          </w:rPr>
          <w:t>PNTP — Atricon</w:t>
        </w:r>
      </w:hyperlink>
      <w:r>
        <w:rPr>
          <w:rFonts w:ascii="Calibri" w:hAnsi="Calibri"/>
          <w:color w:val="20262C"/>
          <w:sz w:val="19"/>
        </w:rPr>
        <w:t xml:space="preserve"> — origem institucional do programa.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15. </w:t>
      </w:r>
      <w:hyperlink r:id="rId12">
        <w:r>
          <w:rPr>
            <w:color w:val="1F5D8F"/>
            <w:u w:val="single"/>
            <w:sz w:val="20"/>
          </w:rPr>
          <w:t>Cartilha PNTP 2026 — TCE-MG</w:t>
        </w:r>
      </w:hyperlink>
      <w:r>
        <w:rPr>
          <w:rFonts w:ascii="Calibri" w:hAnsi="Calibri"/>
          <w:color w:val="20262C"/>
          <w:sz w:val="19"/>
        </w:rPr>
        <w:t xml:space="preserve"> — metodologia vigente.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16. </w:t>
      </w:r>
      <w:hyperlink r:id="rId27">
        <w:r>
          <w:rPr>
            <w:color w:val="1F5D8F"/>
            <w:u w:val="single"/>
            <w:sz w:val="20"/>
          </w:rPr>
          <w:t>Resultado público anteriormente consultado</w:t>
        </w:r>
      </w:hyperlink>
      <w:r>
        <w:rPr>
          <w:rFonts w:ascii="Calibri" w:hAnsi="Calibri"/>
          <w:color w:val="20262C"/>
          <w:sz w:val="19"/>
        </w:rPr>
        <w:t xml:space="preserve"> — índice sujeito à confirmação oficial.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17. </w:t>
      </w:r>
      <w:hyperlink r:id="rId28">
        <w:r>
          <w:rPr>
            <w:color w:val="1F5D8F"/>
            <w:u w:val="single"/>
            <w:sz w:val="20"/>
          </w:rPr>
          <w:t>Constituição Federal</w:t>
        </w:r>
      </w:hyperlink>
      <w:r>
        <w:rPr>
          <w:rFonts w:ascii="Calibri" w:hAnsi="Calibri"/>
          <w:color w:val="20262C"/>
          <w:sz w:val="19"/>
        </w:rPr>
        <w:t xml:space="preserve"> — publicidade, impessoalidade e fiscalização.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18. </w:t>
      </w:r>
      <w:hyperlink r:id="rId29">
        <w:r>
          <w:rPr>
            <w:color w:val="1F5D8F"/>
            <w:u w:val="single"/>
            <w:sz w:val="20"/>
          </w:rPr>
          <w:t>Lei Complementar nº 131/2009</w:t>
        </w:r>
      </w:hyperlink>
      <w:r>
        <w:rPr>
          <w:rFonts w:ascii="Calibri" w:hAnsi="Calibri"/>
          <w:color w:val="20262C"/>
          <w:sz w:val="19"/>
        </w:rPr>
        <w:t xml:space="preserve"> — transparência da execução em tempo real.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19. </w:t>
      </w:r>
      <w:hyperlink r:id="rId30">
        <w:r>
          <w:rPr>
            <w:color w:val="1F5D8F"/>
            <w:u w:val="single"/>
            <w:sz w:val="20"/>
          </w:rPr>
          <w:t>Lei nº 12.527/2011 — LAI</w:t>
        </w:r>
      </w:hyperlink>
      <w:r>
        <w:rPr>
          <w:rFonts w:ascii="Calibri" w:hAnsi="Calibri"/>
          <w:color w:val="20262C"/>
          <w:sz w:val="19"/>
        </w:rPr>
        <w:t xml:space="preserve"> — transparência ativa, formatos e prazos.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20. </w:t>
      </w:r>
      <w:hyperlink r:id="rId31">
        <w:r>
          <w:rPr>
            <w:color w:val="1F5D8F"/>
            <w:u w:val="single"/>
            <w:sz w:val="20"/>
          </w:rPr>
          <w:t>Lei Municipal nº 5.729/2013</w:t>
        </w:r>
      </w:hyperlink>
      <w:r>
        <w:rPr>
          <w:rFonts w:ascii="Calibri" w:hAnsi="Calibri"/>
          <w:color w:val="20262C"/>
          <w:sz w:val="19"/>
        </w:rPr>
        <w:t xml:space="preserve"> — regulamentação local.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21. </w:t>
      </w:r>
      <w:hyperlink r:id="rId32">
        <w:r>
          <w:rPr>
            <w:color w:val="1F5D8F"/>
            <w:u w:val="single"/>
            <w:sz w:val="20"/>
          </w:rPr>
          <w:t>Lei Complementar nº 101/2000 — LRF</w:t>
        </w:r>
      </w:hyperlink>
      <w:r>
        <w:rPr>
          <w:rFonts w:ascii="Calibri" w:hAnsi="Calibri"/>
          <w:color w:val="20262C"/>
          <w:sz w:val="19"/>
        </w:rPr>
        <w:t xml:space="preserve"> — relatórios, contas e fiscalização.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22. </w:t>
      </w:r>
      <w:hyperlink r:id="rId33">
        <w:r>
          <w:rPr>
            <w:color w:val="1F5D8F"/>
            <w:u w:val="single"/>
            <w:sz w:val="20"/>
          </w:rPr>
          <w:t>Decreto nº 10.540/2020 — SIAFIC</w:t>
        </w:r>
      </w:hyperlink>
      <w:r>
        <w:rPr>
          <w:rFonts w:ascii="Calibri" w:hAnsi="Calibri"/>
          <w:color w:val="20262C"/>
          <w:sz w:val="19"/>
        </w:rPr>
        <w:t xml:space="preserve"> — tempo real e detalhamento.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23. </w:t>
      </w:r>
      <w:hyperlink r:id="rId34">
        <w:r>
          <w:rPr>
            <w:color w:val="1F5D8F"/>
            <w:u w:val="single"/>
            <w:sz w:val="20"/>
          </w:rPr>
          <w:t>Lei nº 14.133/2021</w:t>
        </w:r>
      </w:hyperlink>
      <w:r>
        <w:rPr>
          <w:rFonts w:ascii="Calibri" w:hAnsi="Calibri"/>
          <w:color w:val="20262C"/>
          <w:sz w:val="19"/>
        </w:rPr>
        <w:t xml:space="preserve"> — PNCP, contratos e obras.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24. </w:t>
      </w:r>
      <w:hyperlink r:id="rId35">
        <w:r>
          <w:rPr>
            <w:color w:val="1F5D8F"/>
            <w:u w:val="single"/>
            <w:sz w:val="20"/>
          </w:rPr>
          <w:t>Lei nº 12.232/2010</w:t>
        </w:r>
      </w:hyperlink>
      <w:r>
        <w:rPr>
          <w:rFonts w:ascii="Calibri" w:hAnsi="Calibri"/>
          <w:color w:val="20262C"/>
          <w:sz w:val="19"/>
        </w:rPr>
        <w:t xml:space="preserve"> — contratação de serviços de publicidade.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25. </w:t>
      </w:r>
      <w:hyperlink r:id="rId36">
        <w:r>
          <w:rPr>
            <w:color w:val="1F5D8F"/>
            <w:u w:val="single"/>
            <w:sz w:val="20"/>
          </w:rPr>
          <w:t>Lei nº 13.460/2017</w:t>
        </w:r>
      </w:hyperlink>
      <w:r>
        <w:rPr>
          <w:rFonts w:ascii="Calibri" w:hAnsi="Calibri"/>
          <w:color w:val="20262C"/>
          <w:sz w:val="19"/>
        </w:rPr>
        <w:t xml:space="preserve"> — Ouvidoria e direitos do usuário.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26. </w:t>
      </w:r>
      <w:hyperlink r:id="rId37">
        <w:r>
          <w:rPr>
            <w:color w:val="1F5D8F"/>
            <w:u w:val="single"/>
            <w:sz w:val="20"/>
          </w:rPr>
          <w:t>Lei nº 13.709/2018 — LGPD</w:t>
        </w:r>
      </w:hyperlink>
      <w:r>
        <w:rPr>
          <w:rFonts w:ascii="Calibri" w:hAnsi="Calibri"/>
          <w:color w:val="20262C"/>
          <w:sz w:val="19"/>
        </w:rPr>
        <w:t xml:space="preserve"> — proteção de dados no poder público.</w:t>
      </w:r>
    </w:p>
    <w:p>
      <w:pPr>
        <w:spacing w:after="80"/>
        <w:ind w:left="85" w:hanging="85"/>
      </w:pPr>
      <w:r>
        <w:rPr>
          <w:rFonts w:ascii="Calibri" w:hAnsi="Calibri"/>
          <w:b/>
          <w:color w:val="1F5D8F"/>
          <w:sz w:val="19"/>
        </w:rPr>
        <w:t xml:space="preserve">27. </w:t>
      </w:r>
      <w:hyperlink r:id="rId38">
        <w:r>
          <w:rPr>
            <w:color w:val="1F5D8F"/>
            <w:u w:val="single"/>
            <w:sz w:val="20"/>
          </w:rPr>
          <w:t>Lei nº 13.146/2015 — LBI</w:t>
        </w:r>
      </w:hyperlink>
      <w:r>
        <w:rPr>
          <w:rFonts w:ascii="Calibri" w:hAnsi="Calibri"/>
          <w:color w:val="20262C"/>
          <w:sz w:val="19"/>
        </w:rPr>
        <w:t xml:space="preserve"> — acessibilidade digital.</w:t>
      </w:r>
    </w:p>
    <w:p>
      <w:pPr>
        <w:pStyle w:val="Heading1"/>
      </w:pPr>
      <w:r>
        <w:t>Anexo A — Checklist completo PNTP 2026 para a Prefeitura</w:t>
      </w:r>
    </w:p>
    <w:p>
      <w:pPr>
        <w:keepLines/>
        <w:widowControl/>
        <w:jc w:val="both"/>
      </w:pPr>
      <w:r>
        <w:rPr>
          <w:rFonts w:ascii="Calibri" w:hAnsi="Calibri"/>
          <w:color w:val="20262C"/>
          <w:sz w:val="21"/>
        </w:rPr>
        <w:t>O anexo reúne os 96 critérios das matrizes COMUM, COMUM (exceto estatais), COMUM (exceto estatais independentes), EXECUTIVO e EXECUTIVO e CONSÓRCIOS. A situação não é presumida: cada unidade deve validar, regularizar e publicar a evidência até o 45º dia.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FFF7DD"/>
            <w:tcBorders>
              <w:left w:val="single" w:sz="18" w:color="8A6500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Prioridade. </w:t>
            </w:r>
            <w:r>
              <w:rPr>
                <w:rFonts w:ascii="Calibri" w:hAnsi="Calibri"/>
                <w:color w:val="20262C"/>
                <w:sz w:val="20"/>
              </w:rPr>
              <w:t>Primeiro, alcançar 100% dos essenciais; depois, concluir obrigatórios e recomendados. Cada validação deve testar disponibilidade, atualidade, série histórica, exportação e filtros.</w:t>
            </w:r>
          </w:p>
        </w:tc>
      </w:tr>
    </w:tbl>
    <w:p>
      <w:pPr>
        <w:spacing w:after="0" w:before="0"/>
      </w:pPr>
    </w:p>
    <w:p>
      <w:pPr>
        <w:pStyle w:val="Heading2"/>
        <w:keepNext/>
      </w:pPr>
      <w:r>
        <w:t>Informações Prioritárias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Possui sítio oficial próprio na internet?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o sítio oficial estável, seguro, responsivo e claramente identificado como canal institucional.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Acesso visível na capa, busca funcional, endereço estável e teste sem cadastro.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Possui portal da transparência próprio ou compartilhado na internet?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portal próprio ou compartilhado com acesso público, navegação estável e identificação inequívoca da Câmara.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Acesso visível na capa, busca funcional, endereço estável e teste sem cadastro.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acesso ao portal transparência está visível na capa do site?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Dar destaque permanente ao botão Transparência na capa e em todas as versões móvel e desktop.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Acesso visível na capa, busca funcional, endereço estável e teste sem cadastro.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e o portal de transparência contêm ferramenta de pesquisa de conteúdo que permita o acesso à informação?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Unificar busca do site e do portal, com pesquisa textual, filtros e orientação quando não houver resultado.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Acesso visível na capa, busca funcional, endereço estável e teste sem cadastro.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Informações Institucionais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sua estrutura organizacional e a norma que a institui/altera?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sua estrutura organizacional e a norma que a institui/altera.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competências e/ou atribuições?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competências e/ou atribuições.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 o nome dos atuais responsáveis pela gestão do Poder/Órgão?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Identificar e manter atualizados o nome dos atuais responsáveis pela gestão do Poder/Órgão.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endereços e telefones atuais do Poder ou órgão e e-mails institucionais?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endereços e telefones atuais do Poder ou órgão e e-mails institucionais.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2.5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horário de atendimento?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horário de atendimento.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2.6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atos normativos próprios?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atos normativos próprios.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2.7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perguntas e respostas mais frequentes relacionadas às atividades desenvolvidas pelo Poder/Órgão?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as perguntas e respostas mais frequentes relacionadas às atividades desenvolvidas pelo Poder/Órgão.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2.8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Participa em redes sociais e apresenta, no seu sítio institucional, link de acesso ao seu perfil?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presença institucional e divulgar em redes sociais e apresenta, no seu sítio institucional, link de acesso ao seu perfil.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2.9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Inclui botão do Radar da Transparência Pública no site institucional ou portal transparência?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Incluir e manter botão do Radar da Transparência Pública no site institucional ou portal transparência.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atualizada, ato de suporte, responsável, data de revisão, contatos e histórico.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Receita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3.1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receitas do Poder ou órgão, evidenciando sua previsão e realização?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previsão e realização das receitas por exercício, natureza, fonte e data, com exportação integral.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3.2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classificação orçamentária por natureza da receita (categoria econômica, origem, espécie, desdobramento)?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Detalhar a receita por categoria econômica, origem, espécie, desdobramento e fonte, com filtros e exportação.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3.3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lista dos inscritos em dívida ativa, contendo, no mínimo, dados referentes ao nome do inscrito e o valor total da dívida?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a dívida ativa em consulta pesquisável e exportável, com atualização, natureza, situação e proteção dos dados legalmente restritos.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Despesa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4.1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total das despesas empenhadas, liquidadas e pagas?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Exibir totais empenhados, liquidados e pagos, conciliados e atualizados até o primeiro dia útil após o registro.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4.2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despesas por classificação orçamentária?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Permitir consulta da despesa por órgão/unidade, função, programa, ação, natureza, fonte e exercício.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4.3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Possibilita a consulta de empenhos com os detalhes do beneficiário do pagamento ou credor, o valor, o bem fornecido ou serviço prestado e a identificação do procedimento licitatório originário da despesa?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Ligar cada empenho ao credor, CNPJ/CPF protegido quando necessário, objeto, valor, licitação, contrato e pagamentos.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direta; consulta por exercício; CSV/XLSX/JSON; data/hora de atualização; campos completos.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Convênios e Transferências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5.1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transferências recebidas a partir da celebração de convênios/acordos com indicação, no mínimo, do número/ano do convênio/termo ou ajuste, do valor total previsto dos recursos envolvidos, do valor recebido, do objeto, da vigência, da origem (órgão repassador/concedente) e o inteiro teor do instrumento de convênio/transferência?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as transferências recebidas a partir da celebração de convênios/acordos com indicação, no mínimo, do número/ano do convênio/termo ou ajuste, do valor total previsto dos recursos envolvidos, do valor recebido, do objeto, da vigência, da origem (órgão repassador/concedente) e o inteiro teor do instrumento de convênio/transferência.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Relação, partes, objeto, vigência, valores, execução e inteiro teor; declaração negativa quando cabível.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5.2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transferências realizadas a partir da celebração de convênios/acordos/ajustes, com indicação, no mínimo, do número/ano do convênio/termo ou ajuste, do beneficiário, do objeto, da vigência, do valor total previsto para repasse, do valor concedido e inteiro teor do instrumento de convênio/termo ou ajuste?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as transferências realizadas a partir da celebração de convênios/acordos/ajustes, com indicação, no mínimo, do número/ano do convênio/termo ou ajuste, do beneficiário, do objeto, da vigência, do valor total previsto para repasse, do valor concedido e inteiro teor do instrumento de convênio/termo ou ajuste.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Relação, partes, objeto, vigência, valores, execução e inteiro teor; declaração negativa quando cabível.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5.3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acordos firmados que não envolvam transferência de recursos financeiros, identificando as partes, o número/ano do convênio/termo ou ajuste, o objeto, a vigência, as obrigações ajustadas e o inteiro teor do instrumento de convênio/termo ou ajuste?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acordos firmados que não envolvam transferência de recursos financeiros, identificando as partes, o número/ano do convênio/termo ou ajuste, o objeto, a vigência, as obrigações ajustadas e o inteiro teor do instrumento de convênio/termo ou ajuste.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Relação, partes, objeto, vigência, valores, execução e inteiro teor; declaração negativa quando cabível.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Recursos Humanos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 nominal dos servidores/autoridades/membros, seus cargos/funções, as respectivas lotações, as suas datas de admissão/exoneração/inativação e a carga horária do cargo/função ocupada/desempenhada?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 nominal dos servidores/autoridades/membros, seus cargos/funções, as respectivas lotações, as suas datas de admissão/exoneração/inativação e a carga horária do cargo/função ocupada/desempenhada.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remuneração nominal de cada servidor/autoridade/Membro?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remuneração nominal de cada servidor/autoridade/Membro.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tabela com o padrão remuneratório dos cargos e funções?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tabela com o padrão remuneratório dos cargos e funções.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lista de seus estagiários, contendo o nome dos estudantes; a data de contratação e a data de término do respectivo contrato?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lista de seus estagiários, contendo o nome dos estudantes; a data de contratação e a data de término do respectivo contrato.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6.5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 lista dos terceirizados que prestam serviços para o Poder ou órgão/entidades, contendo, em relação a cada um deles: nome completo, função ou atividade exercida e nome da empresa empregadora?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no prazo e preservar lista dos terceirizados que prestam serviços para o Poder ou órgão/entidades, contendo, em relação a cada um deles: nome completo, função ou atividade exercida e nome da empresa empregadora.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6.6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dos editais de concursos e seleções públicas realizados pelo Poder ou órgão para provimento de cargos e empregos públicos?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íntegra dos editais de concursos e seleções públicas realizados pelo Poder ou órgão para provimento de cargos e empregos públicos.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6.7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sobre os demais atos dos concursos públicos e processos seletivos do Poder ou órgão, contendo no mínimo a lista de aprovados com as classificações e as nomeações?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informações sobre os demais atos dos concursos públicos e processos seletivos do Poder ou órgão, contendo no mínimo a lista de aprovados com as classificações e as nomeações.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Base nominal pesquisável; competência; histórico; exportação; ato de ingresso/saída e tabela legal.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Diárias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7.1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nome e o cargo/função do beneficiário, além do valor total recebido, número de diárias usufruídas por afastamento, período de afastamento, motivo do afastamento e local de destino?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nome e o cargo/função do beneficiário, além do valor total recebido, número de diárias usufruídas por afastamento, período de afastamento, motivo do afastamento e local de destino.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Beneficiário, cargo, destino, motivo, período, quantidade, valor, norma e exportação.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7.2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tabela ou relação que explicite os valores das diárias dentro do Estado, fora do Estado e fora do país, conforme legislação local?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tabela ou relação que explicite os valores das diárias dentro do Estado, fora do Estado e fora do país, conforme legislação local.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Beneficiário, cargo, destino, motivo, período, quantidade, valor, norma e exportação.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Licitações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 das licitações em ordem sequencial, informando o número e modalidade licitatória, o objeto, a data, o valor estimado/homologado e a situação?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 das licitações em ordem sequencial, informando o número e modalidade licitatória, o objeto, a data, o valor estimado/homologado e a situação.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dos editais de licitação?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íntegra dos editais de licitação.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dos demais documentos das fases interna e externa das licitações?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documentos das fases preparatória e externa, preservando estudo técnico, termo de referência, pareceres, propostas, atas e decisões.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dos principais documentos dos processos de dispensa e inexigibilidade de licitação?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Organizar dispensas e inexigibilidades por processo, com justificativas, pareceres, ratificação, contratação e PNCP.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8.5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das Atas de Adesão – SRP?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íntegra das Atas de Adesão – SRP.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8.6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plano de contratações anual?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plano de contratações anual.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8.7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 dos licitantes e/ou contratados sancionados administrativamente pelo Poder ou órgão?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 dos licitantes e/ou contratados sancionados administrativamente pelo Poder ou órgão.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Processo integral; pesquisa e filtros; anexos; situação; datas; vínculo com contrato, PNCP e despesa.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Contratos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9.1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 dos contratos celebrados em ordem sequencial, com o seu respectivo resumo, contendo, no mínimo, indicação do contratado(a), do valor, do objeto e da vigência, bem como dos aditivos deles decorrentes?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 dos contratos celebrados em ordem sequencial, com o seu respectivo resumo, contendo, no mínimo, indicação do contratado(a), do valor, do objeto e da vigência, bem como dos aditivos deles decorrentes.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 sequencial; inteiro teor; aditivos; fiscal; vigência; execução; pagamentos; vínculo PNCP.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9.2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inteiro teor dos contratos e dos respectivos termos aditivos?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inteiro teor dos contratos e dos respectivos termos aditivos.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 sequencial; inteiro teor; aditivos; fiscal; vigência; execução; pagamentos; vínculo PNCP.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9.3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relação/lista dos fiscais de cada contrato vigente e encerrado?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relação/lista dos fiscais de cada contrato vigente e encerrado.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 sequencial; inteiro teor; aditivos; fiscal; vigência; execução; pagamentos; vínculo PNCP.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9.4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ordem cronológica de seus pagamentos, bem como as justificativas que fundamentaram a eventual alteração dessa ordem?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ordem cronológica por fonte de recursos e justificar de forma individualizada qualquer alteração.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Relação sequencial; inteiro teor; aditivos; fiscal; vigência; execução; pagamentos; vínculo PNCP.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Obras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10.1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sobre as obras contendo o objeto, a situação atual, as datas de início e de conclusão da obra, empresa contratada e o percentual concluído?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informações sobre as obras contendo o objeto, a situação atual, as datas de início e de conclusão da obra, empresa contratada e o percentual concluído.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Painel da obra; contrato; medições; quantitativos; preços; percentual; fotos e situação atual.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10.2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quantitativos, os preços unitários e totais contratados?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quantitativos, os preços unitários e totais contratados.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Painel da obra; contrato; medições; quantitativos; preços; percentual; fotos e situação atual.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10.3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quantitativos executados e os preços efetivamente pagos?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os quantitativos executados e os preços efetivamente pagos.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Painel da obra; contrato; medições; quantitativos; preços; percentual; fotos e situação atual.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10.4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relação das obras paralisadas contendo o motivo, o responsável pela inexecução temporária do objeto do contrato e a data prevista para o reinício da sua execução?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Criar relação específica de obras paralisadas; quando inexistentes, publicar declaração negativa datada.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Painel da obra; contrato; medições; quantitativos; preços; percentual; fotos e situação atual.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Planejamento e Prestação de contas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 a Prestação de Contas do Ano Anterior (Balanço Geral)?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no prazo e preservar a Prestação de Contas do Ano Anterior (Balanço Geral).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Relatório de Gestão ou Atividades?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Relatório de Gestão ou Atividades.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íntegra da decisão da apreciação ou julgamento das contas pelo Tribunal de Contas?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a íntegra da decisão da apreciação ou julgamento das contas pelo Tribunal de Contas.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resultado do julgamento das Contas do Chefe do Poder Executivo pelo Poder Legislativo?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Reunir parecer prévio do TCE, decreto legislativo, ata e resultado do julgamento das contas do Prefeito.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11.5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Relatório de Gestão Fiscal (RGF)?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RGF no prazo legal, com todos os anexos, assinatura, período e série histórica.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11.6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Relatório Resumido da Execução Orçamentária (RREO)?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o RREO e todos os anexos até 30 dias após cada bimestre, preservando assinatura e série histórica.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11.7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plano estratégico institucional?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o plano estratégico institucional.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11.8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Lei do Plano Plurianual (PPA) e seus anexos?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Centralizar o PPA vigente e anteriores, lei, anexos, programas, metas, revisões e versões consolidadas.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11.9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Lei de Diretrizes Orçamentárias (LDO) e seus anexos?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Centralizar a LDO de cada exercício, lei, anexos fiscais, riscos, metas, alterações e versão consolidada.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11.10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Essencial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Lei Orçamentária (LOA) e seus anexos?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Centralizar a LOA de cada exercício, lei, quadros, anexos, créditos adicionais e execução vinculada.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 integral; exercício/período; data de publicação; histórico; decisão do TCE e exportação.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Serviço de Informação ao Cidadão - SIC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Existe o SIC no site ou no portal de transparência e indica a unidade/setor responsável?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e identificar o SIC no site ou no portal de transparência e indica a unidade/setor responsável.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Indica o endereço físico, o telefone e o e-mail da unidade responsável pelo SIC, além do horário de funcionamento?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Indica o endereço físico, o telefone e o e-mail da unidade responsável pelo SIC, além do horário de funcionamento.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possibilidade de envio de pedidos de informação de forma eletrônica (e­-SIC)?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 testar possibilidade de envio de pedidos de informação de forma eletrônica (e­-SIC).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 solicitação por meio de eSic é simples, ou seja, sem a exigência de itens de identificação do requerente que dificultem ou impossibilitem o acesso à informação, tais como: envio de documentos, assinatura reconhecida, declaração de responsabilidade, maioridade?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Simplificar o e-SIC, solicitando apenas dados necessários e eliminando exigência de documento, assinatura ou justificativa.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12.5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nesta seção, instrumento normativo local que regulamente a Lei nº 12.527/2011 – LAI?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 manter atualizada nesta seção, instrumento normativo local que regulamente a Lei nº 12.527/2011 – LAI.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12.6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Divulga, na seção relativa ao e-SIC, os prazos de resposta ao cidadão, incluindo o recursal, e as autoridades competentes para o exame dos pedidos, além do procedimento referente à realização do pedido e de eventual recurso?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Divulga, na seção relativa ao e-SIC, os prazos de resposta ao cidadão, incluindo o recursal, e as autoridades competentes para o exame dos pedidos, além do procedimento referente à realização do pedido e de eventual recurso.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12.7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relatório anual estatístico contendo a quantidade de pedidos de acesso recebidos, atendidos, indeferidos, bem como informações genéricas sobre os solicitantes?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anualmente estatísticas de pedidos recebidos, atendidos, indeferidos, prazos médios e perfil genérico.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12.8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lista de documentos classificados em cada grau de sigilo, contendo pelo menos o assunto sobre o qual versa a informação, a categoria na qual ela se encontra, o dispositivo legal que fundamenta a classificação e o respectivo prazo?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lista de informações classificadas; se não houver, divulgar declaração negativa anual.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12.9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lista das informações que tenham sido desclassificadas nos últimos 12 (doze) meses?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lista das informações desclassificadas nos últimos 12 meses; se não houver, divulgar declaração negativa.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Página própria; formulário funcional; protocolo; prazos; recursos; relatórios e listas de sigilo.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Acessibilidade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oficial e o portal de transparência contêm símbolo de acessibilidade em destaque?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que o site oficial e o portal de transparência contêm símbolo de acessibilidade em destaque.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e o portal de transparência contêm exibição do “caminho” de páginas percorridas pelo usuário?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que o site e o portal de transparência contêm exibição do “caminho” de páginas percorridas pelo usuário.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e o portal de transparência contêm opção de alto contraste?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que o site e o portal de transparência contêm opção de alto contraste.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 site e o portal de transparência contêm ferramenta de redimensionamento de texto?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Garantir que o site e o portal de transparência contêm ferramenta de redimensionamento de texto.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13.5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Contém mapa do site institucional?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mapa do site institucional.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Teste em site e portal; teclado; leitor de tela; contraste; redimensionamento; mapa/caminho.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  <w:pageBreakBefore/>
      </w:pPr>
      <w:r>
        <w:t>Ouvidorias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14.1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informações sobre o atendimento presencial pela Ouvidoria (Indicação de endereço físico e telefone, além do horário de funcionamento)?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 testar informações sobre o atendimento presencial pela Ouvidoria (Indicação de endereço físico e telefone, além do horário de funcionamento).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Canal presencial e digital; protocolo; prazo; acompanhamento; Carta de Serviços atualizada.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14.2.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Há canal eletrônico de acesso/interação com a ouvidoria?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 testar canal eletrônico de acesso/interação com a ouvidoria.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Canal presencial e digital; protocolo; prazo; acompanhamento; Carta de Serviços atualizada.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14.3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Carta de Serviços ao Usuário?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Carta de Serviços com serviços, requisitos, etapas, canais, prazos, compromissos e padrão de atendimento.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Canal presencial e digital; protocolo; prazo; acompanhamento; Carta de Serviços atualizada.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Lei Geral de Proteção de Dados (LGPD) e Governo Digital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 o encarregado/responsável pelo tratamento de dados pessoais e disponibiliza Canal de Comunicação com esse servidor (telefone e/ou e-mail)?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Identificar e manter atualizados o encarregado/responsável pelo tratamento de dados pessoais e disponibiliza Canal de Comunicação com esse servidor (telefone e/ou e-mail).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 a sua Política de Privacidade e Proteção de Dados?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no prazo e preservar a sua Política de Privacidade e Proteção de Dados.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Possibilita a demanda e o acesso a serviços públicos por meio digital, sem necessidade de solicitação presencial?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e testar a demanda e o acesso a serviços públicos por meio digital, sem necessidade de solicitação presencial.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Possibilita o acesso automatizado por sistemas externos em dados abertos  (estruturados e legíveis por máquina), e a página contém as regras de utilização?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Oferecer CSV, XLSX ou JSON, metadados, dicionário e API ou endpoint documentado, com regras claras de reutilização.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15.5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Regulamenta a Lei Federal nº 14.129/2021 (Governo Digital) e divulga a normativa em seu portal?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Informar se houve adoção municipal da Lei nº 14.129/2021 e publicar a norma; se ausente, propor regulamentação local.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15.6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Realiza e divulga resultados de pesquisas de satisfação?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Realizar periodicamente e divulgar e divulga resultados de pesquisas de satisfação.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Responsável e canal; política; serviços digitais; arquivos abertos/API; regras de uso; pesquisa.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Renúncias de Receitas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16.1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as desonerações tributárias concedidas e a fundamentação legal individualizada?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cada renúncia ou benefício tributário com fundamento legal, tributo, modalidade, vigência e estimativa.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direta, documento integral, data de atualização, responsável e histórico.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16.2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valores da renúncia fiscal prevista e realizada, por tipo ou espécie de benefício ou incentivo fiscal?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Divulgar previsão e realização das renúncias fiscais, metodologia, memória de cálculo e medidas de compensação.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direta, documento integral, data de atualização, responsável e histórico.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16.3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 os beneficiários das desonerações tributárias (benefícios ou incentivos fiscais)?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Disponibilizar beneficiários, valores e benefícios concedidos, observadas apenas as restrições legais específicas.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direta, documento integral, data de atualização, responsável e histórico.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16.4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sobre projetos de incentivo à cultura (incluindo esportivos), identificando os projetos aprovados, o respectivo beneficiário e o valor aprovado?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projetos de incentivo à cultura e ao esporte, proponente, objeto, valor autorizado, captado e executado.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URL direta, documento integral, data de atualização, responsável e histórico.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Emendas Parlamentares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17.1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 as emendas parlamentares federais recebidas, contendo informações sobre a origem, a forma de repasse, o tipo de emenda, o número da emenda, a autoria, o valor previsto e realizado, o objeto e função de governo?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emendas parlamentares recebidas por autor, origem, objeto, valor, instrumento e unidade executora.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Autor/origem; objeto; valor; plano; instrumento; empenho; pagamento; saldo; prestação; CSV.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17.2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Identifica as emendas parlamentares estaduais e municipais, contendo informações sobre a origem, a forma de repasse, o tipo de emenda, o número da emenda, a autoria, o valor previsto e realizado, o objeto e função de governo?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Demonstrar execução orçamentária e financeira de cada emenda, inclusive empenho, pagamento e saldo.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Autor/origem; objeto; valor; plano; instrumento; empenho; pagamento; saldo; prestação; CSV.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17.3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Demonstra a execução orçamentária e financeira oriunda das emendas parlamentares recebidas e próprias?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Divulgar transferências especiais, plano de trabalho, conta, execução, beneficiário final e prestação de contas.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Autor/origem; objeto; valor; plano; instrumento; empenho; pagamento; saldo; prestação; CSV.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Saúde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18.1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plano de saúde, a programação anual e o relatório de gestão?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Plano Municipal de Saúde, programação anual, relatórios de gestão, metas, resultados e deliberações do Conselho.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Documento/painel integral; unidade; data da atualização; série; indicador; filtro; exportação; proteção do paciente.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18.2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relacionadas aos serviços de saúde, indicando os horários, os profissionais prestadores de serviços, as especialidades e local?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Manter relação atualizada de unidades, serviços, horários, profissionais, especialidades e formas de acesso.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Documento/painel integral; unidade; data da atualização; série; indicador; filtro; exportação; proteção do paciente.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18.3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lista de espera de regulação para acesso às consultas, exames e serviços médicos?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listas de espera por serviço, posição ou tempo estimado, critérios de priorização e data de atualização, preservando a identidade do paciente.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Documento/painel integral; unidade; data da atualização; série; indicador; filtro; exportação; proteção do paciente.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18.4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lista dos medicamentos a serem fornecidos pelo SUS e informações de como obter medicamentos, incluindo os de alto custo?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Divulgar estoque de medicamentos por unidade, item, disponibilidade e data de atualização.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Documento/painel integral; unidade; data da atualização; série; indicador; filtro; exportação; proteção do paciente.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18.5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os estoques de medicamentos das farmácias públicas?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repasses, despesas, contratos e indicadores da saúde em painel pesquisável e exportável.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Documento/painel integral; unidade; data da atualização; série; indicador; filtro; exportação; proteção do paciente.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18.6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atualizadas sobre a composição e o funcionamento do Conselho de Saúde?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Dar transparência à composição, agenda, atas, resoluções e deliberações do Conselho Municipal de Saúde.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Documento/painel integral; unidade; data da atualização; série; indicador; filtro; exportação; proteção do paciente.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2"/>
        <w:keepNext/>
      </w:pPr>
      <w:r>
        <w:t>Educação e Assistência Social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250"/>
        <w:gridCol w:w="3100"/>
        <w:gridCol w:w="2868"/>
        <w:gridCol w:w="1800"/>
      </w:tblGrid>
      <w:tr>
        <w:trPr>
          <w:tblHeader w:val="true"/>
          <w:cantSplit/>
        </w:trPr>
        <w:tc>
          <w:tcPr>
            <w:tcW w:type="dxa" w:w="62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ID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CLASSE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CRITÉRIO PNTP</w:t>
            </w:r>
          </w:p>
        </w:tc>
        <w:tc>
          <w:tcPr>
            <w:tcW w:type="dxa" w:w="2868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AÇÃO EM 45 DIAS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17324D"/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6"/>
              </w:rPr>
              <w:t>EVIDÊNCIA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19.1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o plano de educação e o respectivo relatório de resultados?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Plano Municipal de Educação, metas, indicadores, monitoramento e relatórios de execução.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Plano/serviço; meta ou fila; critérios; resultado; conselho; data de atualização; exportação.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19.2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a lista de espera em creches públicas e os critérios de priorização de acesso a elas?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Divulgar vagas e listas de espera da educação infantil com critérios, atualização e proteção dos dados das crianças.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Plano/serviço; meta ou fila; critérios; resultado; conselho; data de atualização; exportação.</w:t>
            </w:r>
          </w:p>
        </w:tc>
      </w:tr>
      <w:tr>
        <w:trPr>
          <w:cantSplit/>
        </w:trPr>
        <w:tc>
          <w:tcPr>
            <w:tcW w:type="dxa" w:w="62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19.3</w:t>
            </w:r>
          </w:p>
        </w:tc>
        <w:tc>
          <w:tcPr>
            <w:tcW w:type="dxa" w:w="125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Obrigatória</w:t>
            </w:r>
          </w:p>
        </w:tc>
        <w:tc>
          <w:tcPr>
            <w:tcW w:type="dxa" w:w="31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atualizadas sobre a composição e o funcionamento do Conselho do Fundeb?</w:t>
            </w:r>
          </w:p>
        </w:tc>
        <w:tc>
          <w:tcPr>
            <w:tcW w:type="dxa" w:w="2868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Publicar composição, agenda, atas, pareceres e deliberações dos conselhos de educação e controle social.</w:t>
            </w:r>
          </w:p>
        </w:tc>
        <w:tc>
          <w:tcPr>
            <w:tcW w:type="dxa" w:w="1800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Plano/serviço; meta ou fila; critérios; resultado; conselho; data de atualização; exportação.</w:t>
            </w:r>
          </w:p>
        </w:tc>
      </w:tr>
      <w:tr>
        <w:trPr>
          <w:cantSplit/>
        </w:trPr>
        <w:tc>
          <w:tcPr>
            <w:tcW w:type="dxa" w:w="62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/>
                <w:color w:val="1F5D8F"/>
                <w:sz w:val="16"/>
              </w:rPr>
              <w:t>19.4</w:t>
            </w:r>
          </w:p>
        </w:tc>
        <w:tc>
          <w:tcPr>
            <w:tcW w:type="dxa" w:w="125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Recomendada</w:t>
            </w:r>
          </w:p>
        </w:tc>
        <w:tc>
          <w:tcPr>
            <w:tcW w:type="dxa" w:w="31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 informações atualizadas sobre a composição e o funcionamento do Conselho de Assistência Social?</w:t>
            </w:r>
          </w:p>
        </w:tc>
        <w:tc>
          <w:tcPr>
            <w:tcW w:type="dxa" w:w="2868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Divulgar serviços, critérios, vagas, filas, benefícios e resultados da assistência social, com atualização e proteção de dados.</w:t>
            </w:r>
          </w:p>
        </w:tc>
        <w:tc>
          <w:tcPr>
            <w:tcW w:type="dxa" w:w="1800"/>
            <w:shd w:fill="F2F4F7"/>
            <w:tcBorders>
              <w:bottom w:val="single" w:sz="3" w:color="D8DEE3"/>
            </w:tcBorders>
          </w:tcPr>
          <w:p>
            <w:pPr>
              <w:spacing w:after="0" w:line="228" w:lineRule="auto"/>
            </w:pPr>
            <w:r>
              <w:rPr>
                <w:rFonts w:ascii="Calibri" w:hAnsi="Calibri"/>
                <w:b w:val="0"/>
                <w:color w:val="20262C"/>
                <w:sz w:val="16"/>
              </w:rPr>
              <w:t>Plano/serviço; meta ou fila; critérios; resultado; conselho; data de atualização; exportação.</w:t>
            </w:r>
          </w:p>
        </w:tc>
      </w:tr>
    </w:tbl>
    <w:p>
      <w:pPr>
        <w:spacing w:before="60" w:after="140"/>
      </w:pPr>
      <w:r>
        <w:rPr>
          <w:rFonts w:ascii="Calibri" w:hAnsi="Calibri"/>
          <w:i/>
          <w:color w:val="687581"/>
          <w:sz w:val="16"/>
        </w:rPr>
        <w:t>Prazo: validar e concluir todos os itens aplicáveis desta dimensão até o 45º dia.</w:t>
      </w:r>
    </w:p>
    <w:p>
      <w:pPr>
        <w:pStyle w:val="Heading1"/>
      </w:pPr>
      <w:r>
        <w:t>Encaminhamento proposto</w:t>
      </w:r>
    </w:p>
    <w:tbl>
      <w:tblPr>
        <w:tblW w:type="dxa" w:w="9638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638"/>
      </w:tblGrid>
      <w:tr>
        <w:trPr>
          <w:cantSplit/>
        </w:trPr>
        <w:tc>
          <w:tcPr>
            <w:tcW w:type="dxa" w:w="9638"/>
            <w:tcMar>
              <w:top w:w="80" w:type="dxa"/>
              <w:start w:w="120" w:type="dxa"/>
              <w:bottom w:w="80" w:type="dxa"/>
              <w:end w:w="120" w:type="dxa"/>
            </w:tcMar>
            <w:shd w:fill="EAF5EF"/>
            <w:tcBorders>
              <w:left w:val="single" w:sz="18" w:color="297A5B"/>
            </w:tcBorders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24D"/>
                <w:sz w:val="20"/>
              </w:rPr>
              <w:t xml:space="preserve">Convite à cooperação. </w:t>
            </w:r>
            <w:r>
              <w:rPr>
                <w:rFonts w:ascii="Calibri" w:hAnsi="Calibri"/>
                <w:color w:val="20262C"/>
                <w:sz w:val="20"/>
              </w:rPr>
              <w:t>Propõe-se que a Prefeitura acolha este documento como contribuição técnica, designe ponto focal e publique o cronograma de 45 dias. O objetivo comum é entregar informação pública no prazo, em formato utilizável e com evidência verificável, fortalecendo a confiança e o controle social.</w:t>
            </w:r>
          </w:p>
        </w:tc>
      </w:tr>
    </w:tbl>
    <w:p>
      <w:pPr>
        <w:spacing w:after="0" w:before="0"/>
      </w:pPr>
    </w:p>
    <w:p>
      <w:pPr>
        <w:spacing w:before="160"/>
        <w:jc w:val="center"/>
      </w:pPr>
      <w:r>
        <w:rPr>
          <w:rFonts w:ascii="Calibri" w:hAnsi="Calibri"/>
          <w:b/>
          <w:color w:val="17324D"/>
          <w:sz w:val="22"/>
        </w:rPr>
        <w:t>GLEISON KLEBER DOS SANTOS</w:t>
      </w:r>
      <w:r>
        <w:rPr>
          <w:rFonts w:ascii="Calibri" w:hAnsi="Calibri"/>
          <w:color w:val="687581"/>
          <w:sz w:val="19"/>
        </w:rPr>
        <w:br/>
        <w:t>Contribuição cidadã independente e apartidária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Calibri" w:hAnsi="Calibri"/>
        <w:color w:val="687581"/>
        <w:sz w:val="17"/>
      </w:rPr>
      <w:t xml:space="preserve">Contribuição cidadã independente • Plano colaborativo • Página </w:t>
    </w:r>
    <w:r>
      <w:rPr>
        <w:rFonts w:ascii="Calibri" w:hAnsi="Calibri"/>
        <w:color w:val="687581"/>
        <w:sz w:val="17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638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6100"/>
      <w:gridCol w:w="3538"/>
    </w:tblGrid>
    <w:tr>
      <w:tc>
        <w:tcPr>
          <w:tcW w:type="dxa" w:w="6100"/>
          <w:tcMar>
            <w:top w:w="80" w:type="dxa"/>
            <w:start w:w="120" w:type="dxa"/>
            <w:bottom w:w="80" w:type="dxa"/>
            <w:end w:w="120" w:type="dxa"/>
          </w:tcMar>
          <w:shd w:fill="17324D"/>
          <w:vAlign w:val="center"/>
        </w:tcPr>
        <w:p>
          <w:pPr>
            <w:spacing w:after="0"/>
            <w:jc w:val="left"/>
          </w:pPr>
          <w:r>
            <w:rPr>
              <w:rFonts w:ascii="Calibri" w:hAnsi="Calibri"/>
              <w:b/>
              <w:color w:val="FFFFFF"/>
              <w:sz w:val="18"/>
            </w:rPr>
            <w:t>CONTRIBUIÇÃO CIDADÃ</w:t>
          </w:r>
        </w:p>
      </w:tc>
      <w:tc>
        <w:tcPr>
          <w:tcW w:type="dxa" w:w="3538"/>
          <w:tcMar>
            <w:top w:w="80" w:type="dxa"/>
            <w:start w:w="120" w:type="dxa"/>
            <w:bottom w:w="80" w:type="dxa"/>
            <w:end w:w="120" w:type="dxa"/>
          </w:tcMar>
          <w:shd w:fill="1F5D8F"/>
          <w:vAlign w:val="center"/>
        </w:tcPr>
        <w:p>
          <w:pPr>
            <w:jc w:val="right"/>
          </w:pPr>
          <w:r>
            <w:rPr>
              <w:rFonts w:ascii="Calibri" w:hAnsi="Calibri"/>
              <w:b/>
              <w:color w:val="1F5D8F"/>
              <w:sz w:val="18"/>
            </w:rPr>
            <w:t>PREFEITURA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Calibri" w:hAnsi="Calibri"/>
      <w:color w:val="2026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5D8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5D8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tricon.org.br/136944-2/" TargetMode="External"/><Relationship Id="rId12" Type="http://schemas.openxmlformats.org/officeDocument/2006/relationships/hyperlink" Target="https://www.tce.mg.gov.br/IMG/2026/Cartilha-PNTP-2026.pdf" TargetMode="External"/><Relationship Id="rId13" Type="http://schemas.openxmlformats.org/officeDocument/2006/relationships/hyperlink" Target="https://www.tce.mg.gov.br/fale_tce/docs/PNTP-PerguntasFrequentesTCEMG_2025.pdf" TargetMode="External"/><Relationship Id="rId14" Type="http://schemas.openxmlformats.org/officeDocument/2006/relationships/hyperlink" Target="https://www.varginha.mg.gov.br/" TargetMode="External"/><Relationship Id="rId15" Type="http://schemas.openxmlformats.org/officeDocument/2006/relationships/hyperlink" Target="https://transparencia.betha.cloud/" TargetMode="External"/><Relationship Id="rId16" Type="http://schemas.openxmlformats.org/officeDocument/2006/relationships/hyperlink" Target="https://www.varginha.mg.gov.br/portal/dados-abertos" TargetMode="External"/><Relationship Id="rId17" Type="http://schemas.openxmlformats.org/officeDocument/2006/relationships/hyperlink" Target="https://www.varginha.mg.gov.br/portal/diario-oficial/" TargetMode="External"/><Relationship Id="rId18" Type="http://schemas.openxmlformats.org/officeDocument/2006/relationships/hyperlink" Target="https://www.varginha.mg.gov.br/portal/contratos" TargetMode="External"/><Relationship Id="rId19" Type="http://schemas.openxmlformats.org/officeDocument/2006/relationships/hyperlink" Target="https://www.varginha.mg.gov.br/portal/carta-servicos" TargetMode="External"/><Relationship Id="rId20" Type="http://schemas.openxmlformats.org/officeDocument/2006/relationships/hyperlink" Target="https://www.varginha.mg.gov.br/portal/ouvidoria" TargetMode="External"/><Relationship Id="rId21" Type="http://schemas.openxmlformats.org/officeDocument/2006/relationships/hyperlink" Target="https://leideacesso.etransparencia.com.br/esic/wp_login.aspx?3170701,1" TargetMode="External"/><Relationship Id="rId22" Type="http://schemas.openxmlformats.org/officeDocument/2006/relationships/hyperlink" Target="https://new.publicidadetransparente.com.br/view/municipio-de-varginha/" TargetMode="External"/><Relationship Id="rId23" Type="http://schemas.openxmlformats.org/officeDocument/2006/relationships/hyperlink" Target="https://www.varginha.mg.gov.br/portal/leis_decretos/39151/" TargetMode="External"/><Relationship Id="rId24" Type="http://schemas.openxmlformats.org/officeDocument/2006/relationships/hyperlink" Target="https://www.varginha.mg.gov.br/portal/leis_decretos/43314/" TargetMode="External"/><Relationship Id="rId25" Type="http://schemas.openxmlformats.org/officeDocument/2006/relationships/hyperlink" Target="https://www.varginha.mg.gov.br/portal/leis_decretos/43682/" TargetMode="External"/><Relationship Id="rId26" Type="http://schemas.openxmlformats.org/officeDocument/2006/relationships/hyperlink" Target="https://radardatransparencia.atricon.org.br/downloads.html" TargetMode="External"/><Relationship Id="rId27" Type="http://schemas.openxmlformats.org/officeDocument/2006/relationships/hyperlink" Target="https://radartransparente.com.br/avaliacao/59f001b0-a3d0-42cb-953b-0d02db067387" TargetMode="External"/><Relationship Id="rId28" Type="http://schemas.openxmlformats.org/officeDocument/2006/relationships/hyperlink" Target="https://www.planalto.gov.br/ccivil_03/constituicao/constituicao.htm" TargetMode="External"/><Relationship Id="rId29" Type="http://schemas.openxmlformats.org/officeDocument/2006/relationships/hyperlink" Target="https://www.planalto.gov.br/ccivil_03/leis/lcp/lcp131.htm" TargetMode="External"/><Relationship Id="rId30" Type="http://schemas.openxmlformats.org/officeDocument/2006/relationships/hyperlink" Target="https://www.planalto.gov.br/ccivil_03/_ato2011-2014/2011/lei/l12527.htm" TargetMode="External"/><Relationship Id="rId31" Type="http://schemas.openxmlformats.org/officeDocument/2006/relationships/hyperlink" Target="https://sapl.varginha.mg.leg.br/media/sapl/public/normajuridica/2013/5880/lei5729-2013.pdf" TargetMode="External"/><Relationship Id="rId32" Type="http://schemas.openxmlformats.org/officeDocument/2006/relationships/hyperlink" Target="https://www.planalto.gov.br/ccivil_03/leis/lcp/lcp101.htm" TargetMode="External"/><Relationship Id="rId33" Type="http://schemas.openxmlformats.org/officeDocument/2006/relationships/hyperlink" Target="https://www.planalto.gov.br/ccivil_03/_ato2019-2022/2020/decreto/d10540.htm" TargetMode="External"/><Relationship Id="rId34" Type="http://schemas.openxmlformats.org/officeDocument/2006/relationships/hyperlink" Target="https://www.planalto.gov.br/ccivil_03/_ato2019-2022/2021/lei/l14133.htm" TargetMode="External"/><Relationship Id="rId35" Type="http://schemas.openxmlformats.org/officeDocument/2006/relationships/hyperlink" Target="https://www.planalto.gov.br/ccivil_03/_ato2007-2010/2010/lei/l12232.htm" TargetMode="External"/><Relationship Id="rId36" Type="http://schemas.openxmlformats.org/officeDocument/2006/relationships/hyperlink" Target="https://www.planalto.gov.br/ccivil_03/_ato2015-2018/2017/lei/l13460.htm" TargetMode="External"/><Relationship Id="rId37" Type="http://schemas.openxmlformats.org/officeDocument/2006/relationships/hyperlink" Target="https://www.planalto.gov.br/ccivil_03/_ato2015-2018/2018/lei/l13709compilado.htm" TargetMode="External"/><Relationship Id="rId38" Type="http://schemas.openxmlformats.org/officeDocument/2006/relationships/hyperlink" Target="https://www.planalto.gov.br/ccivil_03/_ato2015-2018/2015/lei/l1314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Colaborativo de Melhoria dos Portais da Prefeitura de Varginha</dc:title>
  <dc:subject>Diagnóstico técnico e plano de melhoria integral em 45 dias</dc:subject>
  <dc:creator>Contribuição cidadã independente</dc:creator>
  <cp:keywords>transparência, Prefeitura, Varginha, PNTP, Atricon, controle social</cp:keywords>
  <dc:description>Documento colaborativo, sem presunção de irregularidade.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