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Calibri" w:hAnsi="Calibri"/>
          <w:b/>
          <w:color w:val="1F5D8F"/>
          <w:sz w:val="20"/>
        </w:rPr>
        <w:t>PLANO COLABORATIVO DE MELHORIA</w:t>
      </w:r>
    </w:p>
    <w:p>
      <w:pPr>
        <w:keepNext/>
        <w:keepLines/>
        <w:widowControl/>
        <w:spacing w:after="80"/>
      </w:pPr>
      <w:r>
        <w:rPr>
          <w:rFonts w:ascii="Calibri" w:hAnsi="Calibri"/>
          <w:b/>
          <w:color w:val="17324D"/>
          <w:sz w:val="48"/>
        </w:rPr>
        <w:t>Portal da Transparência da Câmara Municipal de Varginha</w:t>
      </w:r>
    </w:p>
    <w:p>
      <w:pPr>
        <w:spacing w:after="280"/>
      </w:pPr>
      <w:r>
        <w:rPr>
          <w:rFonts w:ascii="Calibri" w:hAnsi="Calibri"/>
          <w:i/>
          <w:color w:val="687581"/>
          <w:sz w:val="25"/>
        </w:rPr>
        <w:t>Diagnóstico de falhas e plano de regularização integral em 60 dias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538"/>
      </w:tblGrid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  <w:tcBorders>
              <w:bottom w:val="single" w:sz="3" w:color="D8DE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DESTINATÁRIO</w:t>
            </w:r>
          </w:p>
        </w:tc>
        <w:tc>
          <w:tcPr>
            <w:tcW w:type="dxa" w:w="753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3" w:color="D8DEE3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Mesa Diretora, Controladoria Interna e setores responsáveis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  <w:tcBorders>
              <w:bottom w:val="single" w:sz="3" w:color="D8DE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PROPONENTE</w:t>
            </w:r>
          </w:p>
        </w:tc>
        <w:tc>
          <w:tcPr>
            <w:tcW w:type="dxa" w:w="753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3" w:color="D8DEE3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Fiscaliza Varginha - iniciativa cidadã independente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  <w:tcBorders>
              <w:bottom w:val="single" w:sz="3" w:color="D8DE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DATA-BASE</w:t>
            </w:r>
          </w:p>
        </w:tc>
        <w:tc>
          <w:tcPr>
            <w:tcW w:type="dxa" w:w="753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3" w:color="D8DEE3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25 de julho de 2026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  <w:tcBorders>
              <w:bottom w:val="single" w:sz="3" w:color="D8DEE3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PROPÓSITO</w:t>
            </w:r>
          </w:p>
        </w:tc>
        <w:tc>
          <w:tcPr>
            <w:tcW w:type="dxa" w:w="753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3" w:color="D8DEE3"/>
            </w:tcBorders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Resolver as pendências e concluir as melhorias aplicáveis em até 60 dias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  <w:tcBorders>
              <w:left w:val="single" w:sz="18" w:color="1F5D8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Tom e finalidade. </w:t>
            </w:r>
            <w:r>
              <w:rPr>
                <w:rFonts w:ascii="Calibri" w:hAnsi="Calibri"/>
                <w:color w:val="20262C"/>
                <w:sz w:val="20"/>
              </w:rPr>
              <w:t>Este documento reconhece os avanços já existentes, aponta falhas e atrasos que precisam ser enfrentados e propõe uma agenda prática de cooperação para conclusão em 60 dias. Não presume irregularidade nem substitui a avaliação oficial do Tribunal de Contas.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Síntese executiva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O resultado público anteriormente consultado para a Câmara indicou índice geral de 63,3%, classificação “Intermediário”, atendimento de 85,7% dos critérios essenciais e evolução de 21,4 pontos percentuais. A melhora é relevante, mas o resultado confirma que o portal ainda não atende integralmente ao padrão esperado, especialmente porque os critérios essenciais não alcançaram 100%.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Mar>
              <w:top w:w="80" w:type="dxa"/>
              <w:start w:w="120" w:type="dxa"/>
              <w:bottom w:w="80" w:type="dxa"/>
              <w:end w:w="120" w:type="dxa"/>
            </w:tcMar>
            <w:shd w:fill="1F5D8F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32"/>
              </w:rPr>
              <w:t>63,3%</w:t>
            </w:r>
            <w:r>
              <w:rPr>
                <w:rFonts w:ascii="Calibri" w:hAnsi="Calibri"/>
                <w:b/>
                <w:color w:val="FFFFFF"/>
                <w:sz w:val="15"/>
              </w:rPr>
              <w:br/>
              <w:t>ÍNDICE INFORMADO</w:t>
            </w:r>
          </w:p>
        </w:tc>
        <w:tc>
          <w:tcPr>
            <w:tcW w:type="dxa" w:w="2409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3"/>
              </w:rPr>
              <w:t>INTERMEDIÁRIO</w:t>
            </w:r>
            <w:r>
              <w:rPr>
                <w:rFonts w:ascii="Calibri" w:hAnsi="Calibri"/>
                <w:b/>
                <w:color w:val="FFFFFF"/>
                <w:sz w:val="15"/>
              </w:rPr>
              <w:br/>
              <w:t>NÍVEL INFORMADO</w:t>
            </w:r>
          </w:p>
        </w:tc>
        <w:tc>
          <w:tcPr>
            <w:tcW w:type="dxa" w:w="2409"/>
            <w:tcMar>
              <w:top w:w="80" w:type="dxa"/>
              <w:start w:w="120" w:type="dxa"/>
              <w:bottom w:w="80" w:type="dxa"/>
              <w:end w:w="120" w:type="dxa"/>
            </w:tcMar>
            <w:shd w:fill="A33A32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32"/>
              </w:rPr>
              <w:t>85,7%</w:t>
            </w:r>
            <w:r>
              <w:rPr>
                <w:rFonts w:ascii="Calibri" w:hAnsi="Calibri"/>
                <w:b/>
                <w:color w:val="FFFFFF"/>
                <w:sz w:val="15"/>
              </w:rPr>
              <w:br/>
              <w:t>ESSENCIAIS INFORMADOS</w:t>
            </w:r>
          </w:p>
        </w:tc>
        <w:tc>
          <w:tcPr>
            <w:tcW w:type="dxa" w:w="2411"/>
            <w:tcMar>
              <w:top w:w="80" w:type="dxa"/>
              <w:start w:w="120" w:type="dxa"/>
              <w:bottom w:w="80" w:type="dxa"/>
              <w:end w:w="120" w:type="dxa"/>
            </w:tcMar>
            <w:shd w:fill="297A5B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32"/>
              </w:rPr>
              <w:t>+21,4 p.p.</w:t>
            </w:r>
            <w:r>
              <w:rPr>
                <w:rFonts w:ascii="Calibri" w:hAnsi="Calibri"/>
                <w:b/>
                <w:color w:val="FFFFFF"/>
                <w:sz w:val="15"/>
              </w:rPr>
              <w:br/>
              <w:t>EVOLUÇÃO INFORMADA</w:t>
            </w:r>
          </w:p>
        </w:tc>
      </w:tr>
    </w:tbl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A página institucional de transparência já reúne links para contas, pessoal, licitações, contratos, planejamento, SIC, acessibilidade e LGPD. O principal desafio agora é transformar essa estrutura em uma experiência verificável: informação atualizada, completa, pesquisável, exportável, com histórico, data de publicação e ligação entre os sistemas.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FF7DD"/>
            <w:tcBorders>
              <w:left w:val="single" w:sz="18" w:color="8A650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Escopo completo. </w:t>
            </w:r>
            <w:r>
              <w:rPr>
                <w:rFonts w:ascii="Calibri" w:hAnsi="Calibri"/>
                <w:color w:val="20262C"/>
                <w:sz w:val="20"/>
              </w:rPr>
              <w:t>A matriz PNTP 2026 contém 83 critérios aplicáveis à Câmara: 7 essenciais, 60 obrigatórios e 16 recomendados. O Anexo A converte todos eles em ações e evidências de entrega, com prazo máximo de regularização até o 60º dia.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Meta de 60 dias. </w:t>
            </w:r>
            <w:r>
              <w:rPr>
                <w:rFonts w:ascii="Calibri" w:hAnsi="Calibri"/>
                <w:color w:val="20262C"/>
                <w:sz w:val="20"/>
              </w:rPr>
              <w:t>Até o encerramento do período, todos os 83 critérios deverão estar validados; todas as publicações atrasadas deverão estar regularizadas; e cada critério aplicável deverá ter evidência, responsável, data de atualização e teste final registrados.</w:t>
            </w:r>
          </w:p>
        </w:tc>
      </w:tr>
    </w:tbl>
    <w:p>
      <w:pPr>
        <w:pStyle w:val="Heading1"/>
      </w:pPr>
      <w:r>
        <w:t>2. Como os apontamentos foram classificados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500"/>
        <w:gridCol w:w="4038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CLASSIFICAÇÃO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40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COMO TRATAR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Falha confirmada</w:t>
            </w:r>
          </w:p>
        </w:tc>
        <w:tc>
          <w:tcPr>
            <w:tcW w:type="dxa" w:w="3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Resultado público ou ausência objetivamente verificável.</w:t>
            </w:r>
          </w:p>
        </w:tc>
        <w:tc>
          <w:tcPr>
            <w:tcW w:type="dxa" w:w="40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Corrigir, publicar a evidência e registrar a data da regularização.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Deficiência observada</w:t>
            </w:r>
          </w:p>
        </w:tc>
        <w:tc>
          <w:tcPr>
            <w:tcW w:type="dxa" w:w="3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Barreira encontrada na navegação, organização ou forma de entrega.</w:t>
            </w:r>
          </w:p>
        </w:tc>
        <w:tc>
          <w:tcPr>
            <w:tcW w:type="dxa" w:w="40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Validar com o setor responsável e ajustar a experiência do usuário.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Atraso relatado</w:t>
            </w:r>
          </w:p>
        </w:tc>
        <w:tc>
          <w:tcPr>
            <w:tcW w:type="dxa" w:w="3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Entrega ou publicação informada como pendente ou fora da rotina esperada.</w:t>
            </w:r>
          </w:p>
        </w:tc>
        <w:tc>
          <w:tcPr>
            <w:tcW w:type="dxa" w:w="40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Inventariar o passivo, definir responsável e publicar cronograma de recuperação.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Item a validar</w:t>
            </w:r>
          </w:p>
        </w:tc>
        <w:tc>
          <w:tcPr>
            <w:tcW w:type="dxa" w:w="3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Critério aplicável cujo espelho detalhado não foi disponibilizado.</w:t>
            </w:r>
          </w:p>
        </w:tc>
        <w:tc>
          <w:tcPr>
            <w:tcW w:type="dxa" w:w="40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Conferir com a equipe e o TCE-MG, sem presumir falha antes da validação.</w:t>
            </w:r>
          </w:p>
        </w:tc>
      </w:tr>
    </w:tbl>
    <w:p>
      <w:pPr>
        <w:pStyle w:val="Heading1"/>
      </w:pPr>
      <w:r>
        <w:t>3. Apontamento das principais falhas e deficiências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500"/>
        <w:gridCol w:w="2580"/>
        <w:gridCol w:w="3938"/>
        <w:gridCol w:w="10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APONTAMENTO</w:t>
            </w:r>
          </w:p>
        </w:tc>
        <w:tc>
          <w:tcPr>
            <w:tcW w:type="dxa" w:w="39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MELHORIA COLABORATIVA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PRAZO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F-01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Índice geral de 63,3%, ainda no nível Intermediário.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plano critério a critério para alcançar pelo menos 75% e, depois, os níveis Prata/Ouro.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Imediata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F-02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Critérios essenciais informados em 85,7%, abaixo dos 100% exigidos para selo.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Identificar o essencial não atendido, corrigir primeiro e anexar evidência verificável.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Imediata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F-03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Atraso relatado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entregas e publicações com atraso, sem inventário público consolidado do passivo.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força-tarefa, listar pendências por competência e publicar calendário de regularização.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0-30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F-04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observada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Informações estão distribuídas entre site institucional, Betha, SAPL, PNCP e páginas de downloads.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página única por tema, com links diretos, contexto, responsável e data de atualização.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0-30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F-05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observada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 página central apresenta links, mas não mostra status, cobertura histórica e última atualização de cada base.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Acrescentar painel de atualização, período disponível, formato e unidade responsável.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0-30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F-06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observada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portal financeiro depende de aplicação JavaScript e não oferece, na página central, alternativa clara de dados abertos.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exportações integrais e endpoints documentados, além de páginas indexáveis e acessíveis.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31-45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F-07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Item a validar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Não há espelho público critério a critério com evidência, justificativa e situação da correção.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matriz PNTP com status, URL, evidência, responsável, prazo e histórico de revisão.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0-30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F-08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Item a validar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Busca, filtros, exportação, série histórica e gravação de relatórios precisam ser testados em todas as bases.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Executar roteiro funcional e corrigir cada componente que reduza a pontuação.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31-45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F-09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Item a validar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Dados de contratos, despesas, licitações e pagamentos podem existir sem identificador comum.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Adotar chaves que permitam cruzar processo, contrato, empenho, liquidação, pagamento e PNCP.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31-60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F-10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de governança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Não está visível uma rotina pública de responsáveis, prazos e testes periódicos do portal.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Instituir comitê intersetorial, calendário, indicadores e revisão mensal das evidências.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0-10 dias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BEDEC"/>
            <w:tcBorders>
              <w:left w:val="single" w:sz="18" w:color="A33A32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Cautela metodológica. </w:t>
            </w:r>
            <w:r>
              <w:rPr>
                <w:rFonts w:ascii="Calibri" w:hAnsi="Calibri"/>
                <w:color w:val="20262C"/>
                <w:sz w:val="20"/>
              </w:rPr>
              <w:t>Como o espelho detalhado da avaliação não está disponível na página pública consultada, o documento não atribui automaticamente cada um dos 83 critérios como falha. A Câmara pode validar o anexo, indicar os itens já atendidos e concentrar a correção nos itens parciais, atrasados ou não atendidos.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4. Plano de regularização integral em 60 dias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800"/>
        <w:gridCol w:w="4438"/>
        <w:gridCol w:w="2150"/>
      </w:tblGrid>
      <w:tr>
        <w:trPr>
          <w:tblHeader w:val="true"/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JANELA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FOCO</w:t>
            </w:r>
          </w:p>
        </w:tc>
        <w:tc>
          <w:tcPr>
            <w:tcW w:type="dxa" w:w="44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ENTREGAS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2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1-10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Governança e diagnóstico</w:t>
            </w:r>
          </w:p>
        </w:tc>
        <w:tc>
          <w:tcPr>
            <w:tcW w:type="dxa" w:w="4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Nomear ponto focal; reunir todos os setores; validar os 83 critérios; listar atrasos, links quebrados, documentos ausentes e dependências técnicas.</w:t>
            </w:r>
          </w:p>
        </w:tc>
        <w:tc>
          <w:tcPr>
            <w:tcW w:type="dxa" w:w="21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100% dos critérios classificados, com responsável e prazo.</w:t>
            </w:r>
          </w:p>
        </w:tc>
      </w:tr>
      <w:tr>
        <w:trPr>
          <w:cantSplit/>
        </w:trPr>
        <w:tc>
          <w:tcPr>
            <w:tcW w:type="dxa" w:w="12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11-20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Essenciais e passivo crítico</w:t>
            </w:r>
          </w:p>
        </w:tc>
        <w:tc>
          <w:tcPr>
            <w:tcW w:type="dxa" w:w="4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Corrigir links; completar receitas, despesas, empenhos e RGF; publicar documentos essenciais e iniciar a recuperação das entregas vencidas.</w:t>
            </w:r>
          </w:p>
        </w:tc>
        <w:tc>
          <w:tcPr>
            <w:tcW w:type="dxa" w:w="21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100% dos essenciais com URL e evidência testada.</w:t>
            </w:r>
          </w:p>
        </w:tc>
      </w:tr>
      <w:tr>
        <w:trPr>
          <w:cantSplit/>
        </w:trPr>
        <w:tc>
          <w:tcPr>
            <w:tcW w:type="dxa" w:w="12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21-30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Publicações atrasadas</w:t>
            </w:r>
          </w:p>
        </w:tc>
        <w:tc>
          <w:tcPr>
            <w:tcW w:type="dxa" w:w="4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Regularizar integralmente o passivo de publicações; completar pessoal, diárias, licitações, contratos, obras, prestação de contas e documentos administrativos.</w:t>
            </w:r>
          </w:p>
        </w:tc>
        <w:tc>
          <w:tcPr>
            <w:tcW w:type="dxa" w:w="21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100% das publicações atrasadas disponíveis e datadas.</w:t>
            </w:r>
          </w:p>
        </w:tc>
      </w:tr>
      <w:tr>
        <w:trPr>
          <w:cantSplit/>
        </w:trPr>
        <w:tc>
          <w:tcPr>
            <w:tcW w:type="dxa" w:w="12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31-40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Dados abertos e serviços</w:t>
            </w:r>
          </w:p>
        </w:tc>
        <w:tc>
          <w:tcPr>
            <w:tcW w:type="dxa" w:w="4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Implantar busca, filtros, exportação, metadados, histórico, SIC, Ouvidoria, Carta de Serviços, LGPD e acessibilidade.</w:t>
            </w:r>
          </w:p>
        </w:tc>
        <w:tc>
          <w:tcPr>
            <w:tcW w:type="dxa" w:w="21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Bases pesquisáveis, exportáveis e acessíveis.</w:t>
            </w:r>
          </w:p>
        </w:tc>
      </w:tr>
      <w:tr>
        <w:trPr>
          <w:cantSplit/>
        </w:trPr>
        <w:tc>
          <w:tcPr>
            <w:tcW w:type="dxa" w:w="12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41-50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Integração legislativa</w:t>
            </w:r>
          </w:p>
        </w:tc>
        <w:tc>
          <w:tcPr>
            <w:tcW w:type="dxa" w:w="4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Ligar SAPL, Betha e PNCP; completar pautas, comissões, atas, presenças, votações, julgamento de contas, transmissões e dados parlamentares.</w:t>
            </w:r>
          </w:p>
        </w:tc>
        <w:tc>
          <w:tcPr>
            <w:tcW w:type="dxa" w:w="21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Atividade legislativa completa e rastreável.</w:t>
            </w:r>
          </w:p>
        </w:tc>
      </w:tr>
      <w:tr>
        <w:trPr>
          <w:cantSplit/>
        </w:trPr>
        <w:tc>
          <w:tcPr>
            <w:tcW w:type="dxa" w:w="12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51-60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Teste, correção e entrega</w:t>
            </w:r>
          </w:p>
        </w:tc>
        <w:tc>
          <w:tcPr>
            <w:tcW w:type="dxa" w:w="4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Testar os 83 critérios, corrigir falhas remanescentes, publicar matriz final, evidências, histórico e relatório de conclusão; realizar validação cidadã.</w:t>
            </w:r>
          </w:p>
        </w:tc>
        <w:tc>
          <w:tcPr>
            <w:tcW w:type="dxa" w:w="21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Plano concluído, sem pendência aplicável aberta.</w:t>
            </w:r>
          </w:p>
        </w:tc>
      </w:tr>
      <w:tr>
        <w:trPr>
          <w:cantSplit/>
        </w:trPr>
        <w:tc>
          <w:tcPr>
            <w:tcW w:type="dxa" w:w="12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Após o dia 60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Manutenção preventiva</w:t>
            </w:r>
          </w:p>
        </w:tc>
        <w:tc>
          <w:tcPr>
            <w:tcW w:type="dxa" w:w="4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Manter revisão mensal, alertas de prazo, teste trimestral e registro público de atualizações e regressões.</w:t>
            </w:r>
          </w:p>
        </w:tc>
        <w:tc>
          <w:tcPr>
            <w:tcW w:type="dxa" w:w="21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Impedir novos atrasos sem postergar a conclusão do plano.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Regra de conclusão. </w:t>
            </w:r>
            <w:r>
              <w:rPr>
                <w:rFonts w:ascii="Calibri" w:hAnsi="Calibri"/>
                <w:color w:val="20262C"/>
                <w:sz w:val="20"/>
              </w:rPr>
              <w:t>Uma ação somente será considerada concluída quando houver publicação acessível, URL direta, conteúdo integral, data de atualização, responsável identificado e teste de funcionamento. Dependência de fornecedor deverá ter solução alternativa e não poderá manter a informação pública indisponível após o 60º dia.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5. Pacotes de melhoria por área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50"/>
        <w:gridCol w:w="7088"/>
      </w:tblGrid>
      <w:tr>
        <w:trPr>
          <w:tblHeader w:val="true"/>
          <w:cantSplit/>
        </w:trP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708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MELHORIAS PROPOSTAS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Governança do portal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Matriz pública, responsáveis, calendário, rotina de atualização, registro de correções e teste mensal.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Arquitetura e navegação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Página única por tema, URLs diretas e permanentes, busca, mapa, caminho de páginas e aviso de indisponibilidade.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Atualidade e prazos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Data/hora de registro e publicação, frequência de atualização, passivo de atrasos e alertas antes do vencimento.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Dados abertos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CSV/XLSX/JSON, dicionário, metadados, licença, API, exportação integral e série histórica.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Receita e despesa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Previsão/realização; empenho/liquidação/pagamento; credor, objeto, classificação, processo, licitação e contrato.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Licitações e contratos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Processo integral, contratação direta, PNCP, aditivos, fiscais, execução, sanções e ordem cronológica.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Obras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Situação, prazos, empresa, quantitativos, preços, medições, pagamentos, fotos e paralisações.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Pessoal, diárias e verbas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Base nominal, remuneração, lotação, atos, históricos, diárias detalhadas e cotas parlamentares.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Planejamento e contas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Balanço, RGF, decisões do TCE, plano estratégico, relatório de atividades e histórico.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SIC e Ouvidoria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Canais simples, protocolos, prazos, recursos, relatórios estatísticos, Carta de Serviços e acompanhamento.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Acessibilidade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Teclado, leitor de tela, contraste, redimensionamento, linguagem simples, responsividade e documentos acessíveis.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LGPD e Governo Digital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Encarregado, política, base legal, serviços digitais, adoção normativa e proteção sem ocultação genérica.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Atividade legislativa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Biografias, matérias, tramitação, pautas, comissões, atas, presenças, votações, contas e transmissões.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Participação cidadã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Consultas, audiências, pesquisa de satisfação, devolutiva e publicação das contribuições recebidas.</w:t>
            </w:r>
          </w:p>
        </w:tc>
      </w:tr>
    </w:tbl>
    <w:p>
      <w:pPr>
        <w:pStyle w:val="Heading1"/>
      </w:pPr>
      <w:r>
        <w:t>6. Padrão mínimo para cada publicação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538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5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PADRÃO DE ENTREGA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Identificação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Título claro, órgão/unidade, responsável, exercício ou competência e descrição do conteúdo.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Atualidade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Data/hora do registro, data/hora da publicação, última atualização e periodicidade esperada.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Completude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Documento integral e anexos; declaração negativa quando o evento não ocorreu.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Formato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Consulta em tela e exportação integral em CSV, XLSX ou JSON; PDF apenas como apresentação complementar.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Pesquisa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Busca textual, filtros combináveis, ordenação e paginação transparente.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Histórico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Série mínima de três exercícios ou o período exigido; versões anteriores preservadas.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Integração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Identificadores que liguem matéria, processo, licitação, contrato, empenho, pagamento e PNCP.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Acessibilidade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Navegação por teclado, leitor de tela, contraste, texto redimensionável e documento pesquisável.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Rastreabilidade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URL permanente, versão, fonte, dicionário de dados e contato técnico.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Proteção de dados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Tarja apenas no trecho protegido, entrega da parte pública e indicação da base legal da restrição.</w:t>
            </w:r>
          </w:p>
        </w:tc>
      </w:tr>
    </w:tbl>
    <w:p>
      <w:pPr>
        <w:pStyle w:val="Heading1"/>
      </w:pPr>
      <w:r>
        <w:t>7. Prazos e periodicidades prioritários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88"/>
        <w:gridCol w:w="265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INFORMAÇÃO</w:t>
            </w:r>
          </w:p>
        </w:tc>
        <w:tc>
          <w:tcPr>
            <w:tcW w:type="dxa" w:w="438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PRAZO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BASE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Execução orçamentária e financeira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Até o primeiro dia útil seguinte ao registro contábil.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Decreto nº 10.540/2020.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Pedido de acesso à informação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Imediato; se inviável, até 20 dias, prorrogáveis uma vez por 10 dias com justificativa.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LAI e Lei Municipal nº 5.729/2013.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Recurso LAI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Requerente: 10 dias; decisão da autoridade superior: 5 dias.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Lei nº 12.527/2011, art. 15.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Ouvidoria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Decisão final em 30 dias, prorrogável uma vez por mais 30, com justificativa.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Lei nº 13.460/2017, art. 16.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RGF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Até 30 dias após cada quadrimestre.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LRF, arts. 54 e 55.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Contas municipais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Durante todo o exercício; também por 60 dias anuais para exame do contribuinte.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LRF, art. 49; CF, art. 31, §3º.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Contratos no PNCP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20 dias úteis após assinatura em licitação; 10 dias úteis na contratação direta.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Lei nº 14.133/2021, art. 94.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Obras contratadas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Quantidades/preços em 25 dias úteis da assinatura; executados/pagos em 45 dias úteis da conclusão.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Lei nº 14.133/2021, art. 94, §3º.</w:t>
            </w:r>
          </w:p>
        </w:tc>
      </w:tr>
    </w:tbl>
    <w:p>
      <w:pPr>
        <w:pStyle w:val="Heading1"/>
      </w:pPr>
      <w:r>
        <w:t>8. Modelo de governança participativa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138"/>
      </w:tblGrid>
      <w:tr>
        <w:trPr>
          <w:tblHeader w:val="true"/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71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CONTRIBUIÇÃO SUGERIDA</w:t>
            </w:r>
          </w:p>
        </w:tc>
      </w:tr>
      <w:tr>
        <w:trPr>
          <w:cantSplit/>
        </w:trPr>
        <w:tc>
          <w:tcPr>
            <w:tcW w:type="dxa" w:w="2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Mesa Diretora</w:t>
            </w:r>
          </w:p>
        </w:tc>
        <w:tc>
          <w:tcPr>
            <w:tcW w:type="dxa" w:w="71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Patrocinar o plano, remover impedimentos e acompanhar o cronograma mensal.</w:t>
            </w:r>
          </w:p>
        </w:tc>
      </w:tr>
      <w:tr>
        <w:trPr>
          <w:cantSplit/>
        </w:trPr>
        <w:tc>
          <w:tcPr>
            <w:tcW w:type="dxa" w:w="2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Controladoria Interna</w:t>
            </w:r>
          </w:p>
        </w:tc>
        <w:tc>
          <w:tcPr>
            <w:tcW w:type="dxa" w:w="71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Validar critérios, evidências, prazos legais e correções antes da publicação.</w:t>
            </w:r>
          </w:p>
        </w:tc>
      </w:tr>
      <w:tr>
        <w:trPr>
          <w:cantSplit/>
        </w:trPr>
        <w:tc>
          <w:tcPr>
            <w:tcW w:type="dxa" w:w="2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Tecnologia da Informação</w:t>
            </w:r>
          </w:p>
        </w:tc>
        <w:tc>
          <w:tcPr>
            <w:tcW w:type="dxa" w:w="71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Garantir disponibilidade, integrações, acessibilidade, busca, exportação, APIs e monitoramento.</w:t>
            </w:r>
          </w:p>
        </w:tc>
      </w:tr>
      <w:tr>
        <w:trPr>
          <w:cantSplit/>
        </w:trPr>
        <w:tc>
          <w:tcPr>
            <w:tcW w:type="dxa" w:w="2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Contabilidade e Finanças</w:t>
            </w:r>
          </w:p>
        </w:tc>
        <w:tc>
          <w:tcPr>
            <w:tcW w:type="dxa" w:w="71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Manter receitas, despesas, RGF, balanço, pagamentos e conciliações no prazo.</w:t>
            </w:r>
          </w:p>
        </w:tc>
      </w:tr>
      <w:tr>
        <w:trPr>
          <w:cantSplit/>
        </w:trPr>
        <w:tc>
          <w:tcPr>
            <w:tcW w:type="dxa" w:w="2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Licitações e Contratos</w:t>
            </w:r>
          </w:p>
        </w:tc>
        <w:tc>
          <w:tcPr>
            <w:tcW w:type="dxa" w:w="71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Publicar processos, documentos, PNCP, contratos, aditivos, fiscais e execução.</w:t>
            </w:r>
          </w:p>
        </w:tc>
      </w:tr>
      <w:tr>
        <w:trPr>
          <w:cantSplit/>
        </w:trPr>
        <w:tc>
          <w:tcPr>
            <w:tcW w:type="dxa" w:w="2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Recursos Humanos</w:t>
            </w:r>
          </w:p>
        </w:tc>
        <w:tc>
          <w:tcPr>
            <w:tcW w:type="dxa" w:w="71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Atualizar pessoal, remuneração, cargos, atos, concursos, estagiários e terceirizados.</w:t>
            </w:r>
          </w:p>
        </w:tc>
      </w:tr>
      <w:tr>
        <w:trPr>
          <w:cantSplit/>
        </w:trPr>
        <w:tc>
          <w:tcPr>
            <w:tcW w:type="dxa" w:w="2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Secretaria Legislativa</w:t>
            </w:r>
          </w:p>
        </w:tc>
        <w:tc>
          <w:tcPr>
            <w:tcW w:type="dxa" w:w="71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Atualizar matérias, pautas, comissões, atas, presença, votações e julgamento de contas.</w:t>
            </w:r>
          </w:p>
        </w:tc>
      </w:tr>
      <w:tr>
        <w:trPr>
          <w:cantSplit/>
        </w:trPr>
        <w:tc>
          <w:tcPr>
            <w:tcW w:type="dxa" w:w="2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SIC, Ouvidoria e LGPD</w:t>
            </w:r>
          </w:p>
        </w:tc>
        <w:tc>
          <w:tcPr>
            <w:tcW w:type="dxa" w:w="71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Cuidar dos canais, prazos, relatórios, Carta de Serviços, privacidade e acesso parcial.</w:t>
            </w:r>
          </w:p>
        </w:tc>
      </w:tr>
      <w:tr>
        <w:trPr>
          <w:cantSplit/>
        </w:trPr>
        <w:tc>
          <w:tcPr>
            <w:tcW w:type="dxa" w:w="2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Comunicação</w:t>
            </w:r>
          </w:p>
        </w:tc>
        <w:tc>
          <w:tcPr>
            <w:tcW w:type="dxa" w:w="71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Traduzir conteúdos, divulgar atualizações e ampliar participação e pesquisa de satisfação.</w:t>
            </w:r>
          </w:p>
        </w:tc>
      </w:tr>
      <w:tr>
        <w:trPr>
          <w:cantSplit/>
        </w:trPr>
        <w:tc>
          <w:tcPr>
            <w:tcW w:type="dxa" w:w="2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Sociedade civil</w:t>
            </w:r>
          </w:p>
        </w:tc>
        <w:tc>
          <w:tcPr>
            <w:tcW w:type="dxa" w:w="71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Testar o portal, indicar barreiras, participar de reuniões e acompanhar a matriz pública.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Proposta de participação. </w:t>
            </w:r>
            <w:r>
              <w:rPr>
                <w:rFonts w:ascii="Calibri" w:hAnsi="Calibri"/>
                <w:color w:val="20262C"/>
                <w:sz w:val="20"/>
              </w:rPr>
              <w:t>Realizar uma reunião técnica inicial, seguida de devolutiva pública em até 30 dias. O Fiscaliza Varginha pode contribuir com testes de navegação, organização das evidências e comunicação em linguagem cidadã, respeitando a autonomia administrativa da Câmara.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9. Painel público de acompanhamento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Sugere-se publicar uma planilha ou painel com uma linha para cada critério. O acompanhamento deve permanecer acessível entre os ciclos de avaliação e registrar tanto as correções quanto eventuais regressões.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438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4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CONTEÚDO</w:t>
            </w:r>
          </w:p>
        </w:tc>
      </w:tr>
      <w:tr>
        <w:trPr>
          <w:cantSplit/>
        </w:trPr>
        <w:tc>
          <w:tcPr>
            <w:tcW w:type="dxa" w:w="22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Critério PNTP</w:t>
            </w:r>
          </w:p>
        </w:tc>
        <w:tc>
          <w:tcPr>
            <w:tcW w:type="dxa" w:w="7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ID, classe e descrição.</w:t>
            </w:r>
          </w:p>
        </w:tc>
      </w:tr>
      <w:tr>
        <w:trPr>
          <w:cantSplit/>
        </w:trPr>
        <w:tc>
          <w:tcPr>
            <w:tcW w:type="dxa" w:w="22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Situação</w:t>
            </w:r>
          </w:p>
        </w:tc>
        <w:tc>
          <w:tcPr>
            <w:tcW w:type="dxa" w:w="7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Atende; atende parcialmente; não atende; não se aplica; em validação.</w:t>
            </w:r>
          </w:p>
        </w:tc>
      </w:tr>
      <w:tr>
        <w:trPr>
          <w:cantSplit/>
        </w:trPr>
        <w:tc>
          <w:tcPr>
            <w:tcW w:type="dxa" w:w="22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Evidência</w:t>
            </w:r>
          </w:p>
        </w:tc>
        <w:tc>
          <w:tcPr>
            <w:tcW w:type="dxa" w:w="7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URL direta, arquivo, tela ou relatório que comprova o atendimento.</w:t>
            </w:r>
          </w:p>
        </w:tc>
      </w:tr>
      <w:tr>
        <w:trPr>
          <w:cantSplit/>
        </w:trPr>
        <w:tc>
          <w:tcPr>
            <w:tcW w:type="dxa" w:w="22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Qualidade</w:t>
            </w:r>
          </w:p>
        </w:tc>
        <w:tc>
          <w:tcPr>
            <w:tcW w:type="dxa" w:w="7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Disponibilidade, atualidade, histórico, gravação/exportação e pesquisa.</w:t>
            </w:r>
          </w:p>
        </w:tc>
      </w:tr>
      <w:tr>
        <w:trPr>
          <w:cantSplit/>
        </w:trPr>
        <w:tc>
          <w:tcPr>
            <w:tcW w:type="dxa" w:w="22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Responsável</w:t>
            </w:r>
          </w:p>
        </w:tc>
        <w:tc>
          <w:tcPr>
            <w:tcW w:type="dxa" w:w="7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Setor e agente encarregado pela atualização.</w:t>
            </w:r>
          </w:p>
        </w:tc>
      </w:tr>
      <w:tr>
        <w:trPr>
          <w:cantSplit/>
        </w:trPr>
        <w:tc>
          <w:tcPr>
            <w:tcW w:type="dxa" w:w="22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Prazo</w:t>
            </w:r>
          </w:p>
        </w:tc>
        <w:tc>
          <w:tcPr>
            <w:tcW w:type="dxa" w:w="7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Data prevista e data efetiva de conclusão.</w:t>
            </w:r>
          </w:p>
        </w:tc>
      </w:tr>
      <w:tr>
        <w:trPr>
          <w:cantSplit/>
        </w:trPr>
        <w:tc>
          <w:tcPr>
            <w:tcW w:type="dxa" w:w="22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Observação</w:t>
            </w:r>
          </w:p>
        </w:tc>
        <w:tc>
          <w:tcPr>
            <w:tcW w:type="dxa" w:w="7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Pendência, justificativa, dependência do fornecedor e próxima ação.</w:t>
            </w:r>
          </w:p>
        </w:tc>
      </w:tr>
      <w:tr>
        <w:trPr>
          <w:cantSplit/>
        </w:trPr>
        <w:tc>
          <w:tcPr>
            <w:tcW w:type="dxa" w:w="22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Revisão</w:t>
            </w:r>
          </w:p>
        </w:tc>
        <w:tc>
          <w:tcPr>
            <w:tcW w:type="dxa" w:w="7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Data, responsável e resultado do último teste.</w:t>
            </w:r>
          </w:p>
        </w:tc>
      </w:tr>
    </w:tbl>
    <w:p>
      <w:pPr>
        <w:pStyle w:val="Heading1"/>
      </w:pPr>
      <w:r>
        <w:t>10. Base normativa e referências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1. </w:t>
      </w:r>
      <w:hyperlink r:id="rId11">
        <w:r>
          <w:rPr>
            <w:color w:val="1F5D8F"/>
            <w:u w:val="single"/>
            <w:sz w:val="20"/>
          </w:rPr>
          <w:t>Portal de Transparência da Câmara</w:t>
        </w:r>
      </w:hyperlink>
      <w:r>
        <w:rPr>
          <w:rFonts w:ascii="Calibri" w:hAnsi="Calibri"/>
          <w:color w:val="20262C"/>
          <w:sz w:val="19"/>
        </w:rPr>
        <w:t xml:space="preserve"> - estrutura atual de acesso às informações.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2. </w:t>
      </w:r>
      <w:hyperlink r:id="rId12">
        <w:r>
          <w:rPr>
            <w:color w:val="1F5D8F"/>
            <w:u w:val="single"/>
            <w:sz w:val="20"/>
          </w:rPr>
          <w:t>Downloads oficiais PNTP</w:t>
        </w:r>
      </w:hyperlink>
      <w:r>
        <w:rPr>
          <w:rFonts w:ascii="Calibri" w:hAnsi="Calibri"/>
          <w:color w:val="20262C"/>
          <w:sz w:val="19"/>
        </w:rPr>
        <w:t xml:space="preserve"> - matriz do ciclo 2026.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3. </w:t>
      </w:r>
      <w:hyperlink r:id="rId13">
        <w:r>
          <w:rPr>
            <w:color w:val="1F5D8F"/>
            <w:u w:val="single"/>
            <w:sz w:val="20"/>
          </w:rPr>
          <w:t>Cartilha PNTP 2025 - Atricon</w:t>
        </w:r>
      </w:hyperlink>
      <w:r>
        <w:rPr>
          <w:rFonts w:ascii="Calibri" w:hAnsi="Calibri"/>
          <w:color w:val="20262C"/>
          <w:sz w:val="19"/>
        </w:rPr>
        <w:t xml:space="preserve"> - metodologia e níveis de transparência.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4. </w:t>
      </w:r>
      <w:hyperlink r:id="rId14">
        <w:r>
          <w:rPr>
            <w:color w:val="1F5D8F"/>
            <w:u w:val="single"/>
            <w:sz w:val="20"/>
          </w:rPr>
          <w:t>Resultado público anteriormente consultado</w:t>
        </w:r>
      </w:hyperlink>
      <w:r>
        <w:rPr>
          <w:rFonts w:ascii="Calibri" w:hAnsi="Calibri"/>
          <w:color w:val="20262C"/>
          <w:sz w:val="19"/>
        </w:rPr>
        <w:t xml:space="preserve"> - índice e evolução; sujeito à confirmação oficial.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5. </w:t>
      </w:r>
      <w:hyperlink r:id="rId15">
        <w:r>
          <w:rPr>
            <w:color w:val="1F5D8F"/>
            <w:u w:val="single"/>
            <w:sz w:val="20"/>
          </w:rPr>
          <w:t>Lei nº 12.527/2011 - LAI</w:t>
        </w:r>
      </w:hyperlink>
      <w:r>
        <w:rPr>
          <w:rFonts w:ascii="Calibri" w:hAnsi="Calibri"/>
          <w:color w:val="20262C"/>
          <w:sz w:val="19"/>
        </w:rPr>
        <w:t xml:space="preserve"> - transparência ativa, formatos, prazos e recursos.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6. </w:t>
      </w:r>
      <w:hyperlink r:id="rId16">
        <w:r>
          <w:rPr>
            <w:color w:val="1F5D8F"/>
            <w:u w:val="single"/>
            <w:sz w:val="20"/>
          </w:rPr>
          <w:t>Lei Municipal nº 5.729/2013</w:t>
        </w:r>
      </w:hyperlink>
      <w:r>
        <w:rPr>
          <w:rFonts w:ascii="Calibri" w:hAnsi="Calibri"/>
          <w:color w:val="20262C"/>
          <w:sz w:val="19"/>
        </w:rPr>
        <w:t xml:space="preserve"> - regulamentação local para Executivo e Legislativo.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7. </w:t>
      </w:r>
      <w:hyperlink r:id="rId17">
        <w:r>
          <w:rPr>
            <w:color w:val="1F5D8F"/>
            <w:u w:val="single"/>
            <w:sz w:val="20"/>
          </w:rPr>
          <w:t>Lei Complementar nº 101/2000 - LRF</w:t>
        </w:r>
      </w:hyperlink>
      <w:r>
        <w:rPr>
          <w:rFonts w:ascii="Calibri" w:hAnsi="Calibri"/>
          <w:color w:val="20262C"/>
          <w:sz w:val="19"/>
        </w:rPr>
        <w:t xml:space="preserve"> - contas, relatórios e fiscalização.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8. </w:t>
      </w:r>
      <w:hyperlink r:id="rId18">
        <w:r>
          <w:rPr>
            <w:color w:val="1F5D8F"/>
            <w:u w:val="single"/>
            <w:sz w:val="20"/>
          </w:rPr>
          <w:t>Decreto nº 10.540/2020 - SIAFIC</w:t>
        </w:r>
      </w:hyperlink>
      <w:r>
        <w:rPr>
          <w:rFonts w:ascii="Calibri" w:hAnsi="Calibri"/>
          <w:color w:val="20262C"/>
          <w:sz w:val="19"/>
        </w:rPr>
        <w:t xml:space="preserve"> - tempo real e detalhamento.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9. </w:t>
      </w:r>
      <w:hyperlink r:id="rId19">
        <w:r>
          <w:rPr>
            <w:color w:val="1F5D8F"/>
            <w:u w:val="single"/>
            <w:sz w:val="20"/>
          </w:rPr>
          <w:t>Lei nº 14.133/2021</w:t>
        </w:r>
      </w:hyperlink>
      <w:r>
        <w:rPr>
          <w:rFonts w:ascii="Calibri" w:hAnsi="Calibri"/>
          <w:color w:val="20262C"/>
          <w:sz w:val="19"/>
        </w:rPr>
        <w:t xml:space="preserve"> - PNCP, contratos e obras.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10. </w:t>
      </w:r>
      <w:hyperlink r:id="rId20">
        <w:r>
          <w:rPr>
            <w:color w:val="1F5D8F"/>
            <w:u w:val="single"/>
            <w:sz w:val="20"/>
          </w:rPr>
          <w:t>Lei nº 13.460/2017</w:t>
        </w:r>
      </w:hyperlink>
      <w:r>
        <w:rPr>
          <w:rFonts w:ascii="Calibri" w:hAnsi="Calibri"/>
          <w:color w:val="20262C"/>
          <w:sz w:val="19"/>
        </w:rPr>
        <w:t xml:space="preserve"> - Ouvidoria e direitos do usuário.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11. </w:t>
      </w:r>
      <w:hyperlink r:id="rId21">
        <w:r>
          <w:rPr>
            <w:color w:val="1F5D8F"/>
            <w:u w:val="single"/>
            <w:sz w:val="20"/>
          </w:rPr>
          <w:t>Lei nº 13.709/2018 - LGPD</w:t>
        </w:r>
      </w:hyperlink>
      <w:r>
        <w:rPr>
          <w:rFonts w:ascii="Calibri" w:hAnsi="Calibri"/>
          <w:color w:val="20262C"/>
          <w:sz w:val="19"/>
        </w:rPr>
        <w:t xml:space="preserve"> - proteção de dados pelo poder público.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12. </w:t>
      </w:r>
      <w:hyperlink r:id="rId22">
        <w:r>
          <w:rPr>
            <w:color w:val="1F5D8F"/>
            <w:u w:val="single"/>
            <w:sz w:val="20"/>
          </w:rPr>
          <w:t>Lei nº 13.146/2015 - LBI</w:t>
        </w:r>
      </w:hyperlink>
      <w:r>
        <w:rPr>
          <w:rFonts w:ascii="Calibri" w:hAnsi="Calibri"/>
          <w:color w:val="20262C"/>
          <w:sz w:val="19"/>
        </w:rPr>
        <w:t xml:space="preserve"> - acessibilidade dos sítios governamentais.</w:t>
      </w:r>
    </w:p>
    <w:p>
      <w:pPr>
        <w:pStyle w:val="Heading1"/>
      </w:pPr>
      <w:r>
        <w:t>Anexo A - Checklist completo PNTP 2026 para a Câmara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Este anexo reúne todos os 83 critérios aplicáveis às matrizes COMUM, COMUM (exceto estatais), COMUM (exceto estatais independentes) e PODER LEGISLATIVO. A coluna Situação sugerida não presume falha: orienta a Câmara a validar, regularizar e publicar a evidência.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FF7DD"/>
            <w:tcBorders>
              <w:left w:val="single" w:sz="18" w:color="8A650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Regra de priorização. </w:t>
            </w:r>
            <w:r>
              <w:rPr>
                <w:rFonts w:ascii="Calibri" w:hAnsi="Calibri"/>
                <w:color w:val="20262C"/>
                <w:sz w:val="20"/>
              </w:rPr>
              <w:t>Critérios essenciais devem alcançar 100%. Em seguida, corrigem-se os obrigatórios e, depois, os recomendados. Cada validação deve testar disponibilidade, atualidade, série histórica, gravação/exportação e filtros de pesquisa.</w:t>
            </w:r>
          </w:p>
        </w:tc>
      </w:tr>
    </w:tbl>
    <w:p>
      <w:pPr>
        <w:spacing w:after="0" w:before="0"/>
      </w:pPr>
    </w:p>
    <w:p>
      <w:pPr>
        <w:pStyle w:val="Heading2"/>
        <w:keepNext/>
      </w:pPr>
      <w:r>
        <w:t>Informações Prioritárias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1.1</w:t>
            </w:r>
          </w:p>
        </w:tc>
        <w:tc>
          <w:tcPr>
            <w:tcW w:type="dxa" w:w="1250"/>
            <w:vAlign w:val="top"/>
            <w:shd w:fill="FBEDEC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Essencial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Possui sítio oficial próprio na internet?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o sítio oficial estável, seguro, responsivo e claramente identificado como canal institucional.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Acesso visível na capa, busca funcional, endereço estável e teste sem cadastro.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1.2</w:t>
            </w:r>
          </w:p>
        </w:tc>
        <w:tc>
          <w:tcPr>
            <w:tcW w:type="dxa" w:w="1250"/>
            <w:vAlign w:val="top"/>
            <w:shd w:fill="FBEDEC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Essencial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Possui portal da transparência próprio ou compartilhado na internet?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portal próprio ou compartilhado com acesso público, navegação estável e identificação inequívoca da Câmara.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Acesso visível na capa, busca funcional, endereço estável e teste sem cadastro.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acesso ao portal transparência está visível na capa do site?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Dar destaque permanente ao botão Transparência na capa e em todas as versões móvel e desktop.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Acesso visível na capa, busca funcional, endereço estável e teste sem cadastro.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e o portal de transparência contêm ferramenta de pesquisa de conteúdo que permita o acesso à informação?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Unificar busca do site e do portal, com pesquisa textual, filtros e orientação quando não houver resultado.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Acesso visível na capa, busca funcional, endereço estável e teste sem cadastro.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Informações Institucionais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sua estrutura organizacional e a norma que a institui/altera?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sua estrutura organizacional e a norma que a institui/altera.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competências e/ou atribuições?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competências e/ou atribuições.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 o nome dos atuais responsáveis pela gestão do Poder/Órgão?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Identificar e manter atualizados o nome dos atuais responsáveis pela gestão do Poder/Órgão.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endereços e telefones atuais do Poder ou órgão e e-mails institucionais?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endereços e telefones atuais do Poder ou órgão e e-mails institucionais.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2.5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horário de atendimento?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horário de atendimento.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2.6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atos normativos próprios?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atos normativos próprios.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2.7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perguntas e respostas mais frequentes relacionadas às atividades desenvolvidas pelo Poder/Órgão?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as perguntas e respostas mais frequentes relacionadas às atividades desenvolvidas pelo Poder/Órgão.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2.8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Participa em redes sociais e apresenta, no seu sítio institucional, link de acesso ao seu perfil?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presença institucional e divulgar em redes sociais e apresenta, no seu sítio institucional, link de acesso ao seu perfil.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2.9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Inclui botão do Radar da Transparência Pública no site institucional ou portal transparência?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Incluir e manter botão do Radar da Transparência Pública no site institucional ou portal transparência.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Receita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3.1</w:t>
            </w:r>
          </w:p>
        </w:tc>
        <w:tc>
          <w:tcPr>
            <w:tcW w:type="dxa" w:w="1250"/>
            <w:vAlign w:val="top"/>
            <w:shd w:fill="FBEDEC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Essencial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receitas do Poder ou órgão, evidenciando sua previsão e realização?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previsão e realização das receitas por exercício, natureza, fonte e data, com exportação integral.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Despesa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4.1</w:t>
            </w:r>
          </w:p>
        </w:tc>
        <w:tc>
          <w:tcPr>
            <w:tcW w:type="dxa" w:w="1250"/>
            <w:vAlign w:val="top"/>
            <w:shd w:fill="FBEDEC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Essencial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total das despesas empenhadas, liquidadas e pagas?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Exibir totais empenhados, liquidados e pagos, conciliados e atualizados até o primeiro dia útil após o registro.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4.2</w:t>
            </w:r>
          </w:p>
        </w:tc>
        <w:tc>
          <w:tcPr>
            <w:tcW w:type="dxa" w:w="1250"/>
            <w:vAlign w:val="top"/>
            <w:shd w:fill="FBEDEC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Essencial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despesas por classificação orçamentária?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Permitir consulta da despesa por órgão/unidade, função, programa, ação, natureza, fonte e exercício.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4.3</w:t>
            </w:r>
          </w:p>
        </w:tc>
        <w:tc>
          <w:tcPr>
            <w:tcW w:type="dxa" w:w="1250"/>
            <w:vAlign w:val="top"/>
            <w:shd w:fill="FBEDEC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Essencial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Possibilita a consulta de empenhos com os detalhes do beneficiário do pagamento ou credor, o valor, o bem fornecido ou serviço prestado e a identificação do procedimento licitatório originário da despesa?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Ligar cada empenho ao credor, CNPJ/CPF protegido quando necessário, objeto, valor, licitação, contrato e pagamentos.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Convênios e Transferências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5.1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transferências recebidas a partir da celebração de convênios/acordos com indicação, no mínimo, do número/ano do convênio/termo ou ajuste, do valor total previsto dos recursos envolvidos, do valor recebido, do objeto, da vigência, da origem (órgão repassador/concedente) e o inteiro teor do instrumento de convênio/transferência?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as transferências recebidas a partir da celebração de convênios/acordos com indicação, no mínimo, do número/ano do convênio/termo ou ajuste, do valor total previsto dos recursos envolvidos, do valor recebido, do objeto, da vigência, da origem (órgão repassador/concedente) e o inteiro teor do instrumento de convênio/transferência.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Relação, partes, objeto, vigência, valores, execução e inteiro teor; declaração negativa quando cabível.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5.2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transferências realizadas a partir da celebração de convênios/acordos/ajustes, com indicação, no mínimo, do número/ano do convênio/termo ou ajuste, do beneficiário, do objeto, da vigência, do valor total previsto para repasse, do valor concedido e inteiro teor do instrumento de convênio/termo ou ajuste?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as transferências realizadas a partir da celebração de convênios/acordos/ajustes, com indicação, no mínimo, do número/ano do convênio/termo ou ajuste, do beneficiário, do objeto, da vigência, do valor total previsto para repasse, do valor concedido e inteiro teor do instrumento de convênio/termo ou ajuste.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Relação, partes, objeto, vigência, valores, execução e inteiro teor; declaração negativa quando cabível.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5.3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acordos firmados que não envolvam transferência de recursos financeiros, identificando as partes, o número/ano do convênio/termo ou ajuste, o objeto, a vigência, as obrigações ajustadas e o inteiro teor do instrumento de convênio/termo ou ajuste?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acordos firmados que não envolvam transferência de recursos financeiros, identificando as partes, o número/ano do convênio/termo ou ajuste, o objeto, a vigência, as obrigações ajustadas e o inteiro teor do instrumento de convênio/termo ou ajuste.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Relação, partes, objeto, vigência, valores, execução e inteiro teor; declaração negativa quando cabível.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Recursos Humanos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 nominal dos servidores/autoridades/membros, seus cargos/funções, as respectivas lotações, as suas datas de admissão/exoneração/inativação e a carga horária do cargo/função ocupada/desempenhada?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 nominal dos servidores/autoridades/membros, seus cargos/funções, as respectivas lotações, as suas datas de admissão/exoneração/inativação e a carga horária do cargo/função ocupada/desempenhada.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remuneração nominal de cada servidor/autoridade/Membro?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remuneração nominal de cada servidor/autoridade/Membro.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tabela com o padrão remuneratório dos cargos e funções?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tabela com o padrão remuneratório dos cargos e funções.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6.4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lista de seus estagiários, contendo o nome dos estudantes; a data de contratação e a data de término do respectivo contrato?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lista de seus estagiários, contendo o nome dos estudantes; a data de contratação e a data de término do respectivo contrato.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6.5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 lista dos terceirizados que prestam serviços para o Poder ou órgão/entidades, contendo, em relação a cada um deles: nome completo, função ou atividade exercida e nome da empresa empregadora?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no prazo e preservar lista dos terceirizados que prestam serviços para o Poder ou órgão/entidades, contendo, em relação a cada um deles: nome completo, função ou atividade exercida e nome da empresa empregadora.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6.6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dos editais de concursos e seleções públicas realizados pelo Poder ou órgão para provimento de cargos e empregos públicos?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íntegra dos editais de concursos e seleções públicas realizados pelo Poder ou órgão para provimento de cargos e empregos públicos.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6.7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sobre os demais atos dos concursos públicos e processos seletivos do Poder ou órgão, contendo no mínimo a lista de aprovados com as classificações e as nomeações?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informações sobre os demais atos dos concursos públicos e processos seletivos do Poder ou órgão, contendo no mínimo a lista de aprovados com as classificações e as nomeações.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Diárias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7.1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nome e o cargo/função do beneficiário, além do valor total recebido, número de diárias usufruídas por afastamento, período de afastamento, motivo do afastamento e local de destino?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nome e o cargo/função do beneficiário, além do valor total recebido, número de diárias usufruídas por afastamento, período de afastamento, motivo do afastamento e local de destino.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Beneficiário, cargo, destino, motivo, período, quantidade, valor, norma e exportação.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7.2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tabela ou relação que explicite os valores das diárias dentro do Estado, fora do Estado e fora do país, conforme legislação local?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tabela ou relação que explicite os valores das diárias dentro do Estado, fora do Estado e fora do país, conforme legislação local.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Beneficiário, cargo, destino, motivo, período, quantidade, valor, norma e exportação.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Licitações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 das licitações em ordem sequencial, informando o número e modalidade licitatória, o objeto, a data, o valor estimado/homologado e a situação?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 das licitações em ordem sequencial, informando o número e modalidade licitatória, o objeto, a data, o valor estimado/homologado e a situação.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dos editais de licitação?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íntegra dos editais de licitação.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dos demais documentos das fases interna e externa das licitações?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documentos das fases preparatória e externa, preservando estudo técnico, termo de referência, pareceres, propostas, atas e decisões.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dos principais documentos dos processos de dispensa e inexigibilidade de licitação?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Organizar dispensas e inexigibilidades por processo, com justificativas, pareceres, ratificação, contratação e PNCP.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8.5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das Atas de Adesão – SRP?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íntegra das Atas de Adesão – SRP.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8.6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plano de contratações anual?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plano de contratações anual.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8.7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 dos licitantes e/ou contratados sancionados administrativamente pelo Poder ou órgão?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 dos licitantes e/ou contratados sancionados administrativamente pelo Poder ou órgão.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Contratos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9.1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 dos contratos celebrados em ordem sequencial, com o seu respectivo resumo, contendo, no mínimo, indicação do contratado(a), do valor, do objeto e da vigência, bem como dos aditivos deles decorrentes?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 dos contratos celebrados em ordem sequencial, com o seu respectivo resumo, contendo, no mínimo, indicação do contratado(a), do valor, do objeto e da vigência, bem como dos aditivos deles decorrentes.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 sequencial; inteiro teor; aditivos; fiscal; vigência; execução; pagamentos; vínculo PNCP.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9.2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inteiro teor dos contratos e dos respectivos termos aditivos?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inteiro teor dos contratos e dos respectivos termos aditivos.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 sequencial; inteiro teor; aditivos; fiscal; vigência; execução; pagamentos; vínculo PNCP.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9.3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relação/lista dos fiscais de cada contrato vigente e encerrado?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relação/lista dos fiscais de cada contrato vigente e encerrado.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 sequencial; inteiro teor; aditivos; fiscal; vigência; execução; pagamentos; vínculo PNCP.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9.4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ordem cronológica de seus pagamentos, bem como as justificativas que fundamentaram a eventual alteração dessa ordem?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ordem cronológica por fonte de recursos e justificar de forma individualizada qualquer alteração.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 sequencial; inteiro teor; aditivos; fiscal; vigência; execução; pagamentos; vínculo PNCP.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Obras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10.1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sobre as obras contendo o objeto, a situação atual, as datas de início e de conclusão da obra, empresa contratada e o percentual concluído?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informações sobre as obras contendo o objeto, a situação atual, as datas de início e de conclusão da obra, empresa contratada e o percentual concluído.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Painel da obra; contrato; medições; quantitativos; preços; percentual; fotos e situação atual.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10.2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quantitativos, os preços unitários e totais contratados?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quantitativos, os preços unitários e totais contratados.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Painel da obra; contrato; medições; quantitativos; preços; percentual; fotos e situação atual.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10.3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quantitativos executados e os preços efetivamente pagos?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quantitativos executados e os preços efetivamente pagos.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Painel da obra; contrato; medições; quantitativos; preços; percentual; fotos e situação atual.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10.4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relação das obras paralisadas contendo o motivo, o responsável pela inexecução temporária do objeto do contrato e a data prevista para o reinício da sua execução?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relação específica de obras paralisadas; quando inexistentes, publicar declaração negativa datada.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Painel da obra; contrato; medições; quantitativos; preços; percentual; fotos e situação atual.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Planejamento e Prestação de contas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 a Prestação de Contas do Ano Anterior (Balanço Geral)?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no prazo e preservar a Prestação de Contas do Ano Anterior (Balanço Geral).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Relatório de Gestão ou Atividades?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Relatório de Gestão ou Atividades.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da decisão da apreciação ou julgamento das contas pelo Tribunal de Contas?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íntegra da decisão da apreciação ou julgamento das contas pelo Tribunal de Contas.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11.5</w:t>
            </w:r>
          </w:p>
        </w:tc>
        <w:tc>
          <w:tcPr>
            <w:tcW w:type="dxa" w:w="1250"/>
            <w:vAlign w:val="top"/>
            <w:shd w:fill="FBEDEC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A33A32"/>
                <w:sz w:val="16"/>
              </w:rPr>
              <w:t>Essencial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Relatório de Gestão Fiscal (RGF)?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RGF no prazo legal, com todos os anexos, assinatura, período e série histórica.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11.7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plano estratégico institucional?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plano estratégico institucional.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Serviço de Informação ao Cidadão - SIC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Existe o SIC no site ou no portal de transparência e indica a unidade/setor responsável?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e identificar o SIC no site ou no portal de transparência e indica a unidade/setor responsável.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Indica o endereço físico, o telefone e o e-mail da unidade responsável pelo SIC, além do horário de funcionamento?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Indica o endereço físico, o telefone e o e-mail da unidade responsável pelo SIC, além do horário de funcionamento.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possibilidade de envio de pedidos de informação de forma eletrônica (e­-SIC)?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 testar possibilidade de envio de pedidos de informação de forma eletrônica (e­-SIC).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 solicitação por meio de eSic é simples, ou seja, sem a exigência de itens de identificação do requerente que dificultem ou impossibilitem o acesso à informação, tais como: envio de documentos, assinatura reconhecida, declaração de responsabilidade, maioridade?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Simplificar o e-SIC, solicitando apenas dados necessários e eliminando exigência de documento, assinatura ou justificativa.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12.5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nesta seção, instrumento normativo local que regulamente a Lei nº 12.527/2011 – LAI?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nesta seção, instrumento normativo local que regulamente a Lei nº 12.527/2011 – LAI.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12.6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Divulga, na seção relativa ao e-SIC, os prazos de resposta ao cidadão, incluindo o recursal, e as autoridades competentes para o exame dos pedidos, além do procedimento referente à realização do pedido e de eventual recurso?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Divulga, na seção relativa ao e-SIC, os prazos de resposta ao cidadão, incluindo o recursal, e as autoridades competentes para o exame dos pedidos, além do procedimento referente à realização do pedido e de eventual recurso.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12.7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relatório anual estatístico contendo a quantidade de pedidos de acesso recebidos, atendidos, indeferidos, bem como informações genéricas sobre os solicitantes?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anualmente estatísticas de pedidos recebidos, atendidos, indeferidos, prazos médios e perfil genérico.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12.8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lista de documentos classificados em cada grau de sigilo, contendo pelo menos o assunto sobre o qual versa a informação, a categoria na qual ela se encontra, o dispositivo legal que fundamenta a classificação e o respectivo prazo?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lista de informações classificadas; se não houver, divulgar declaração negativa anual.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12.9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lista das informações que tenham sido desclassificadas nos últimos 12 (doze) meses?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lista das informações desclassificadas nos últimos 12 meses; se não houver, divulgar declaração negativa.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Acessibilidade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oficial e o portal de transparência contêm símbolo de acessibilidade em destaque?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que o site oficial e o portal de transparência contêm símbolo de acessibilidade em destaque.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e o portal de transparência contêm exibição do “caminho” de páginas percorridas pelo usuário?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que o site e o portal de transparência contêm exibição do “caminho” de páginas percorridas pelo usuário.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e o portal de transparência contêm opção de alto contraste?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que o site e o portal de transparência contêm opção de alto contraste.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e o portal de transparência contêm ferramenta de redimensionamento de texto?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que o site e o portal de transparência contêm ferramenta de redimensionamento de texto.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13.5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Contém mapa do site institucional?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mapa do site institucional.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Ouvidorias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14.1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informações sobre o atendimento presencial pela Ouvidoria (Indicação de endereço físico e telefone, além do horário de funcionamento)?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 testar informações sobre o atendimento presencial pela Ouvidoria (Indicação de endereço físico e telefone, além do horário de funcionamento).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Canal presencial e digital; protocolo; prazo; acompanhamento; Carta de Serviços atualizada.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14.2.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canal eletrônico de acesso/interação com a ouvidoria?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 testar canal eletrônico de acesso/interação com a ouvidoria.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Canal presencial e digital; protocolo; prazo; acompanhamento; Carta de Serviços atualizada.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14.3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Carta de Serviços ao Usuário?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Carta de Serviços com serviços, requisitos, etapas, canais, prazos, compromissos e padrão de atendimento.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Canal presencial e digital; protocolo; prazo; acompanhamento; Carta de Serviços atualizada.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Lei Geral de Proteção de Dados (LGPD) e Governo Digital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 o encarregado/responsável pelo tratamento de dados pessoais e disponibiliza Canal de Comunicação com esse servidor (telefone e/ou e-mail)?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Identificar e manter atualizados o encarregado/responsável pelo tratamento de dados pessoais e disponibiliza Canal de Comunicação com esse servidor (telefone e/ou e-mail).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15.2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 a sua Política de Privacidade e Proteção de Dados?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no prazo e preservar a sua Política de Privacidade e Proteção de Dados.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Possibilita a demanda e o acesso a serviços públicos por meio digital, sem necessidade de solicitação presencial?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 testar a demanda e o acesso a serviços públicos por meio digital, sem necessidade de solicitação presencial.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Possibilita o acesso automatizado por sistemas externos em dados abertos  (estruturados e legíveis por máquina), e a página contém as regras de utilização?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Oferecer CSV, XLSX ou JSON, metadados, dicionário e API ou endpoint documentado, com regras claras de reutilização.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15.5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Regulamenta a Lei Federal nº 14.129/2021 (Governo Digital) e divulga a normativa em seu portal?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Informar se houve adoção municipal da Lei nº 14.129/2021 e publicar a norma; se ausente, propor regulamentação local.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15.6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Realiza e divulga resultados de pesquisas de satisfação?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Realizar periodicamente e divulgar e divulga resultados de pesquisas de satisfação.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2"/>
        <w:keepNext/>
      </w:pPr>
      <w:r>
        <w:t>Atividades Finalísticas - PL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AÇÃO DE MELHORIA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20.1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composição da Casa, com a biografia dos parlamentares?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composição da Casa, com a biografia dos parlamentares.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20.2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leis e atos infralegais (resoluções, decretos, etc.) produzidos?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as leis e atos infralegais (resoluções, decretos, etc.) produzidos.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20.3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projetos de leis e de atos infralegais, bem como as respectivas tramitações (contemplando ementa, documentos anexos, situação atual e autor/relator)?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tramitação legislativa completa: ementa, autoria, relatoria, anexos, pareceres, emendas, situação e histórico.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20.4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pauta das sessões do Plenário?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pauta das sessões do Plenário.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20.5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pauta das Comissões?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pautas das comissões com antecedência e manter arquivo por comissão, data e matéria.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20.6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atas das sessões, incluindo a lista de presença dos parlamentares em cada sessão?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atas e presenças em formato pesquisável, ligadas à sessão, pauta, vídeo e votações.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20.7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lista sobre as votações nominais?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consulta de votações nominais por matéria, sessão, vereador e resultado.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20.8</w:t>
            </w:r>
          </w:p>
        </w:tc>
        <w:tc>
          <w:tcPr>
            <w:tcW w:type="dxa" w:w="1250"/>
            <w:vAlign w:val="top"/>
            <w:shd w:fill="F4F7FA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Obrigatória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ato que aprecia as Contas do Chefe do Poder Executivo (Decreto) e o teor do julgamento (Ata ou Resumo da Sessão que aprovou ou rejeitou as contas)?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Reunir decreto legislativo, parecer prévio do TCE, ata e resultado do julgamento das contas do Executivo.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20.9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transmissão de sessões, audiências públicas, consultas públicas ou outras formas de participação popular via meios de comunicação como rádio, TV, internet, entre outros?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Transmitir e arquivar sessões e audiências, com data, pauta, descrição, capítulos e link permanente.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20.10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regulamentação e os valores relativos às cotas para exercício da atividade parlamentar/verba indenizatória?</w:t>
            </w:r>
          </w:p>
        </w:tc>
        <w:tc>
          <w:tcPr>
            <w:tcW w:type="dxa" w:w="286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norma, limites e valores de cotas/verbas, com prestação por parlamentar, competência e comprovantes.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20.11</w:t>
            </w:r>
          </w:p>
        </w:tc>
        <w:tc>
          <w:tcPr>
            <w:tcW w:type="dxa" w:w="1250"/>
            <w:vAlign w:val="top"/>
            <w:shd w:fill="EAF5EF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297A5B"/>
                <w:sz w:val="16"/>
              </w:rPr>
              <w:t>Recomendada</w:t>
            </w:r>
          </w:p>
        </w:tc>
        <w:tc>
          <w:tcPr>
            <w:tcW w:type="dxa" w:w="3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dados sobre as atividades legislativas dos parlamentares?</w:t>
            </w:r>
          </w:p>
        </w:tc>
        <w:tc>
          <w:tcPr>
            <w:tcW w:type="dxa" w:w="286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painel de atividades por parlamentar: proposições, relatorias, presenças, votações, comissões e despesas.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SAPL/site com URL permanente; documentos e anexos; autoria; tramitação; presença; votação e mídia.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687581"/>
          <w:sz w:val="17"/>
        </w:rPr>
        <w:t>Situação inicial sugerida: VALIDAR/REGULARIZAR - concluir até o 60º dia e registrar URL, data, responsável e evidência.</w:t>
      </w:r>
    </w:p>
    <w:p>
      <w:pPr>
        <w:pStyle w:val="Heading1"/>
      </w:pPr>
      <w:r>
        <w:t>Encaminhamento colaborativo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Sugere-se que este plano seja recebido como contribuição técnica e cidadã, submetido aos setores responsáveis e executado em até 60 dias, com indicação dos itens já atendidos, das correções aceitas, dos responsáveis e das datas de conclusão. A publicação da própria resposta e do cronograma reforçará a confiança, facilitará o controle interno e permitirá que a sociedade acompanhe os avanços de forma construtiva.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Resultado pretendido. </w:t>
            </w:r>
            <w:r>
              <w:rPr>
                <w:rFonts w:ascii="Calibri" w:hAnsi="Calibri"/>
                <w:color w:val="20262C"/>
                <w:sz w:val="20"/>
              </w:rPr>
              <w:t>Um portal confiável, atualizado, acessível e reutilizável, capaz de apoiar o cidadão, a gestão, os vereadores, o controle interno e os órgãos de fiscalização - com menos retrabalho e maior clareza sobre cada entrega.</w:t>
            </w:r>
          </w:p>
        </w:tc>
      </w:tr>
    </w:tbl>
    <w:p>
      <w:pPr>
        <w:keepLines/>
        <w:spacing w:before="120"/>
        <w:jc w:val="center"/>
      </w:pPr>
      <w:r>
        <w:rPr>
          <w:rFonts w:ascii="Calibri" w:hAnsi="Calibri"/>
          <w:b/>
          <w:color w:val="17324D"/>
          <w:sz w:val="22"/>
        </w:rPr>
        <w:t>FISCALIZA VARGINHA</w:t>
      </w:r>
      <w:r>
        <w:rPr>
          <w:rFonts w:ascii="Calibri" w:hAnsi="Calibri"/>
          <w:color w:val="687581"/>
          <w:sz w:val="19"/>
        </w:rPr>
        <w:br/>
        <w:t>Iniciativa cidadã independente e apartidária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Calibri" w:hAnsi="Calibri"/>
        <w:color w:val="687581"/>
        <w:sz w:val="17"/>
      </w:rPr>
      <w:t xml:space="preserve">Contribuição cidadã independente • Plano colaborativo • Página </w:t>
    </w:r>
    <w:r>
      <w:rPr>
        <w:rFonts w:ascii="Calibri" w:hAnsi="Calibri"/>
        <w:color w:val="687581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638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6100"/>
      <w:gridCol w:w="3538"/>
    </w:tblGrid>
    <w:tr>
      <w:tc>
        <w:tcPr>
          <w:tcW w:type="dxa" w:w="6100"/>
          <w:tcMar>
            <w:top w:w="80" w:type="dxa"/>
            <w:start w:w="120" w:type="dxa"/>
            <w:bottom w:w="80" w:type="dxa"/>
            <w:end w:w="120" w:type="dxa"/>
          </w:tcMar>
          <w:shd w:fill="17324D"/>
          <w:vAlign w:val="center"/>
        </w:tcPr>
        <w:p>
          <w:pPr>
            <w:spacing w:after="0"/>
            <w:jc w:val="left"/>
          </w:pPr>
          <w:r>
            <w:rPr>
              <w:rFonts w:ascii="Calibri" w:hAnsi="Calibri"/>
              <w:b/>
              <w:color w:val="FFFFFF"/>
              <w:sz w:val="18"/>
            </w:rPr>
            <w:t>FISCALIZA VARGINHA</w:t>
          </w:r>
        </w:p>
      </w:tc>
      <w:tc>
        <w:tcPr>
          <w:tcW w:type="dxa" w:w="3538"/>
          <w:tcMar>
            <w:top w:w="80" w:type="dxa"/>
            <w:start w:w="120" w:type="dxa"/>
            <w:bottom w:w="80" w:type="dxa"/>
            <w:end w:w="120" w:type="dxa"/>
          </w:tcMar>
          <w:shd w:fill="1F5D8F"/>
          <w:vAlign w:val="center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color w:val="FFFFFF"/>
              <w:sz w:val="18"/>
            </w:rPr>
            <w:t>CÂMARA MUNICIPAL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Calibri" w:hAnsi="Calibri"/>
      <w:color w:val="2026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5D8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5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amaravarginha.mg.gov.br/transparencia" TargetMode="External"/><Relationship Id="rId12" Type="http://schemas.openxmlformats.org/officeDocument/2006/relationships/hyperlink" Target="https://radardatransparencia.atricon.org.br/downloads.html" TargetMode="External"/><Relationship Id="rId13" Type="http://schemas.openxmlformats.org/officeDocument/2006/relationships/hyperlink" Target="https://radardatransparencia.atricon.org.br/pdf/Cartilha-PNTP-2025.pdf" TargetMode="External"/><Relationship Id="rId14" Type="http://schemas.openxmlformats.org/officeDocument/2006/relationships/hyperlink" Target="https://radartransparente.com.br/avaliacao/5518baf1-b161-4f79-b364-94c64e2af7bb" TargetMode="External"/><Relationship Id="rId15" Type="http://schemas.openxmlformats.org/officeDocument/2006/relationships/hyperlink" Target="https://www.planalto.gov.br/ccivil_03/_ato2011-2014/2011/lei/l12527.htm" TargetMode="External"/><Relationship Id="rId16" Type="http://schemas.openxmlformats.org/officeDocument/2006/relationships/hyperlink" Target="https://sapl.varginha.mg.leg.br/media/sapl/public/normajuridica/2013/5880/lei5729-2013.pdf" TargetMode="External"/><Relationship Id="rId17" Type="http://schemas.openxmlformats.org/officeDocument/2006/relationships/hyperlink" Target="https://www.planalto.gov.br/ccivil_03/leis/lcp/lcp101.htm" TargetMode="External"/><Relationship Id="rId18" Type="http://schemas.openxmlformats.org/officeDocument/2006/relationships/hyperlink" Target="https://www.planalto.gov.br/ccivil_03/_ato2019-2022/2020/decreto/d10540.htm" TargetMode="External"/><Relationship Id="rId19" Type="http://schemas.openxmlformats.org/officeDocument/2006/relationships/hyperlink" Target="https://www.planalto.gov.br/ccivil_03/_ato2019-2022/2021/lei/l14133.htm" TargetMode="External"/><Relationship Id="rId20" Type="http://schemas.openxmlformats.org/officeDocument/2006/relationships/hyperlink" Target="https://www.planalto.gov.br/ccivil_03/_ato2015-2018/2017/lei/l13460.htm" TargetMode="External"/><Relationship Id="rId21" Type="http://schemas.openxmlformats.org/officeDocument/2006/relationships/hyperlink" Target="https://www.planalto.gov.br/ccivil_03/_ato2015-2018/2018/lei/l13709compilado.htm" TargetMode="External"/><Relationship Id="rId22" Type="http://schemas.openxmlformats.org/officeDocument/2006/relationships/hyperlink" Target="https://www.planalto.gov.br/ccivil_03/_ato2015-2018/2015/lei/l1314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Colaborativo de Melhoria do Portal da Transparência da Câmara de Varginha</dc:title>
  <dc:subject>Diagnóstico e regularização integral do portal em 60 dias</dc:subject>
  <dc:creator>Fiscaliza Varginha</dc:creator>
  <cp:keywords>transparência, Câmara Municipal, Varginha, PNTP, controle social</cp:keywords>
  <dc:description>Documento colaborativo, sem presunção de irregularidade.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