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5D8F"/>
          <w:sz w:val="20"/>
        </w:rPr>
        <w:t>PORTAL DA TRANSPARÊNCIA</w:t>
      </w:r>
    </w:p>
    <w:p>
      <w:pPr>
        <w:spacing w:after="80"/>
      </w:pPr>
      <w:r>
        <w:rPr>
          <w:rFonts w:ascii="Calibri" w:hAnsi="Calibri"/>
          <w:b/>
          <w:color w:val="17324D"/>
          <w:sz w:val="50"/>
        </w:rPr>
        <w:t>Prefeitura Municipal de Varginha</w:t>
      </w:r>
    </w:p>
    <w:p>
      <w:pPr>
        <w:spacing w:after="240"/>
      </w:pPr>
      <w:r>
        <w:rPr>
          <w:rFonts w:ascii="Calibri" w:hAnsi="Calibri"/>
          <w:b/>
          <w:color w:val="1F5D8F"/>
          <w:sz w:val="26"/>
        </w:rPr>
        <w:t>Diagnóstico de falhas e plano colaborativo de regularização integral em 60 dias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38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DESTINATÁRIO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Prefeitura Municipal de Varginha — Poder Executivo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PROPONENTE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Fiscaliza Varginha — iniciativa cidadã independente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DATA-BASE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25 de julho de 2026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FINALIDADE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Apoiar a correção das pendências, o cumprimento dos prazos legais e a melhoria da transparência ativa.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Tom e finalidade. </w:t>
            </w:r>
            <w:r>
              <w:rPr>
                <w:rFonts w:ascii="Calibri" w:hAnsi="Calibri"/>
                <w:color w:val="20262C"/>
                <w:sz w:val="20"/>
              </w:rPr>
              <w:t>O documento reconhece os avanços já existentes, registra falhas, deficiências e atrasos que precisam ser enfrentados e propõe cooperação técnica para concluir a regularização em 60 dias. Não presume dolo ou irregularidade e não substitui a avaliação oficial do Tribunal de Contas.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Síntese executiva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O resultado público anteriormente consultado para a Prefeitura indicou índice geral de 81,8%, classificação “Elevado” e atendimento de 81,8% dos critérios essenciais. O desempenho demonstra uma base relevante, mas ainda não representa atendimento integral: critérios essenciais abaixo de 100%, publicações atrasadas e lacunas de qualidade impedem a conclusão plena do ciclo.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shd w:fill="1F5D8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81,8%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ÍNDICE INFORMADO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ELEVADO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NÍVEL INFORMADO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shd w:fill="A33A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81,8%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ESSENCIAIS INFORMADOS</w:t>
            </w:r>
          </w:p>
        </w:tc>
        <w:tc>
          <w:tcPr>
            <w:tcW w:type="dxa" w:w="2411"/>
            <w:tcMar>
              <w:top w:w="80" w:type="dxa"/>
              <w:start w:w="120" w:type="dxa"/>
              <w:bottom w:w="80" w:type="dxa"/>
              <w:end w:w="120" w:type="dxa"/>
            </w:tcMar>
            <w:shd w:fill="297A5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60 DIAS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META DE CONCLUSÃO</w:t>
            </w:r>
          </w:p>
        </w:tc>
      </w:tr>
    </w:tbl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A Prefeitura mantém portal institucional, área de dados abertos, Diário Oficial e sistemas temáticos. O desafio é tornar esse conjunto uma experiência única e verificável, com conteúdo completo, atualizado, pesquisável, exportável, acessível e ligado aos respectivos atos, processos e registros contábeis.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  <w:tcBorders>
              <w:left w:val="single" w:sz="18" w:color="8A65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Escopo completo. </w:t>
            </w:r>
            <w:r>
              <w:rPr>
                <w:rFonts w:ascii="Calibri" w:hAnsi="Calibri"/>
                <w:color w:val="20262C"/>
                <w:sz w:val="20"/>
              </w:rPr>
              <w:t>A matriz PNTP 2026 reúne 96 critérios aplicáveis ao Executivo municipal: 12 essenciais, 65 obrigatórios e 19 recomendados. O Anexo A converte todos eles em ações e evidências de entrega.</w:t>
            </w:r>
          </w:p>
        </w:tc>
      </w:tr>
    </w:tbl>
    <w:p>
      <w:pPr>
        <w:spacing w:after="0" w:before="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Meta de 60 dias. </w:t>
            </w:r>
            <w:r>
              <w:rPr>
                <w:rFonts w:ascii="Calibri" w:hAnsi="Calibri"/>
                <w:color w:val="20262C"/>
                <w:sz w:val="20"/>
              </w:rPr>
              <w:t>Até o encerramento do período, os 96 critérios deverão estar validados; o passivo de publicações deverá estar regularizado; e cada item aplicável deverá possuir URL, evidência, responsável, data de atualização e teste final registrados.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2. Como os apontamentos foram classificados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4038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0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TRATAMENTO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Falha confirmada</w:t>
            </w:r>
          </w:p>
        </w:tc>
        <w:tc>
          <w:tcPr>
            <w:tcW w:type="dxa" w:w="3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Resultado público ou ausência objetivamente verificável.</w:t>
            </w:r>
          </w:p>
        </w:tc>
        <w:tc>
          <w:tcPr>
            <w:tcW w:type="dxa" w:w="40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Corrigir, publicar evidência e registrar a data.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Deficiência observada</w:t>
            </w:r>
          </w:p>
        </w:tc>
        <w:tc>
          <w:tcPr>
            <w:tcW w:type="dxa" w:w="3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Barreira de navegação, organização ou forma de entrega.</w:t>
            </w:r>
          </w:p>
        </w:tc>
        <w:tc>
          <w:tcPr>
            <w:tcW w:type="dxa" w:w="40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Validar com o setor e ajustar a experiência.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Atraso relatado</w:t>
            </w:r>
          </w:p>
        </w:tc>
        <w:tc>
          <w:tcPr>
            <w:tcW w:type="dxa" w:w="3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Entrega informada como pendente ou fora da rotina esperada.</w:t>
            </w:r>
          </w:p>
        </w:tc>
        <w:tc>
          <w:tcPr>
            <w:tcW w:type="dxa" w:w="40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Inventariar, atribuir responsável e recuperar o passivo.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Item a validar</w:t>
            </w:r>
          </w:p>
        </w:tc>
        <w:tc>
          <w:tcPr>
            <w:tcW w:type="dxa" w:w="3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Critério sem espelho detalhado público disponível.</w:t>
            </w:r>
          </w:p>
        </w:tc>
        <w:tc>
          <w:tcPr>
            <w:tcW w:type="dxa" w:w="40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Conferir sem presumir falha antes da validação.</w:t>
            </w:r>
          </w:p>
        </w:tc>
      </w:tr>
    </w:tbl>
    <w:p>
      <w:pPr>
        <w:pStyle w:val="Heading1"/>
      </w:pPr>
      <w:r>
        <w:t>3. Apontamento das principais falhas e deficiências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500"/>
        <w:gridCol w:w="2580"/>
        <w:gridCol w:w="3938"/>
        <w:gridCol w:w="10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APONTAMENTO</w:t>
            </w:r>
          </w:p>
        </w:tc>
        <w:tc>
          <w:tcPr>
            <w:tcW w:type="dxa" w:w="39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MELHORIA COLABORATIVA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PRAZO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F-01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Falha confirmada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Índice geral informado de 81,8%, ainda sem atendimento integral.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plano critério a critério e evidenciar a correção dos itens restantes.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Imediata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F-02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Falha confirmada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Essenciais informados em 81,8%, abaixo dos 100% necessários ao selo.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Priorizar todos os essenciais não atendidos ou parciais.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Imediata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F-03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Atraso relatado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entregas e publicações em atraso, sem inventário público consolidado.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força-tarefa, listar o passivo por competência e publicar calendário.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F-04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observada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Conteúdo distribuído entre portal, dados abertos, Diário Oficial, sistemas, legislação e PNCP.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página única por tema com links diretos, contexto, período e responsável.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F-05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observada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Não há painel único de atualidade, cobertura histórica e responsável por base.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Exibir última atualização, competência, formato, setor e próxima carga.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F-06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Não está disponível um espelho público PNTP critério a critério.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matriz com status, URL, evidência, responsável e revisão.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F-07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PPA, LDO, LOA, RREO, RGF e anexos exigem centralização, versões e vínculos.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repositório orçamentário por ciclo, exercício e período.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0-30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F-08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Saúde, educação, assistência, filas e medicamentos exigem atualização frequente e data clara.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Definir carga, indicador de atualidade, histórico e proteção adequada.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0-45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F-09</w:t>
            </w:r>
          </w:p>
        </w:tc>
        <w:tc>
          <w:tcPr>
            <w:tcW w:type="dxa" w:w="15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Item a validar</w:t>
            </w:r>
          </w:p>
        </w:tc>
        <w:tc>
          <w:tcPr>
            <w:tcW w:type="dxa" w:w="258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Renúncias e emendas precisam permitir rastrear fundamento, beneficiário, objeto e execução.</w:t>
            </w:r>
          </w:p>
        </w:tc>
        <w:tc>
          <w:tcPr>
            <w:tcW w:type="dxa" w:w="3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bases abertas e relacionar previsão, concessão e execução.</w:t>
            </w:r>
          </w:p>
        </w:tc>
        <w:tc>
          <w:tcPr>
            <w:tcW w:type="dxa" w:w="10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0-45 dias</w:t>
            </w:r>
          </w:p>
        </w:tc>
      </w:tr>
      <w:tr>
        <w:trPr>
          <w:cantSplit/>
        </w:trPr>
        <w:tc>
          <w:tcPr>
            <w:tcW w:type="dxa" w:w="62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F-10</w:t>
            </w:r>
          </w:p>
        </w:tc>
        <w:tc>
          <w:tcPr>
            <w:tcW w:type="dxa" w:w="15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Deficiência de governança</w:t>
            </w:r>
          </w:p>
        </w:tc>
        <w:tc>
          <w:tcPr>
            <w:tcW w:type="dxa" w:w="258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Não está visível rotina pública única de responsáveis, prazos e testes.</w:t>
            </w:r>
          </w:p>
        </w:tc>
        <w:tc>
          <w:tcPr>
            <w:tcW w:type="dxa" w:w="3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Instituir comitê, calendário, alertas, painel e revisão mensal.</w:t>
            </w:r>
          </w:p>
        </w:tc>
        <w:tc>
          <w:tcPr>
            <w:tcW w:type="dxa" w:w="10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0-10 dias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BEDEC"/>
            <w:tcBorders>
              <w:left w:val="single" w:sz="18" w:color="A33A32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Cautela metodológica. </w:t>
            </w:r>
            <w:r>
              <w:rPr>
                <w:rFonts w:ascii="Calibri" w:hAnsi="Calibri"/>
                <w:color w:val="20262C"/>
                <w:sz w:val="20"/>
              </w:rPr>
              <w:t>Como o espelho detalhado da avaliação não estava disponível na página pública consultada, não se atribui automaticamente cada critério como falha. A Prefeitura poderá validar o anexo, identificar o que já atende e concentrar a correção nos itens parciais, atrasados ou ausentes.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4. Plano de regularização integral em 60 dias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00"/>
        <w:gridCol w:w="4438"/>
        <w:gridCol w:w="215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JANELA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FOCO</w:t>
            </w:r>
          </w:p>
        </w:tc>
        <w:tc>
          <w:tcPr>
            <w:tcW w:type="dxa" w:w="44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ENTREGAS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1-10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Governança e diagnóstico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Nomear ponto focal; reunir setores; validar 96 critérios; listar atrasos, links, documentos e dependências.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classificados, com responsável e prazo.</w:t>
            </w:r>
          </w:p>
        </w:tc>
      </w:tr>
      <w:tr>
        <w:trPr>
          <w:cantSplit/>
        </w:trPr>
        <w:tc>
          <w:tcPr>
            <w:tcW w:type="dxa" w:w="12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11-20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Essenciais e fiscal</w:t>
            </w:r>
          </w:p>
        </w:tc>
        <w:tc>
          <w:tcPr>
            <w:tcW w:type="dxa" w:w="4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Corrigir essenciais; completar receita, despesa, dívida ativa, RREO, RGF, PPA, LDO, LOA e contas.</w:t>
            </w:r>
          </w:p>
        </w:tc>
        <w:tc>
          <w:tcPr>
            <w:tcW w:type="dxa" w:w="21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100% dos essenciais com evidência testada.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21-30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Passivo de publicações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Regularizar documentos vencidos de pessoal, diárias, compras, contratos, obras, convênios e prestação de contas.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Passivo integralmente publicado e datado.</w:t>
            </w:r>
          </w:p>
        </w:tc>
      </w:tr>
      <w:tr>
        <w:trPr>
          <w:cantSplit/>
        </w:trPr>
        <w:tc>
          <w:tcPr>
            <w:tcW w:type="dxa" w:w="12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31-40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Dados e atendimento</w:t>
            </w:r>
          </w:p>
        </w:tc>
        <w:tc>
          <w:tcPr>
            <w:tcW w:type="dxa" w:w="4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Implantar busca, filtros, exportação, metadados, SIC, Ouvidoria, Carta de Serviços, LGPD e acessibilidade.</w:t>
            </w:r>
          </w:p>
        </w:tc>
        <w:tc>
          <w:tcPr>
            <w:tcW w:type="dxa" w:w="21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Bases abertas, pesquisáveis e acessíveis.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41-50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Políticas finalísticas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Completar saúde, educação, assistência, renúncias, emendas, conselhos, filas e medicamentos.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Políticas e recursos rastreáveis.</w:t>
            </w:r>
          </w:p>
        </w:tc>
      </w:tr>
      <w:tr>
        <w:trPr>
          <w:cantSplit/>
        </w:trPr>
        <w:tc>
          <w:tcPr>
            <w:tcW w:type="dxa" w:w="12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Dias 51-60</w:t>
            </w:r>
          </w:p>
        </w:tc>
        <w:tc>
          <w:tcPr>
            <w:tcW w:type="dxa" w:w="18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Teste e entrega</w:t>
            </w:r>
          </w:p>
        </w:tc>
        <w:tc>
          <w:tcPr>
            <w:tcW w:type="dxa" w:w="4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Testar 96 critérios, corrigir remanescentes e publicar matriz final, evidências, histórico e relatório.</w:t>
            </w:r>
          </w:p>
        </w:tc>
        <w:tc>
          <w:tcPr>
            <w:tcW w:type="dxa" w:w="21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Nenhuma pendência aplicável aberta.</w:t>
            </w:r>
          </w:p>
        </w:tc>
      </w:tr>
      <w:tr>
        <w:trPr>
          <w:cantSplit/>
        </w:trPr>
        <w:tc>
          <w:tcPr>
            <w:tcW w:type="dxa" w:w="12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Após o dia 60</w:t>
            </w:r>
          </w:p>
        </w:tc>
        <w:tc>
          <w:tcPr>
            <w:tcW w:type="dxa" w:w="18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Manutenção</w:t>
            </w:r>
          </w:p>
        </w:tc>
        <w:tc>
          <w:tcPr>
            <w:tcW w:type="dxa" w:w="4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Revisão mensal, alertas de prazo, testes trimestrais e registro público de regressões.</w:t>
            </w:r>
          </w:p>
        </w:tc>
        <w:tc>
          <w:tcPr>
            <w:tcW w:type="dxa" w:w="21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Impedir novos atrasos.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Regra de conclusão. </w:t>
            </w:r>
            <w:r>
              <w:rPr>
                <w:rFonts w:ascii="Calibri" w:hAnsi="Calibri"/>
                <w:color w:val="20262C"/>
                <w:sz w:val="20"/>
              </w:rPr>
              <w:t>Uma ação somente será concluída com publicação acessível, URL direta, conteúdo integral, data de atualização, responsável e teste registrado. Dependência de fornecedor deverá ter solução alternativa e não poderá manter informação indisponível após o 60º dia.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5. Pacotes de melhoria por área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7088"/>
      </w:tblGrid>
      <w:tr>
        <w:trPr>
          <w:tblHeader w:val="true"/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08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MELHORIAS PROPOSTAS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Governança e arquitetura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Matriz pública, responsáveis, calendário, páginas temáticas, URLs permanentes, busca e alertas.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Receita, despesa e dívida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Previsão/realização; classificação; empenho/liquidação/pagamento; credor; processo; dívida ativa; exportação.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Planejamento e contas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PPA, LDO, LOA, RREO, RGF, balanços, metas, audiências, decisões e séries históricas.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Compras, contratos e obras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Processo integral, PNCP, aditivos, fiscais, execução, medições, pagamentos, fotos e paralisações.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Pessoal e diárias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Base nominal, remuneração, lotação, vínculos, atos, concursos, terceirizados, viagens e exportação.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Convênios e transferências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Instrumento, partes, objeto, valores, vigência, execução, prestação e inteiro teor.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Renúncias e emendas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Base legal, beneficiários, valores, autores, objetos, planos, empenhos, pagamentos e resultados.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Saúde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Plano, serviços, profissionais, listas de espera, critérios, medicamentos, despesas, indicadores e conselho.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Educação e assistência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Planos, metas, vagas, listas, critérios, serviços, benefícios, resultados e conselhos.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SIC, Ouvidoria e Carta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Canais simples, protocolos, prazos, recursos, estatísticas, serviços e acompanhamento.</w:t>
            </w:r>
          </w:p>
        </w:tc>
      </w:tr>
      <w:tr>
        <w:trPr>
          <w:cantSplit/>
        </w:trPr>
        <w:tc>
          <w:tcPr>
            <w:tcW w:type="dxa" w:w="25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Dados abertos e integração</w:t>
            </w:r>
          </w:p>
        </w:tc>
        <w:tc>
          <w:tcPr>
            <w:tcW w:type="dxa" w:w="70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CSV/XLSX/JSON, dicionário, metadados, APIs e chaves entre processo, contrato, empenho e pagamento.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Acessibilidade, LGPD e participação</w:t>
            </w:r>
          </w:p>
        </w:tc>
        <w:tc>
          <w:tcPr>
            <w:tcW w:type="dxa" w:w="70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Teclado, leitor de tela, contraste, linguagem simples, acesso parcial, audiências e devolutivas.</w:t>
            </w:r>
          </w:p>
        </w:tc>
      </w:tr>
    </w:tbl>
    <w:p>
      <w:pPr>
        <w:pStyle w:val="Heading1"/>
      </w:pPr>
      <w:r>
        <w:t>6. Padrão mínimo para cada publicação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38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5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PADRÃO DE ENTREGA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Identificação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Título, unidade, responsável, exercício/competência e descrição.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Atualidade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 do registro, publicação, última atualização e periodicidade.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Completude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Conteúdo integral e anexos; declaração negativa quando o evento não ocorreu.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Formato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Consulta e exportação integral em CSV, XLSX ou JSON; PDF como complemento.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Pesquisa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Busca textual, filtros combináveis, ordenação e paginação transparente.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Histórico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Ao menos três exercícios ou período legal; versões anteriores preservadas.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Integração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Chaves entre processo, licitação, contrato, empenho, pagamento e PNCP.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Acessibilidade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Teclado, leitor de tela, contraste, redimensionamento e documentos pesquisáveis.</w:t>
            </w:r>
          </w:p>
        </w:tc>
      </w:tr>
      <w:tr>
        <w:trPr>
          <w:cantSplit/>
        </w:trPr>
        <w:tc>
          <w:tcPr>
            <w:tcW w:type="dxa" w:w="21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Rastreabilidade</w:t>
            </w:r>
          </w:p>
        </w:tc>
        <w:tc>
          <w:tcPr>
            <w:tcW w:type="dxa" w:w="75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URL permanente, fonte, versão, dicionário de dados e contato técnico.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Proteção de dados</w:t>
            </w:r>
          </w:p>
        </w:tc>
        <w:tc>
          <w:tcPr>
            <w:tcW w:type="dxa" w:w="75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Ocultar apenas o trecho protegido, fornecer a parte pública e indicar a base legal.</w:t>
            </w:r>
          </w:p>
        </w:tc>
      </w:tr>
    </w:tbl>
    <w:p>
      <w:pPr>
        <w:pStyle w:val="Heading1"/>
      </w:pPr>
      <w:r>
        <w:t>7. Prazos e periodicidades prioritários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88"/>
        <w:gridCol w:w="265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438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PRAZO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BASE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Execução orçamentária e financeira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Até o primeiro dia útil após o registro contábil.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Decreto nº 10.540/2020.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Pedido de acesso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Imediato; se inviável, 20 dias + uma prorrogação de 10, justificada.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LAI e Lei Municipal nº 5.729/2013.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Ouvidoria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30 dias + uma prorrogação de 30, justificada.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13.460/2017.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RREO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Até 30 dias após cada bimestre.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LRF, arts. 52 e 53.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RGF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Até 30 dias após cada quadrimestre.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LRF, arts. 54 e 55.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Metas fiscais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Audiências até o fim de fevereiro, maio e setembro.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LRF, art. 9º, §4º.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Programação financeira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Até 30 dias após a publicação do orçamento.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LRF, art. 8º.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Contratos no PNCP</w:t>
            </w:r>
          </w:p>
        </w:tc>
        <w:tc>
          <w:tcPr>
            <w:tcW w:type="dxa" w:w="438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20 dias úteis após licitação; 10 dias úteis na contratação direta.</w:t>
            </w:r>
          </w:p>
        </w:tc>
        <w:tc>
          <w:tcPr>
            <w:tcW w:type="dxa" w:w="265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14.133/2021, art. 94.</w:t>
            </w:r>
          </w:p>
        </w:tc>
      </w:tr>
      <w:tr>
        <w:trPr>
          <w:cantSplit/>
        </w:trPr>
        <w:tc>
          <w:tcPr>
            <w:tcW w:type="dxa" w:w="26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7"/>
              </w:rPr>
              <w:t>Obras</w:t>
            </w:r>
          </w:p>
        </w:tc>
        <w:tc>
          <w:tcPr>
            <w:tcW w:type="dxa" w:w="438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Quantidades/preços em 25 dias úteis; executados/pagos em 45 dias úteis da conclusão.</w:t>
            </w:r>
          </w:p>
        </w:tc>
        <w:tc>
          <w:tcPr>
            <w:tcW w:type="dxa" w:w="265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7"/>
              </w:rPr>
              <w:t>Lei nº 14.133/2021, art. 94, §3º.</w:t>
            </w:r>
          </w:p>
        </w:tc>
      </w:tr>
    </w:tbl>
    <w:p>
      <w:pPr>
        <w:pStyle w:val="Heading1"/>
      </w:pPr>
      <w:r>
        <w:t>8. Governança participativa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938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69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CONTRIBUIÇÃO SUGERIDA</w:t>
            </w:r>
          </w:p>
        </w:tc>
      </w:tr>
      <w:tr>
        <w:trPr>
          <w:cantSplit/>
        </w:trPr>
        <w:tc>
          <w:tcPr>
            <w:tcW w:type="dxa" w:w="2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Gabinete e Secretaria de Governo</w:t>
            </w:r>
          </w:p>
        </w:tc>
        <w:tc>
          <w:tcPr>
            <w:tcW w:type="dxa" w:w="6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Patrocinar o plano, remover impedimentos e acompanhar marcos.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Controladoria</w:t>
            </w:r>
          </w:p>
        </w:tc>
        <w:tc>
          <w:tcPr>
            <w:tcW w:type="dxa" w:w="6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Validar critérios, evidências, prazos e correções.</w:t>
            </w:r>
          </w:p>
        </w:tc>
      </w:tr>
      <w:tr>
        <w:trPr>
          <w:cantSplit/>
        </w:trPr>
        <w:tc>
          <w:tcPr>
            <w:tcW w:type="dxa" w:w="2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Fazenda e Contabilidade</w:t>
            </w:r>
          </w:p>
        </w:tc>
        <w:tc>
          <w:tcPr>
            <w:tcW w:type="dxa" w:w="6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Atualizar receita, despesa, dívida, relatórios, orçamento e contas.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Planejamento</w:t>
            </w:r>
          </w:p>
        </w:tc>
        <w:tc>
          <w:tcPr>
            <w:tcW w:type="dxa" w:w="6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Coordenar PPA, LDO, LOA, metas, indicadores e audiências.</w:t>
            </w:r>
          </w:p>
        </w:tc>
      </w:tr>
      <w:tr>
        <w:trPr>
          <w:cantSplit/>
        </w:trPr>
        <w:tc>
          <w:tcPr>
            <w:tcW w:type="dxa" w:w="2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Administração e RH</w:t>
            </w:r>
          </w:p>
        </w:tc>
        <w:tc>
          <w:tcPr>
            <w:tcW w:type="dxa" w:w="6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Atualizar pessoal, remuneração, cargos, concursos, terceirizados e diárias.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Compras, Contratos e Obras</w:t>
            </w:r>
          </w:p>
        </w:tc>
        <w:tc>
          <w:tcPr>
            <w:tcW w:type="dxa" w:w="6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Publicar processos, PNCP, instrumentos, execução, medições e pagamentos.</w:t>
            </w:r>
          </w:p>
        </w:tc>
      </w:tr>
      <w:tr>
        <w:trPr>
          <w:cantSplit/>
        </w:trPr>
        <w:tc>
          <w:tcPr>
            <w:tcW w:type="dxa" w:w="2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Saúde, Educação e Assistência</w:t>
            </w:r>
          </w:p>
        </w:tc>
        <w:tc>
          <w:tcPr>
            <w:tcW w:type="dxa" w:w="6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Atualizar serviços, filas, estoques, metas, resultados e conselhos.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SIC, Ouvidoria e LGPD</w:t>
            </w:r>
          </w:p>
        </w:tc>
        <w:tc>
          <w:tcPr>
            <w:tcW w:type="dxa" w:w="6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Garantir canais, prazos, relatórios, Carta, privacidade e acesso parcial.</w:t>
            </w:r>
          </w:p>
        </w:tc>
      </w:tr>
      <w:tr>
        <w:trPr>
          <w:cantSplit/>
        </w:trPr>
        <w:tc>
          <w:tcPr>
            <w:tcW w:type="dxa" w:w="27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Tecnologia e Comunicação</w:t>
            </w:r>
          </w:p>
        </w:tc>
        <w:tc>
          <w:tcPr>
            <w:tcW w:type="dxa" w:w="69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Garantir disponibilidade, integração, acessibilidade, dados abertos e linguagem cidadã.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Sociedade civil</w:t>
            </w:r>
          </w:p>
        </w:tc>
        <w:tc>
          <w:tcPr>
            <w:tcW w:type="dxa" w:w="69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Testar o portal, indicar barreiras e acompanhar a matriz pública.</w:t>
            </w:r>
          </w:p>
        </w:tc>
      </w:tr>
    </w:tbl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Proposta de participação. </w:t>
            </w:r>
            <w:r>
              <w:rPr>
                <w:rFonts w:ascii="Calibri" w:hAnsi="Calibri"/>
                <w:color w:val="20262C"/>
                <w:sz w:val="20"/>
              </w:rPr>
              <w:t>Sugere-se reunião técnica inicial e devolutiva pública no 30º e no 60º dia. O Fiscaliza Varginha pode contribuir com testes de navegação, organização das evidências e comunicação em linguagem cidadã, respeitada a autonomia administrativa da Prefeitura.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9. Painel público de acompanhamento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O painel deve conter uma linha por critério e permanecer público entre os ciclos de avaliação.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38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43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Critério PNTP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ID, classe, matriz e descrição.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Situação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Atende; parcial; não atende; não se aplica; em validação.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Evidência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URL direta, arquivo, tela ou relatório comprobatório.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Qualidade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Disponibilidade, atualidade, histórico, exportação e pesquisa.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Responsável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Secretaria, setor e agente encarregado.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Prazo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 prevista e data efetiva.</w:t>
            </w:r>
          </w:p>
        </w:tc>
      </w:tr>
      <w:tr>
        <w:trPr>
          <w:cantSplit/>
        </w:trPr>
        <w:tc>
          <w:tcPr>
            <w:tcW w:type="dxa" w:w="2200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Observação</w:t>
            </w:r>
          </w:p>
        </w:tc>
        <w:tc>
          <w:tcPr>
            <w:tcW w:type="dxa" w:w="743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Pendência, justificativa, dependência e próxima ação.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5D8F"/>
                <w:sz w:val="18"/>
              </w:rPr>
              <w:t>Revisão</w:t>
            </w:r>
          </w:p>
        </w:tc>
        <w:tc>
          <w:tcPr>
            <w:tcW w:type="dxa" w:w="7438"/>
            <w:vAlign w:val="top"/>
            <w:shd w:fill="F2F4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0262C"/>
                <w:sz w:val="18"/>
              </w:rPr>
              <w:t>Data, responsável e resultado do último teste.</w:t>
            </w:r>
          </w:p>
        </w:tc>
      </w:tr>
    </w:tbl>
    <w:p>
      <w:pPr>
        <w:pStyle w:val="Heading1"/>
      </w:pPr>
      <w:r>
        <w:t>10. Base normativa e referências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1. </w:t>
      </w:r>
      <w:hyperlink r:id="rId11">
        <w:r>
          <w:rPr>
            <w:color w:val="1F5D8F"/>
            <w:u w:val="single"/>
            <w:sz w:val="20"/>
          </w:rPr>
          <w:t>Portal da Transparência da Prefeitura</w:t>
        </w:r>
      </w:hyperlink>
      <w:r>
        <w:rPr>
          <w:rFonts w:ascii="Calibri" w:hAnsi="Calibri"/>
          <w:color w:val="20262C"/>
          <w:sz w:val="19"/>
        </w:rPr>
        <w:t xml:space="preserve"> — acesso institucional.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2. </w:t>
      </w:r>
      <w:hyperlink r:id="rId12">
        <w:r>
          <w:rPr>
            <w:color w:val="1F5D8F"/>
            <w:u w:val="single"/>
            <w:sz w:val="20"/>
          </w:rPr>
          <w:t>Dados Abertos da Prefeitura</w:t>
        </w:r>
      </w:hyperlink>
      <w:r>
        <w:rPr>
          <w:rFonts w:ascii="Calibri" w:hAnsi="Calibri"/>
          <w:color w:val="20262C"/>
          <w:sz w:val="19"/>
        </w:rPr>
        <w:t xml:space="preserve"> — bases e arquivos públicos.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3. </w:t>
      </w:r>
      <w:hyperlink r:id="rId13">
        <w:r>
          <w:rPr>
            <w:color w:val="1F5D8F"/>
            <w:u w:val="single"/>
            <w:sz w:val="20"/>
          </w:rPr>
          <w:t>Diário Oficial do Município</w:t>
        </w:r>
      </w:hyperlink>
      <w:r>
        <w:rPr>
          <w:rFonts w:ascii="Calibri" w:hAnsi="Calibri"/>
          <w:color w:val="20262C"/>
          <w:sz w:val="19"/>
        </w:rPr>
        <w:t xml:space="preserve"> — publicidade oficial.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4. </w:t>
      </w:r>
      <w:hyperlink r:id="rId14">
        <w:r>
          <w:rPr>
            <w:color w:val="1F5D8F"/>
            <w:u w:val="single"/>
            <w:sz w:val="20"/>
          </w:rPr>
          <w:t>Downloads oficiais PNTP</w:t>
        </w:r>
      </w:hyperlink>
      <w:r>
        <w:rPr>
          <w:rFonts w:ascii="Calibri" w:hAnsi="Calibri"/>
          <w:color w:val="20262C"/>
          <w:sz w:val="19"/>
        </w:rPr>
        <w:t xml:space="preserve"> — matriz do ciclo 2026.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5. </w:t>
      </w:r>
      <w:hyperlink r:id="rId15">
        <w:r>
          <w:rPr>
            <w:color w:val="1F5D8F"/>
            <w:u w:val="single"/>
            <w:sz w:val="20"/>
          </w:rPr>
          <w:t>Cartilha PNTP — Atricon</w:t>
        </w:r>
      </w:hyperlink>
      <w:r>
        <w:rPr>
          <w:rFonts w:ascii="Calibri" w:hAnsi="Calibri"/>
          <w:color w:val="20262C"/>
          <w:sz w:val="19"/>
        </w:rPr>
        <w:t xml:space="preserve"> — metodologia.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6. </w:t>
      </w:r>
      <w:hyperlink r:id="rId16">
        <w:r>
          <w:rPr>
            <w:color w:val="1F5D8F"/>
            <w:u w:val="single"/>
            <w:sz w:val="20"/>
          </w:rPr>
          <w:t>Resultado público anteriormente consultado</w:t>
        </w:r>
      </w:hyperlink>
      <w:r>
        <w:rPr>
          <w:rFonts w:ascii="Calibri" w:hAnsi="Calibri"/>
          <w:color w:val="20262C"/>
          <w:sz w:val="19"/>
        </w:rPr>
        <w:t xml:space="preserve"> — índice sujeito à confirmação oficial.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7. </w:t>
      </w:r>
      <w:hyperlink r:id="rId17">
        <w:r>
          <w:rPr>
            <w:color w:val="1F5D8F"/>
            <w:u w:val="single"/>
            <w:sz w:val="20"/>
          </w:rPr>
          <w:t>Lei nº 12.527/2011 — LAI</w:t>
        </w:r>
      </w:hyperlink>
      <w:r>
        <w:rPr>
          <w:rFonts w:ascii="Calibri" w:hAnsi="Calibri"/>
          <w:color w:val="20262C"/>
          <w:sz w:val="19"/>
        </w:rPr>
        <w:t xml:space="preserve"> — transparência ativa, formatos e prazos.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8. </w:t>
      </w:r>
      <w:hyperlink r:id="rId18">
        <w:r>
          <w:rPr>
            <w:color w:val="1F5D8F"/>
            <w:u w:val="single"/>
            <w:sz w:val="20"/>
          </w:rPr>
          <w:t>Lei Municipal nº 5.729/2013</w:t>
        </w:r>
      </w:hyperlink>
      <w:r>
        <w:rPr>
          <w:rFonts w:ascii="Calibri" w:hAnsi="Calibri"/>
          <w:color w:val="20262C"/>
          <w:sz w:val="19"/>
        </w:rPr>
        <w:t xml:space="preserve"> — regulamentação local.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9. </w:t>
      </w:r>
      <w:hyperlink r:id="rId19">
        <w:r>
          <w:rPr>
            <w:color w:val="1F5D8F"/>
            <w:u w:val="single"/>
            <w:sz w:val="20"/>
          </w:rPr>
          <w:t>Lei Complementar nº 101/2000 — LRF</w:t>
        </w:r>
      </w:hyperlink>
      <w:r>
        <w:rPr>
          <w:rFonts w:ascii="Calibri" w:hAnsi="Calibri"/>
          <w:color w:val="20262C"/>
          <w:sz w:val="19"/>
        </w:rPr>
        <w:t xml:space="preserve"> — relatórios, contas e fiscalização.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10. </w:t>
      </w:r>
      <w:hyperlink r:id="rId20">
        <w:r>
          <w:rPr>
            <w:color w:val="1F5D8F"/>
            <w:u w:val="single"/>
            <w:sz w:val="20"/>
          </w:rPr>
          <w:t>Decreto nº 10.540/2020 — SIAFIC</w:t>
        </w:r>
      </w:hyperlink>
      <w:r>
        <w:rPr>
          <w:rFonts w:ascii="Calibri" w:hAnsi="Calibri"/>
          <w:color w:val="20262C"/>
          <w:sz w:val="19"/>
        </w:rPr>
        <w:t xml:space="preserve"> — tempo real e detalhamento.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11. </w:t>
      </w:r>
      <w:hyperlink r:id="rId21">
        <w:r>
          <w:rPr>
            <w:color w:val="1F5D8F"/>
            <w:u w:val="single"/>
            <w:sz w:val="20"/>
          </w:rPr>
          <w:t>Lei nº 14.133/2021</w:t>
        </w:r>
      </w:hyperlink>
      <w:r>
        <w:rPr>
          <w:rFonts w:ascii="Calibri" w:hAnsi="Calibri"/>
          <w:color w:val="20262C"/>
          <w:sz w:val="19"/>
        </w:rPr>
        <w:t xml:space="preserve"> — PNCP, contratos e obras.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12. </w:t>
      </w:r>
      <w:hyperlink r:id="rId22">
        <w:r>
          <w:rPr>
            <w:color w:val="1F5D8F"/>
            <w:u w:val="single"/>
            <w:sz w:val="20"/>
          </w:rPr>
          <w:t>Lei nº 13.460/2017</w:t>
        </w:r>
      </w:hyperlink>
      <w:r>
        <w:rPr>
          <w:rFonts w:ascii="Calibri" w:hAnsi="Calibri"/>
          <w:color w:val="20262C"/>
          <w:sz w:val="19"/>
        </w:rPr>
        <w:t xml:space="preserve"> — Ouvidoria e direitos do usuário.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13. </w:t>
      </w:r>
      <w:hyperlink r:id="rId23">
        <w:r>
          <w:rPr>
            <w:color w:val="1F5D8F"/>
            <w:u w:val="single"/>
            <w:sz w:val="20"/>
          </w:rPr>
          <w:t>Lei nº 13.709/2018 — LGPD</w:t>
        </w:r>
      </w:hyperlink>
      <w:r>
        <w:rPr>
          <w:rFonts w:ascii="Calibri" w:hAnsi="Calibri"/>
          <w:color w:val="20262C"/>
          <w:sz w:val="19"/>
        </w:rPr>
        <w:t xml:space="preserve"> — proteção de dados no poder público.</w:t>
      </w:r>
    </w:p>
    <w:p>
      <w:pPr>
        <w:spacing w:after="80"/>
        <w:ind w:left="85" w:hanging="85"/>
      </w:pPr>
      <w:r>
        <w:rPr>
          <w:rFonts w:ascii="Calibri" w:hAnsi="Calibri"/>
          <w:b/>
          <w:color w:val="1F5D8F"/>
          <w:sz w:val="19"/>
        </w:rPr>
        <w:t xml:space="preserve">14. </w:t>
      </w:r>
      <w:hyperlink r:id="rId24">
        <w:r>
          <w:rPr>
            <w:color w:val="1F5D8F"/>
            <w:u w:val="single"/>
            <w:sz w:val="20"/>
          </w:rPr>
          <w:t>Lei nº 13.146/2015 — LBI</w:t>
        </w:r>
      </w:hyperlink>
      <w:r>
        <w:rPr>
          <w:rFonts w:ascii="Calibri" w:hAnsi="Calibri"/>
          <w:color w:val="20262C"/>
          <w:sz w:val="19"/>
        </w:rPr>
        <w:t xml:space="preserve"> — acessibilidade digital.</w:t>
      </w:r>
    </w:p>
    <w:p>
      <w:r>
        <w:br w:type="page"/>
      </w:r>
    </w:p>
    <w:p>
      <w:pPr>
        <w:pStyle w:val="Heading1"/>
      </w:pPr>
      <w:r>
        <w:t>Anexo A — Checklist completo PNTP 2026 para a Prefeitura</w:t>
      </w:r>
    </w:p>
    <w:p>
      <w:pPr>
        <w:keepLines/>
        <w:widowControl/>
        <w:jc w:val="both"/>
      </w:pPr>
      <w:r>
        <w:rPr>
          <w:rFonts w:ascii="Calibri" w:hAnsi="Calibri"/>
          <w:color w:val="20262C"/>
          <w:sz w:val="21"/>
        </w:rPr>
        <w:t>O anexo reúne os 96 critérios das matrizes COMUM, COMUM (exceto estatais), COMUM (exceto estatais independentes), EXECUTIVO e EXECUTIVO e CONSÓRCIOS. A situação não é presumida: cada unidade deve validar, regularizar e publicar a evidência até o 60º dia.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  <w:tcBorders>
              <w:left w:val="single" w:sz="18" w:color="8A65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Prioridade. </w:t>
            </w:r>
            <w:r>
              <w:rPr>
                <w:rFonts w:ascii="Calibri" w:hAnsi="Calibri"/>
                <w:color w:val="20262C"/>
                <w:sz w:val="20"/>
              </w:rPr>
              <w:t>Primeiro, alcançar 100% dos essenciais; depois, concluir obrigatórios e recomendados. Cada validação deve testar disponibilidade, atualidade, série histórica, exportação e filtros.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Informações Prioritárias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Possui sítio oficial próprio na internet?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o sítio oficial estável, seguro, responsivo e claramente identificado como canal institucional.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Possui portal da transparência próprio ou compartilhado na internet?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portal próprio ou compartilhado com acesso público, navegação estável e identificação inequívoca da Câmara.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acesso ao portal transparência está visível na capa do site?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Dar destaque permanente ao botão Transparência na capa e em todas as versões móvel e desktop.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ferramenta de pesquisa de conteúdo que permita o acesso à informação?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Unificar busca do site e do portal, com pesquisa textual, filtros e orientação quando não houver resultado.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Acesso visível na capa, busca funcional, endereço estável e teste sem cadastro.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Informações Institucionais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sua estrutura organizacional e a norma que a institui/altera?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sua estrutura organizacional e a norma que a institui/altera.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competências e/ou atribuições?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competências e/ou atribuições.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o nome dos atuais responsáveis pela gestão do Poder/Órgão?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Identificar e manter atualizados o nome dos atuais responsáveis pela gestão do Poder/Órgão.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endereços e telefones atuais do Poder ou órgão e e-mails institucionais?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endereços e telefones atuais do Poder ou órgão e e-mails institucionais.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horário de atendimento?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horário de atendimento.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atos normativos próprios?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atos normativos próprios.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2.7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perguntas e respostas mais frequentes relacionadas às atividades desenvolvidas pelo Poder/Órgão?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perguntas e respostas mais frequentes relacionadas às atividades desenvolvidas pelo Poder/Órgão.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2.8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Participa em redes sociais e apresenta, no seu sítio institucional, link de acesso ao seu perfil?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presença institucional e divulgar em redes sociais e apresenta, no seu sítio institucional, link de acesso ao seu perfil.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2.9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Inclui botão do Radar da Transparência Pública no site institucional ou portal transparência?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Incluir e manter botão do Radar da Transparência Pública no site institucional ou portal transparência.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atualizada, ato de suporte, responsável, data de revisão, contatos e histórico.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Receita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3.1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receitas do Poder ou órgão, evidenciando sua previsão e realização?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previsão e realização das receitas por exercício, natureza, fonte e data, com exportação integral.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3.2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classificação orçamentária por natureza da receita (categoria econômica, origem, espécie, desdobramento)?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Detalhar a receita por categoria econômica, origem, espécie, desdobramento e fonte, com filtros e exportação.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3.3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lista dos inscritos em dívida ativa, contendo, no mínimo, dados referentes ao nome do inscrito e o valor total da dívida?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a dívida ativa em consulta pesquisável e exportável, com atualização, natureza, situação e proteção dos dados legalmente restritos.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Despesa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4.1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total das despesas empenhadas, liquidadas e pagas?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Exibir totais empenhados, liquidados e pagos, conciliados e atualizados até o primeiro dia útil após o registro.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4.2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despesas por classificação orçamentária?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Permitir consulta da despesa por órgão/unidade, função, programa, ação, natureza, fonte e exercício.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4.3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Possibilita a consulta de empenhos com os detalhes do beneficiário do pagamento ou credor, o valor, o bem fornecido ou serviço prestado e a identificação do procedimento licitatório originário da despesa?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Ligar cada empenho ao credor, CNPJ/CPF protegido quando necessário, objeto, valor, licitação, contrato e pagamentos.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direta; consulta por exercício; CSV/XLSX/JSON; data/hora de atualização; campos completos.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Convênios e Transferências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5.1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transferências recebidas a partir da celebração de convênios/acordos com indicação, no mínimo, do número/ano do convênio/termo ou ajuste, do valor total previsto dos recursos envolvidos, do valor recebido, do objeto, da vigência, da origem (órgão repassador/concedente) e o inteiro teor do instrumento de convênio/transferência?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transferências recebidas a partir da celebração de convênios/acordos com indicação, no mínimo, do número/ano do convênio/termo ou ajuste, do valor total previsto dos recursos envolvidos, do valor recebido, do objeto, da vigência, da origem (órgão repassador/concedente) e o inteiro teor do instrumento de convênio/transferência.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Relação, partes, objeto, vigência, valores, execução e inteiro teor; declaração negativa quando cabível.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5.2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transferências realizadas a partir da celebração de convênios/acordos/ajustes, com indicação, no mínimo, do número/ano do convênio/termo ou ajuste, do beneficiário, do objeto, da vigência, do valor total previsto para repasse, do valor concedido e inteiro teor do instrumento de convênio/termo ou ajuste?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as transferências realizadas a partir da celebração de convênios/acordos/ajustes, com indicação, no mínimo, do número/ano do convênio/termo ou ajuste, do beneficiário, do objeto, da vigência, do valor total previsto para repasse, do valor concedido e inteiro teor do instrumento de convênio/termo ou ajuste.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Relação, partes, objeto, vigência, valores, execução e inteiro teor; declaração negativa quando cabível.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5.3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acordos firmados que não envolvam transferência de recursos financeiros, identificando as partes, o número/ano do convênio/termo ou ajuste, o objeto, a vigência, as obrigações ajustadas e o inteiro teor do instrumento de convênio/termo ou ajuste?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acordos firmados que não envolvam transferência de recursos financeiros, identificando as partes, o número/ano do convênio/termo ou ajuste, o objeto, a vigência, as obrigações ajustadas e o inteiro teor do instrumento de convênio/termo ou ajuste.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Relação, partes, objeto, vigência, valores, execução e inteiro teor; declaração negativa quando cabível.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Recursos Humanos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nominal dos servidores/autoridades/membros, seus cargos/funções, as respectivas lotações, as suas datas de admissão/exoneração/inativação e a carga horária do cargo/função ocupada/desempenhada?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nominal dos servidores/autoridades/membros, seus cargos/funções, as respectivas lotações, as suas datas de admissão/exoneração/inativação e a carga horária do cargo/função ocupada/desempenhada.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remuneração nominal de cada servidor/autoridade/Membro?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remuneração nominal de cada servidor/autoridade/Membro.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tabela com o padrão remuneratório dos cargos e funções?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tabela com o padrão remuneratório dos cargos e funções.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lista de seus estagiários, contendo o nome dos estudantes; a data de contratação e a data de término do respectivo contrato?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lista de seus estagiários, contendo o nome dos estudantes; a data de contratação e a data de término do respectivo contrato.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 lista dos terceirizados que prestam serviços para o Poder ou órgão/entidades, contendo, em relação a cada um deles: nome completo, função ou atividade exercida e nome da empresa empregadora?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 prazo e preservar lista dos terceirizados que prestam serviços para o Poder ou órgão/entidades, contendo, em relação a cada um deles: nome completo, função ou atividade exercida e nome da empresa empregadora.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editais de concursos e seleções públicas realizados pelo Poder ou órgão para provimento de cargos e empregos públicos?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dos editais de concursos e seleções públicas realizados pelo Poder ou órgão para provimento de cargos e empregos públicos.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6.7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sobre os demais atos dos concursos públicos e processos seletivos do Poder ou órgão, contendo no mínimo a lista de aprovados com as classificações e as nomeações?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informações sobre os demais atos dos concursos públicos e processos seletivos do Poder ou órgão, contendo no mínimo a lista de aprovados com as classificações e as nomeações.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Base nominal pesquisável; competência; histórico; exportação; ato de ingresso/saída e tabela legal.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Diárias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7.1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nome e o cargo/função do beneficiário, além do valor total recebido, número de diárias usufruídas por afastamento, período de afastamento, motivo do afastamento e local de destino?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nome e o cargo/função do beneficiário, além do valor total recebido, número de diárias usufruídas por afastamento, período de afastamento, motivo do afastamento e local de destino.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Beneficiário, cargo, destino, motivo, período, quantidade, valor, norma e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7.2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tabela ou relação que explicite os valores das diárias dentro do Estado, fora do Estado e fora do país, conforme legislação local?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tabela ou relação que explicite os valores das diárias dentro do Estado, fora do Estado e fora do país, conforme legislação local.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Beneficiário, cargo, destino, motivo, período, quantidade, valor, norma e exportação.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Licitações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das licitações em ordem sequencial, informando o número e modalidade licitatória, o objeto, a data, o valor estimado/homologado e a situação?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das licitações em ordem sequencial, informando o número e modalidade licitatória, o objeto, a data, o valor estimado/homologado e a situação.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editais de licitação?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dos editais de licitação.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demais documentos das fases interna e externa das licitações?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documentos das fases preparatória e externa, preservando estudo técnico, termo de referência, pareceres, propostas, atas e decisões.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dos principais documentos dos processos de dispensa e inexigibilidade de licitação?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Organizar dispensas e inexigibilidades por processo, com justificativas, pareceres, ratificação, contratação e PNCP.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das Atas de Adesão – SRP?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das Atas de Adesão – SRP.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plano de contratações anual?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plano de contratações anual.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8.7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dos licitantes e/ou contratados sancionados administrativamente pelo Poder ou órgão?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dos licitantes e/ou contratados sancionados administrativamente pelo Poder ou órgão.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Processo integral; pesquisa e filtros; anexos; situação; datas; vínculo com contrato, PNCP e despesa.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Contratos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 dos contratos celebrados em ordem sequencial, com o seu respectivo resumo, contendo, no mínimo, indicação do contratado(a), do valor, do objeto e da vigência, bem como dos aditivos deles decorrentes?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 dos contratos celebrados em ordem sequencial, com o seu respectivo resumo, contendo, no mínimo, indicação do contratado(a), do valor, do objeto e da vigência, bem como dos aditivos deles decorrentes.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inteiro teor dos contratos e dos respectivos termos aditivos?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inteiro teor dos contratos e dos respectivos termos aditivos.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relação/lista dos fiscais de cada contrato vigente e encerrado?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relação/lista dos fiscais de cada contrato vigente e encerrado.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9.4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ordem cronológica de seus pagamentos, bem como as justificativas que fundamentaram a eventual alteração dessa ordem?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ordem cronológica por fonte de recursos e justificar de forma individualizada qualquer alteração.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Relação sequencial; inteiro teor; aditivos; fiscal; vigência; execução; pagamentos; vínculo PNCP.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Obras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sobre as obras contendo o objeto, a situação atual, as datas de início e de conclusão da obra, empresa contratada e o percentual concluído?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informações sobre as obras contendo o objeto, a situação atual, as datas de início e de conclusão da obra, empresa contratada e o percentual concluído.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quantitativos, os preços unitários e totais contratados?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quantitativos, os preços unitários e totais contratados.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quantitativos executados e os preços efetivamente pagos?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os quantitativos executados e os preços efetivamente pagos.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10.4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relação das obras paralisadas contendo o motivo, o responsável pela inexecução temporária do objeto do contrato e a data prevista para o reinício da sua execução?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Criar relação específica de obras paralisadas; quando inexistentes, publicar declaração negativa datada.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Painel da obra; contrato; medições; quantitativos; preços; percentual; fotos e situação atual.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Planejamento e Prestação de contas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 a Prestação de Contas do Ano Anterior (Balanço Geral)?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 prazo e preservar a Prestação de Contas do Ano Anterior (Balanço Geral).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Relatório de Gestão ou Atividades?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Relatório de Gestão ou Atividades.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íntegra da decisão da apreciação ou julgamento das contas pelo Tribunal de Contas?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a íntegra da decisão da apreciação ou julgamento das contas pelo Tribunal de Contas.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resultado do julgamento das Contas do Chefe do Poder Executivo pelo Poder Legislativo?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Reunir parecer prévio do TCE, decreto legislativo, ata e resultado do julgamento das contas do Prefeito.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Relatório de Gestão Fiscal (RGF)?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RGF no prazo legal, com todos os anexos, assinatura, período e série histórica.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Relatório Resumido da Execução Orçamentária (RREO)?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o RREO e todos os anexos até 30 dias após cada bimestre, preservando assinatura e série histórica.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11.7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plano estratégico institucional?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o plano estratégico institucional.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11.8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Lei do Plano Plurianual (PPA) e seus anexos?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Centralizar o PPA vigente e anteriores, lei, anexos, programas, metas, revisões e versões consolidadas.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11.9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Lei de Diretrizes Orçamentárias (LDO) e seus anexos?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Centralizar a LDO de cada exercício, lei, anexos fiscais, riscos, metas, alterações e versão consolidada.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11.10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Essencial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Lei Orçamentária (LOA) e seus anexos?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Centralizar a LOA de cada exercício, lei, quadros, anexos, créditos adicionais e execução vinculada.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 integral; exercício/período; data de publicação; histórico; decisão do TCE e exportação.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Serviço de Informação ao Cidadão - SIC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Existe o SIC no site ou no portal de transparência e indica a unidade/setor responsável?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e identificar o SIC no site ou no portal de transparência e indica a unidade/setor responsável.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Indica o endereço físico, o telefone e o e-mail da unidade responsável pelo SIC, além do horário de funcionamento?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Indica o endereço físico, o telefone e o e-mail da unidade responsável pelo SIC, além do horário de funcionamento.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possibilidade de envio de pedidos de informação de forma eletrônica (e­-SIC)?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possibilidade de envio de pedidos de informação de forma eletrônica (e­-SIC).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 solicitação por meio de eSic é simples, ou seja, sem a exigência de itens de identificação do requerente que dificultem ou impossibilitem o acesso à informação, tais como: envio de documentos, assinatura reconhecida, declaração de responsabilidade, maioridade?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Simplificar o e-SIC, solicitando apenas dados necessários e eliminando exigência de documento, assinatura ou justificativa.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nesta seção, instrumento normativo local que regulamente a Lei nº 12.527/2011 – LAI?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 manter atualizada nesta seção, instrumento normativo local que regulamente a Lei nº 12.527/2011 – LAI.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Divulga, na seção relativa ao e-SIC, os prazos de resposta ao cidadão, incluindo o recursal, e as autoridades competentes para o exame dos pedidos, além do procedimento referente à realização do pedido e de eventual recurso?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Divulga, na seção relativa ao e-SIC, os prazos de resposta ao cidadão, incluindo o recursal, e as autoridades competentes para o exame dos pedidos, além do procedimento referente à realização do pedido e de eventual recurso.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12.7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relatório anual estatístico contendo a quantidade de pedidos de acesso recebidos, atendidos, indeferidos, bem como informações genéricas sobre os solicitantes?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anualmente estatísticas de pedidos recebidos, atendidos, indeferidos, prazos médios e perfil genérico.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12.8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lista de documentos classificados em cada grau de sigilo, contendo pelo menos o assunto sobre o qual versa a informação, a categoria na qual ela se encontra, o dispositivo legal que fundamenta a classificação e o respectivo prazo?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lista de informações classificadas; se não houver, divulgar declaração negativa anual.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12.9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lista das informações que tenham sido desclassificadas nos últimos 12 (doze) meses?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lista das informações desclassificadas nos últimos 12 meses; se não houver, divulgar declaração negativa.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Página própria; formulário funcional; protocolo; prazos; recursos; relatórios e listas de sigilo.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Acessibilidade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oficial e o portal de transparência contêm símbolo de acessibilidade em destaque?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oficial e o portal de transparência contêm símbolo de acessibilidade em destaque.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exibição do “caminho” de páginas percorridas pelo usuário?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e o portal de transparência contêm exibição do “caminho” de páginas percorridas pelo usuário.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opção de alto contraste?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e o portal de transparência contêm opção de alto contraste.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 site e o portal de transparência contêm ferramenta de redimensionamento de texto?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Garantir que o site e o portal de transparência contêm ferramenta de redimensionamento de texto.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13.5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Contém mapa do site institucional?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mapa do site institucional.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Teste em site e portal; teclado; leitor de tela; contraste; redimensionamento; mapa/caminho.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  <w:pageBreakBefore/>
      </w:pPr>
      <w:r>
        <w:t>Ouvidorias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14.1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informações sobre o atendimento presencial pela Ouvidoria (Indicação de endereço físico e telefone, além do horário de funcionamento)?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informações sobre o atendimento presencial pela Ouvidoria (Indicação de endereço físico e telefone, além do horário de funcionamento).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Canal presencial e digital; protocolo; prazo; acompanhamento; Carta de Serviços atualizada.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14.2.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Há canal eletrônico de acesso/interação com a ouvidoria?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canal eletrônico de acesso/interação com a ouvidoria.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Canal presencial e digital; protocolo; prazo; acompanhamento; Carta de Serviços atualizada.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14.3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Carta de Serviços ao Usuário?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Carta de Serviços com serviços, requisitos, etapas, canais, prazos, compromissos e padrão de atendimento.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Canal presencial e digital; protocolo; prazo; acompanhamento; Carta de Serviços atualizada.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Lei Geral de Proteção de Dados (LGPD) e Governo Digital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o encarregado/responsável pelo tratamento de dados pessoais e disponibiliza Canal de Comunicação com esse servidor (telefone e/ou e-mail)?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Identificar e manter atualizados o encarregado/responsável pelo tratamento de dados pessoais e disponibiliza Canal de Comunicação com esse servidor (telefone e/ou e-mail).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 a sua Política de Privacidade e Proteção de Dados?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no prazo e preservar a sua Política de Privacidade e Proteção de Dados.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Possibilita a demanda e o acesso a serviços públicos por meio digital, sem necessidade de solicitação presencial?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e testar a demanda e o acesso a serviços públicos por meio digital, sem necessidade de solicitação presencial.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Possibilita o acesso automatizado por sistemas externos em dados abertos  (estruturados e legíveis por máquina), e a página contém as regras de utilização?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Oferecer CSV, XLSX ou JSON, metadados, dicionário e API ou endpoint documentado, com regras claras de reutilização.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Regulamenta a Lei Federal nº 14.129/2021 (Governo Digital) e divulga a normativa em seu portal?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Informar se houve adoção municipal da Lei nº 14.129/2021 e publicar a norma; se ausente, propor regulamentação local.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15.6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Realiza e divulga resultados de pesquisas de satisfação?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Realizar periodicamente e divulgar e divulga resultados de pesquisas de satisfação.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Responsável e canal; política; serviços digitais; arquivos abertos/API; regras de uso; pesquisa.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Renúncias de Receitas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16.1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as desonerações tributárias concedidas e a fundamentação legal individualizada?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cada renúncia ou benefício tributário com fundamento legal, tributo, modalidade, vigência e estimativa.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direta, documento integral, data de atualização, responsável e histórico.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16.2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valores da renúncia fiscal prevista e realizada, por tipo ou espécie de benefício ou incentivo fiscal?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Divulgar previsão e realização das renúncias fiscais, metodologia, memória de cálculo e medidas de compensação.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direta, documento integral, data de atualização, responsável e histórico.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16.3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os beneficiários das desonerações tributárias (benefícios ou incentivos fiscais)?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Disponibilizar beneficiários, valores e benefícios concedidos, observadas apenas as restrições legais específicas.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direta, documento integral, data de atualização, responsável e histórico.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16.4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sobre projetos de incentivo à cultura (incluindo esportivos), identificando os projetos aprovados, o respectivo beneficiário e o valor aprovado?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projetos de incentivo à cultura e ao esporte, proponente, objeto, valor autorizado, captado e executado.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URL direta, documento integral, data de atualização, responsável e histórico.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Emendas Parlamentares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17.1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as emendas parlamentares federais recebidas, contendo informações sobre a origem, a forma de repasse, o tipo de emenda, o número da emenda, a autoria, o valor previsto e realizado, o objeto e função de governo?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emendas parlamentares recebidas por autor, origem, objeto, valor, instrumento e unidade executora.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Autor/origem; objeto; valor; plano; instrumento; empenho; pagamento; saldo; prestação; CSV.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17.2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Identifica as emendas parlamentares estaduais e municipais, contendo informações sobre a origem, a forma de repasse, o tipo de emenda, o número da emenda, a autoria, o valor previsto e realizado, o objeto e função de governo?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Demonstrar execução orçamentária e financeira de cada emenda, inclusive empenho, pagamento e saldo.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Autor/origem; objeto; valor; plano; instrumento; empenho; pagamento; saldo; prestação; CSV.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17.3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Demonstra a execução orçamentária e financeira oriunda das emendas parlamentares recebidas e próprias?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Divulgar transferências especiais, plano de trabalho, conta, execução, beneficiário final e prestação de contas.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Autor/origem; objeto; valor; plano; instrumento; empenho; pagamento; saldo; prestação; CSV.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Saúde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18.1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plano de saúde, a programação anual e o relatório de gestão?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Plano Municipal de Saúde, programação anual, relatórios de gestão, metas, resultados e deliberações do Conselho.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Documento/painel integral; unidade; data da atualização; série; indicador; filtro; exportação; proteção do paciente.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18.2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relacionadas aos serviços de saúde, indicando os horários, os profissionais prestadores de serviços, as especialidades e local?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Manter relação atualizada de unidades, serviços, horários, profissionais, especialidades e formas de acesso.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Documento/painel integral; unidade; data da atualização; série; indicador; filtro; exportação; proteção do paciente.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18.3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lista de espera de regulação para acesso às consultas, exames e serviços médicos?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listas de espera por serviço, posição ou tempo estimado, critérios de priorização e data de atualização, preservando a identidade do paciente.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Documento/painel integral; unidade; data da atualização; série; indicador; filtro; exportação; proteção do paciente.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18.4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lista dos medicamentos a serem fornecidos pelo SUS e informações de como obter medicamentos, incluindo os de alto custo?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Divulgar estoque de medicamentos por unidade, item, disponibilidade e data de atualização.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Documento/painel integral; unidade; data da atualização; série; indicador; filtro; exportação; proteção do paciente.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18.5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os estoques de medicamentos das farmácias públicas?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repasses, despesas, contratos e indicadores da saúde em painel pesquisável e exportável.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Documento/painel integral; unidade; data da atualização; série; indicador; filtro; exportação; proteção do paciente.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18.6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atualizadas sobre a composição e o funcionamento do Conselho de Saúde?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Dar transparência à composição, agenda, atas, resoluções e deliberações do Conselho Municipal de Saúde.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Documento/painel integral; unidade; data da atualização; série; indicador; filtro; exportação; proteção do paciente.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2"/>
        <w:keepNext/>
      </w:pPr>
      <w:r>
        <w:t>Educação e Assistência Social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250"/>
        <w:gridCol w:w="3100"/>
        <w:gridCol w:w="2868"/>
        <w:gridCol w:w="180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CRITÉRIO PNTP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AÇÃO EM 60 DIAS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EVIDÊNCIA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19.1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o plano de educação e o respectivo relatório de resultados?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Plano Municipal de Educação, metas, indicadores, monitoramento e relatórios de execução.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Plano/serviço; meta ou fila; critérios; resultado; conselho; data de atualização;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19.2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a lista de espera em creches públicas e os critérios de priorização de acesso a elas?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Divulgar vagas e listas de espera da educação infantil com critérios, atualização e proteção dos dados das crianças.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Plano/serviço; meta ou fila; critérios; resultado; conselho; data de atualização; exportação.</w:t>
            </w:r>
          </w:p>
        </w:tc>
      </w:tr>
      <w:tr>
        <w:trPr>
          <w:cantSplit/>
        </w:trPr>
        <w:tc>
          <w:tcPr>
            <w:tcW w:type="dxa" w:w="62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19.3</w:t>
            </w:r>
          </w:p>
        </w:tc>
        <w:tc>
          <w:tcPr>
            <w:tcW w:type="dxa" w:w="125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Obrigatória</w:t>
            </w:r>
          </w:p>
        </w:tc>
        <w:tc>
          <w:tcPr>
            <w:tcW w:type="dxa" w:w="31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atualizadas sobre a composição e o funcionamento do Conselho do Fundeb?</w:t>
            </w:r>
          </w:p>
        </w:tc>
        <w:tc>
          <w:tcPr>
            <w:tcW w:type="dxa" w:w="2868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Publicar composição, agenda, atas, pareceres e deliberações dos conselhos de educação e controle social.</w:t>
            </w:r>
          </w:p>
        </w:tc>
        <w:tc>
          <w:tcPr>
            <w:tcW w:type="dxa" w:w="1800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Plano/serviço; meta ou fila; critérios; resultado; conselho; data de atualização; exportação.</w:t>
            </w:r>
          </w:p>
        </w:tc>
      </w:tr>
      <w:tr>
        <w:trPr>
          <w:cantSplit/>
        </w:trPr>
        <w:tc>
          <w:tcPr>
            <w:tcW w:type="dxa" w:w="62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/>
                <w:color w:val="1F5D8F"/>
                <w:sz w:val="16"/>
              </w:rPr>
              <w:t>19.4</w:t>
            </w:r>
          </w:p>
        </w:tc>
        <w:tc>
          <w:tcPr>
            <w:tcW w:type="dxa" w:w="125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Recomendada</w:t>
            </w:r>
          </w:p>
        </w:tc>
        <w:tc>
          <w:tcPr>
            <w:tcW w:type="dxa" w:w="31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 informações atualizadas sobre a composição e o funcionamento do Conselho de Assistência Social?</w:t>
            </w:r>
          </w:p>
        </w:tc>
        <w:tc>
          <w:tcPr>
            <w:tcW w:type="dxa" w:w="2868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Divulgar serviços, critérios, vagas, filas, benefícios e resultados da assistência social, com atualização e proteção de dados.</w:t>
            </w:r>
          </w:p>
        </w:tc>
        <w:tc>
          <w:tcPr>
            <w:tcW w:type="dxa" w:w="1800"/>
            <w:shd w:fill="F2F4F7"/>
            <w:tcBorders>
              <w:bottom w:val="single" w:sz="3" w:color="D8DEE3"/>
            </w:tcBorders>
          </w:tcPr>
          <w:p>
            <w:pPr>
              <w:spacing w:after="0" w:line="228" w:lineRule="auto"/>
            </w:pPr>
            <w:r>
              <w:rPr>
                <w:rFonts w:ascii="Calibri" w:hAnsi="Calibri"/>
                <w:b w:val="0"/>
                <w:color w:val="20262C"/>
                <w:sz w:val="16"/>
              </w:rPr>
              <w:t>Plano/serviço; meta ou fila; critérios; resultado; conselho; data de atualização; exportação.</w:t>
            </w:r>
          </w:p>
        </w:tc>
      </w:tr>
    </w:tbl>
    <w:p>
      <w:pPr>
        <w:spacing w:before="60" w:after="140"/>
      </w:pPr>
      <w:r>
        <w:rPr>
          <w:rFonts w:ascii="Calibri" w:hAnsi="Calibri"/>
          <w:i/>
          <w:color w:val="687581"/>
          <w:sz w:val="16"/>
        </w:rPr>
        <w:t>Prazo: validar e concluir todos os itens aplicáveis desta dimensão até o 60º dia.</w:t>
      </w:r>
    </w:p>
    <w:p>
      <w:pPr>
        <w:pStyle w:val="Heading1"/>
      </w:pPr>
      <w:r>
        <w:t>Encaminhamento proposto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  <w:tcBorders>
              <w:left w:val="single" w:sz="18" w:color="297A5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Convite à cooperação. </w:t>
            </w:r>
            <w:r>
              <w:rPr>
                <w:rFonts w:ascii="Calibri" w:hAnsi="Calibri"/>
                <w:color w:val="20262C"/>
                <w:sz w:val="20"/>
              </w:rPr>
              <w:t>Propõe-se que a Prefeitura acolha este documento como contribuição técnica, designe ponto focal e publique o cronograma de 60 dias. O objetivo comum é entregar informação pública no prazo, em formato utilizável e com evidência verificável, fortalecendo a confiança e o controle social.</w:t>
            </w:r>
          </w:p>
        </w:tc>
      </w:tr>
    </w:tbl>
    <w:p>
      <w:pPr>
        <w:spacing w:after="0" w:before="0"/>
      </w:pPr>
    </w:p>
    <w:p>
      <w:pPr>
        <w:spacing w:before="160"/>
      </w:pPr>
      <w:r>
        <w:rPr>
          <w:rFonts w:ascii="Calibri" w:hAnsi="Calibri"/>
          <w:b/>
          <w:color w:val="17324D"/>
          <w:sz w:val="22"/>
        </w:rPr>
        <w:t>FISCALIZA VARGINHA</w:t>
      </w:r>
      <w:r>
        <w:rPr>
          <w:rFonts w:ascii="Calibri" w:hAnsi="Calibri"/>
          <w:color w:val="687581"/>
          <w:sz w:val="19"/>
        </w:rPr>
        <w:br/>
        <w:t>Iniciativa cidadã independente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color w:val="687581"/>
        <w:sz w:val="17"/>
      </w:rPr>
      <w:t xml:space="preserve">Contribuição cidadã independente • Plano colaborativo • Página </w:t>
    </w:r>
    <w:r>
      <w:rPr>
        <w:rFonts w:ascii="Calibri" w:hAnsi="Calibri"/>
        <w:color w:val="687581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63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100"/>
      <w:gridCol w:w="3538"/>
    </w:tblGrid>
    <w:tr>
      <w:tc>
        <w:tcPr>
          <w:tcW w:type="dxa" w:w="6100"/>
          <w:tcMar>
            <w:top w:w="80" w:type="dxa"/>
            <w:start w:w="120" w:type="dxa"/>
            <w:bottom w:w="80" w:type="dxa"/>
            <w:end w:w="120" w:type="dxa"/>
          </w:tcMar>
          <w:shd w:fill="17324D"/>
          <w:vAlign w:val="center"/>
        </w:tcPr>
        <w:p>
          <w:pPr>
            <w:spacing w:after="0"/>
            <w:jc w:val="left"/>
          </w:pPr>
          <w:r>
            <w:rPr>
              <w:rFonts w:ascii="Calibri" w:hAnsi="Calibri"/>
              <w:b/>
              <w:color w:val="FFFFFF"/>
              <w:sz w:val="18"/>
            </w:rPr>
            <w:t>FISCALIZA VARGINHA</w:t>
          </w:r>
        </w:p>
      </w:tc>
      <w:tc>
        <w:tcPr>
          <w:tcW w:type="dxa" w:w="3538"/>
          <w:tcMar>
            <w:top w:w="80" w:type="dxa"/>
            <w:start w:w="120" w:type="dxa"/>
            <w:bottom w:w="80" w:type="dxa"/>
            <w:end w:w="120" w:type="dxa"/>
          </w:tcMar>
          <w:shd w:fill="1F5D8F"/>
          <w:vAlign w:val="center"/>
        </w:tcPr>
        <w:p>
          <w:pPr>
            <w:jc w:val="right"/>
          </w:pPr>
          <w:r>
            <w:rPr>
              <w:rFonts w:ascii="Calibri" w:hAnsi="Calibri"/>
              <w:b/>
              <w:color w:val="1F5D8F"/>
              <w:sz w:val="18"/>
            </w:rPr>
            <w:t>PREFEITURA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5D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5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arginha.mg.gov.br/portal/transparencia" TargetMode="External"/><Relationship Id="rId12" Type="http://schemas.openxmlformats.org/officeDocument/2006/relationships/hyperlink" Target="https://www.varginha.mg.gov.br/portal/dados-abertos" TargetMode="External"/><Relationship Id="rId13" Type="http://schemas.openxmlformats.org/officeDocument/2006/relationships/hyperlink" Target="https://www.varginha.mg.gov.br/portal/diario-oficial/" TargetMode="External"/><Relationship Id="rId14" Type="http://schemas.openxmlformats.org/officeDocument/2006/relationships/hyperlink" Target="https://radardatransparencia.atricon.org.br/downloads.html" TargetMode="External"/><Relationship Id="rId15" Type="http://schemas.openxmlformats.org/officeDocument/2006/relationships/hyperlink" Target="https://radardatransparencia.atricon.org.br/pdf/Cartilha-PNTP-2025.pdf" TargetMode="External"/><Relationship Id="rId16" Type="http://schemas.openxmlformats.org/officeDocument/2006/relationships/hyperlink" Target="https://radartransparente.com.br/avaliacao/59f001b0-a3d0-42cb-953b-0d02db067387" TargetMode="External"/><Relationship Id="rId17" Type="http://schemas.openxmlformats.org/officeDocument/2006/relationships/hyperlink" Target="https://www.planalto.gov.br/ccivil_03/_ato2011-2014/2011/lei/l12527.htm" TargetMode="External"/><Relationship Id="rId18" Type="http://schemas.openxmlformats.org/officeDocument/2006/relationships/hyperlink" Target="https://sapl.varginha.mg.leg.br/media/sapl/public/normajuridica/2013/5880/lei5729-2013.pdf" TargetMode="External"/><Relationship Id="rId19" Type="http://schemas.openxmlformats.org/officeDocument/2006/relationships/hyperlink" Target="https://www.planalto.gov.br/ccivil_03/leis/lcp/lcp101.htm" TargetMode="External"/><Relationship Id="rId20" Type="http://schemas.openxmlformats.org/officeDocument/2006/relationships/hyperlink" Target="https://www.planalto.gov.br/ccivil_03/_ato2019-2022/2020/decreto/d10540.htm" TargetMode="External"/><Relationship Id="rId21" Type="http://schemas.openxmlformats.org/officeDocument/2006/relationships/hyperlink" Target="https://www.planalto.gov.br/ccivil_03/_ato2019-2022/2021/lei/l14133.htm" TargetMode="External"/><Relationship Id="rId22" Type="http://schemas.openxmlformats.org/officeDocument/2006/relationships/hyperlink" Target="https://www.planalto.gov.br/ccivil_03/_ato2015-2018/2017/lei/l13460.htm" TargetMode="External"/><Relationship Id="rId23" Type="http://schemas.openxmlformats.org/officeDocument/2006/relationships/hyperlink" Target="https://www.planalto.gov.br/ccivil_03/_ato2015-2018/2018/lei/l13709compilado.htm" TargetMode="External"/><Relationship Id="rId24" Type="http://schemas.openxmlformats.org/officeDocument/2006/relationships/hyperlink" Target="https://www.planalto.gov.br/ccivil_03/_ato2015-2018/2015/lei/l1314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