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5D8F"/>
          <w:sz w:val="18"/>
        </w:rPr>
        <w:t>REQUERIMENTO ADMINISTRATIVO</w:t>
      </w:r>
    </w:p>
    <w:p>
      <w:pPr>
        <w:pStyle w:val="Title"/>
        <w:spacing w:before="40" w:after="80"/>
      </w:pPr>
      <w:r>
        <w:t>Melhorias no Portal da Transparência</w:t>
      </w:r>
    </w:p>
    <w:p>
      <w:pPr>
        <w:pStyle w:val="Subtitle"/>
        <w:spacing w:after="200"/>
      </w:pPr>
      <w:r>
        <w:t>Pedido de acesso à informação + solicitação colaborativa de providências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24"/>
      </w:tblGrid>
      <w:tr>
        <w:tc>
          <w:tcPr>
            <w:tcW w:type="dxa" w:w="9581"/>
            <w:shd w:fill="EAF2F8"/>
            <w:tcBorders>
              <w:left w:val="single" w:sz="18" w:color="1F5D8F"/>
              <w:top w:val="single" w:sz="4" w:color="C9D9E6"/>
              <w:bottom w:val="single" w:sz="4" w:color="C9D9E6"/>
              <w:right w:val="single" w:sz="4" w:color="C9D9E6"/>
            </w:tcBorders>
          </w:tcPr>
          <w:p>
            <w:pPr>
              <w:spacing w:after="20"/>
            </w:pPr>
            <w:r>
              <w:rPr>
                <w:b/>
                <w:color w:val="17324D"/>
                <w:sz w:val="19"/>
              </w:rPr>
              <w:t>À PREFEITURA MUNICIPAL DE VARGINHA</w:t>
            </w:r>
          </w:p>
          <w:p>
            <w:pPr>
              <w:spacing w:after="20"/>
            </w:pPr>
            <w:r>
              <w:rPr>
                <w:b w:val="0"/>
                <w:color w:val="20262C"/>
                <w:sz w:val="18"/>
              </w:rPr>
              <w:t>À Controladoria-Geral do Município e ao Serviço de Informação ao Cidadão (e-SIC)</w:t>
            </w:r>
          </w:p>
          <w:p>
            <w:pPr>
              <w:spacing w:after="20"/>
            </w:pPr>
            <w:r>
              <w:rPr>
                <w:b w:val="0"/>
                <w:color w:val="20262C"/>
                <w:sz w:val="18"/>
              </w:rPr>
              <w:t>Rua Júlio Paulo Marcellini, nº 50 • Varginha/MG • CEP 37018-050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57"/>
        <w:gridCol w:w="7767"/>
      </w:tblGrid>
      <w:tr>
        <w:tc>
          <w:tcPr>
            <w:tcW w:type="dxa" w:w="1757"/>
            <w:shd w:fill="F3F5F7"/>
            <w:vAlign w:val="center"/>
            <w:tcBorders>
              <w:bottom w:val="single" w:sz="4" w:color="D8DEE3"/>
            </w:tcBorders>
          </w:tcPr>
          <w:p>
            <w:pPr>
              <w:spacing w:after="0"/>
            </w:pPr>
            <w:r>
              <w:rPr>
                <w:b/>
                <w:color w:val="687581"/>
                <w:sz w:val="16"/>
              </w:rPr>
              <w:t>ASSUNTO</w:t>
            </w:r>
          </w:p>
        </w:tc>
        <w:tc>
          <w:tcPr>
            <w:tcW w:type="dxa" w:w="7767"/>
            <w:vAlign w:val="center"/>
            <w:tcBorders>
              <w:bottom w:val="single" w:sz="4" w:color="D8DEE3"/>
            </w:tcBorders>
          </w:tcPr>
          <w:p>
            <w:pPr>
              <w:spacing w:after="0"/>
            </w:pPr>
            <w:r>
              <w:t>Acesso ao espelho da avaliação do PNTP e solicitação de plano de aprimoramento</w:t>
            </w:r>
          </w:p>
        </w:tc>
      </w:tr>
      <w:tr>
        <w:tc>
          <w:tcPr>
            <w:tcW w:type="dxa" w:w="1757"/>
            <w:shd w:fill="F3F5F7"/>
            <w:vAlign w:val="center"/>
            <w:tcBorders>
              <w:bottom w:val="single" w:sz="4" w:color="D8DEE3"/>
            </w:tcBorders>
          </w:tcPr>
          <w:p>
            <w:pPr>
              <w:spacing w:after="0"/>
            </w:pPr>
            <w:r>
              <w:rPr>
                <w:b/>
                <w:color w:val="687581"/>
                <w:sz w:val="16"/>
              </w:rPr>
              <w:t>REFERÊNCIA</w:t>
            </w:r>
          </w:p>
        </w:tc>
        <w:tc>
          <w:tcPr>
            <w:tcW w:type="dxa" w:w="7767"/>
            <w:vAlign w:val="center"/>
            <w:tcBorders>
              <w:bottom w:val="single" w:sz="4" w:color="D8DEE3"/>
            </w:tcBorders>
          </w:tcPr>
          <w:p>
            <w:pPr>
              <w:spacing w:after="0"/>
            </w:pPr>
            <w:r>
              <w:t>PNTP 2025 • Portal da Transparência do Poder Executivo Municipal</w:t>
            </w:r>
          </w:p>
        </w:tc>
      </w:tr>
      <w:tr>
        <w:tc>
          <w:tcPr>
            <w:tcW w:type="dxa" w:w="1757"/>
            <w:shd w:fill="F3F5F7"/>
            <w:vAlign w:val="center"/>
            <w:tcBorders>
              <w:bottom w:val="single" w:sz="4" w:color="D8DEE3"/>
            </w:tcBorders>
          </w:tcPr>
          <w:p>
            <w:pPr>
              <w:spacing w:after="0"/>
            </w:pPr>
            <w:r>
              <w:rPr>
                <w:b/>
                <w:color w:val="687581"/>
                <w:sz w:val="16"/>
              </w:rPr>
              <w:t>DATA</w:t>
            </w:r>
          </w:p>
        </w:tc>
        <w:tc>
          <w:tcPr>
            <w:tcW w:type="dxa" w:w="7767"/>
            <w:vAlign w:val="center"/>
            <w:tcBorders>
              <w:bottom w:val="single" w:sz="4" w:color="D8DEE3"/>
            </w:tcBorders>
          </w:tcPr>
          <w:p>
            <w:pPr>
              <w:spacing w:after="0"/>
            </w:pPr>
            <w:r>
              <w:t>Varginha/MG, 25 de julho de 2026</w:t>
            </w:r>
          </w:p>
        </w:tc>
      </w:tr>
    </w:tbl>
    <w:p/>
    <w:p>
      <w:pPr>
        <w:spacing w:after="20"/>
      </w:pPr>
      <w:r>
        <w:rPr>
          <w:b/>
          <w:color w:val="17324D"/>
        </w:rPr>
        <w:t xml:space="preserve">Requerente: </w:t>
      </w:r>
      <w:r>
        <w:t>[NOME COMPLETO / INSTITUIÇÃO]</w:t>
      </w:r>
    </w:p>
    <w:p>
      <w:pPr>
        <w:spacing w:after="20"/>
      </w:pPr>
      <w:r>
        <w:rPr>
          <w:b/>
          <w:color w:val="17324D"/>
        </w:rPr>
        <w:t xml:space="preserve">Contato para resposta: </w:t>
      </w:r>
      <w:r>
        <w:t>[E-MAIL]  •  [TELEFONE, se desejar]</w:t>
      </w:r>
    </w:p>
    <w:p>
      <w:pPr>
        <w:spacing w:after="160"/>
      </w:pPr>
      <w:r>
        <w:rPr>
          <w:b/>
          <w:color w:val="17324D"/>
        </w:rPr>
        <w:t xml:space="preserve">Número do protocolo: </w:t>
      </w:r>
      <w:r>
        <w:t>[PREENCHER APÓS O ENVIO]</w:t>
      </w:r>
    </w:p>
    <w:p>
      <w:pPr>
        <w:pStyle w:val="Heading1"/>
      </w:pPr>
      <w:r>
        <w:t>1. Contexto e objetivo</w:t>
      </w:r>
    </w:p>
    <w:p>
      <w:pPr>
        <w:keepLines/>
        <w:jc w:val="both"/>
      </w:pPr>
      <w:r>
        <w:t>O Programa Nacional de Transparência Pública (PNTP), coordenado pela Atricon com participação dos Tribunais de Contas, avalia a disponibilidade, a atualidade, a série histórica, a possibilidade de gravação de relatórios e os filtros de pesquisa dos portais públicos. A matriz de 2025 contém 176 critérios, dos quais 91 são aplicáveis ao Poder Executivo municipal: 11 essenciais, 59 obrigatórios e 21 recomendados.</w:t>
      </w:r>
    </w:p>
    <w:p>
      <w:pPr>
        <w:keepLines/>
        <w:jc w:val="both"/>
      </w:pPr>
      <w:r>
        <w:t>No painel público consultado para a Prefeitura Municipal de Varginha constam índice geral de 81,8%, nível “Elevado”, e atendimento de 81,8% dos critérios essenciais. Como a página não apresenta o espelho critério a critério, esses dados são utilizados apenas como ponto de partida e devem ser confirmados pela Prefeitura e pelo TCE-MG.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c>
          <w:tcPr>
            <w:tcW w:type="dxa" w:w="3175"/>
            <w:shd w:fill="1F5D8F"/>
            <w:vAlign w:val="center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32"/>
              </w:rPr>
              <w:t>81,8%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ÍNDICE GERAL INFORMADO</w:t>
            </w:r>
          </w:p>
        </w:tc>
        <w:tc>
          <w:tcPr>
            <w:tcW w:type="dxa" w:w="3175"/>
            <w:shd w:fill="17324D"/>
            <w:vAlign w:val="center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32"/>
              </w:rPr>
              <w:t>ELEVADO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NÍVEL INFORMADO</w:t>
            </w:r>
          </w:p>
        </w:tc>
        <w:tc>
          <w:tcPr>
            <w:tcW w:type="dxa" w:w="3175"/>
            <w:shd w:fill="A33A32"/>
            <w:vAlign w:val="center"/>
            <w:tcBorders>
              <w:top w:val="single" w:sz="4" w:color="FFFFFF"/>
              <w:bottom w:val="single" w:sz="4" w:color="FFFFFF"/>
              <w:left w:val="single" w:sz="4" w:color="FFFFFF"/>
              <w:right w:val="single" w:sz="4" w:color="FFFFFF"/>
            </w:tcBorders>
          </w:tcPr>
          <w:p>
            <w:pPr>
              <w:spacing w:after="20"/>
              <w:jc w:val="center"/>
            </w:pPr>
            <w:r>
              <w:rPr>
                <w:b/>
                <w:color w:val="FFFFFF"/>
                <w:sz w:val="32"/>
              </w:rPr>
              <w:t>81,8%</w:t>
            </w:r>
          </w:p>
          <w:p>
            <w:pPr>
              <w:spacing w:after="0"/>
              <w:jc w:val="center"/>
            </w:pPr>
            <w:r>
              <w:rPr>
                <w:b/>
                <w:color w:val="FFFFFF"/>
                <w:sz w:val="15"/>
              </w:rPr>
              <w:t>ESSENCIAIS INFORMADOS</w:t>
            </w:r>
          </w:p>
        </w:tc>
      </w:tr>
    </w:tbl>
    <w:p>
      <w:pPr>
        <w:pStyle w:val="Heading1"/>
      </w:pPr>
      <w:r>
        <w:t>2. Parte A — Pedido de acesso a informações existentes</w:t>
      </w:r>
    </w:p>
    <w:p>
      <w:pPr>
        <w:keepLines/>
        <w:jc w:val="both"/>
      </w:pPr>
      <w:r>
        <w:t>Com fundamento nos arts. 10 e 11 da Lei nº 12.527/2011, solicita-se acesso às informações e aos documentos já existentes abaixo relacionados. Não se requer, nesta parte, a produção de estudo novo.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1. </w:t>
      </w:r>
      <w:r>
        <w:rPr>
          <w:b/>
        </w:rPr>
        <w:t xml:space="preserve">Espelho integral da avaliação. </w:t>
      </w:r>
      <w:r>
        <w:t>Fornecer a autoavaliação e a validação do ciclo PNTP 2025, em formato eletrônico, com a resposta atribuída a cada critério aplicável, os links de evidência, as observações, as justificativas e, se existentes, os registros de revisão ou recurso.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2. </w:t>
      </w:r>
      <w:r>
        <w:rPr>
          <w:b/>
        </w:rPr>
        <w:t xml:space="preserve">Itens não atendidos ou parcialmente atendidos. </w:t>
      </w:r>
      <w:r>
        <w:t>Informar, por critério, a classificação (essencial, obrigatório ou recomendado) e o componente de verificação não alcançado: disponibilidade, atualidade, série histórica, gravação de relatório ou filtro de pesquisa.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3. </w:t>
      </w:r>
      <w:r>
        <w:rPr>
          <w:b/>
        </w:rPr>
        <w:t xml:space="preserve">Responsáveis e providências já formalizadas. </w:t>
      </w:r>
      <w:r>
        <w:t>Encaminhar atos, memorandos, ordens de serviço, cronogramas, contratos, chamados técnicos ou outros registros existentes relativos à correção dos itens apontados.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4. </w:t>
      </w:r>
      <w:r>
        <w:rPr>
          <w:b/>
        </w:rPr>
        <w:t xml:space="preserve">Documentos orçamentários e fiscais. </w:t>
      </w:r>
      <w:r>
        <w:t>Informar os links permanentes e diretos para PPA, LDO e LOA, com as respectivas leis e anexos, bem como RGF, RREO, prestações de contas e versões simplificadas, organizados por exercício.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5. </w:t>
      </w:r>
      <w:r>
        <w:rPr>
          <w:b/>
        </w:rPr>
        <w:t xml:space="preserve">Dados de receita e despesa. </w:t>
      </w:r>
      <w:r>
        <w:t>Informar os endereços de consulta e de exportação dos dados pormenorizados da receita e da despesa, incluindo previsão, lançamento e arrecadação; empenho, liquidação e pagamento; classificação orçamentária; favorecido; objeto; processo e procedimento licitatório, quando aplicável.</w:t>
      </w:r>
    </w:p>
    <w:p>
      <w:pPr>
        <w:pStyle w:val="Heading1"/>
      </w:pPr>
      <w:r>
        <w:t>3. Parte B — Solicitação colaborativa de providências</w:t>
      </w:r>
    </w:p>
    <w:p>
      <w:pPr>
        <w:keepLines/>
        <w:jc w:val="both"/>
      </w:pPr>
      <w:r>
        <w:t>Sem confundir esta seção com o pedido de acesso da Parte A, solicita-se que a Administração avalie a adoção das providências abaixo e informe, na resposta, quais medidas serão acolhidas, a unidade responsável e o prazo estimado.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1. </w:t>
      </w:r>
      <w:r>
        <w:rPr>
          <w:b/>
        </w:rPr>
        <w:t xml:space="preserve">Criar uma área única de Planejamento e Orçamento. </w:t>
      </w:r>
      <w:r>
        <w:t>Reunir PPA, LDO e LOA por exercício, distinguindo projeto, lei aprovada, alterações e anexos. Usar URLs estáveis, títulos padronizados, identificação clara do exercício e arquivos pesquisáveis e acessíveis.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2. </w:t>
      </w:r>
      <w:r>
        <w:rPr>
          <w:b/>
        </w:rPr>
        <w:t xml:space="preserve">Elevar a transparência da execução orçamentária. </w:t>
      </w:r>
      <w:r>
        <w:t>Disponibilizar receita e despesa em tempo real, com detalhamento completo, metadados, data e hora da última atualização e ligação entre empenho, liquidação, pagamento, contrato, licitação e fornecedor.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3. </w:t>
      </w:r>
      <w:r>
        <w:rPr>
          <w:b/>
        </w:rPr>
        <w:t xml:space="preserve">Oferecer dados reutilizáveis. </w:t>
      </w:r>
      <w:r>
        <w:t>Permitir filtros combináveis, busca textual, exportação integral do resultado em CSV/XLSX e, quando viável, acesso por API, preservando série histórica mínima de três exercícios e evitando relatórios limitados apenas ao que aparece na tela.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4. </w:t>
      </w:r>
      <w:r>
        <w:rPr>
          <w:b/>
        </w:rPr>
        <w:t xml:space="preserve">Publicar painel de conformidade do PNTP. </w:t>
      </w:r>
      <w:r>
        <w:t>Disponibilizar o espelho da avaliação, as evidências, o status de cada correção e um plano de ação com responsáveis e prazos, mantendo registro das melhorias entre ciclos.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5. </w:t>
      </w:r>
      <w:r>
        <w:rPr>
          <w:b/>
        </w:rPr>
        <w:t xml:space="preserve">Melhorar acessibilidade e experiência de uso. </w:t>
      </w:r>
      <w:r>
        <w:t>Revisar contraste, redimensionamento de texto, navegação por teclado, rótulos para leitores de tela, caminho de navegação, mapa do site, linguagem simples, SIC, Ouvidoria, política de privacidade e canais de contato.</w:t>
      </w:r>
    </w:p>
    <w:p>
      <w:pPr>
        <w:pStyle w:val="Heading1"/>
      </w:pPr>
      <w:r>
        <w:t>4. Priorização sugerida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4195"/>
        <w:gridCol w:w="4082"/>
      </w:tblGrid>
      <w:tr>
        <w:trPr>
          <w:tblHeader w:val="true"/>
          <w:cantSplit w:val="true"/>
        </w:trPr>
        <w:tc>
          <w:tcPr>
            <w:tcW w:type="dxa" w:w="1247"/>
            <w:shd w:fill="17324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PRIORIDADE</w:t>
            </w:r>
          </w:p>
        </w:tc>
        <w:tc>
          <w:tcPr>
            <w:tcW w:type="dxa" w:w="4195"/>
            <w:shd w:fill="17324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ENTREGA SUGERIDA</w:t>
            </w:r>
          </w:p>
        </w:tc>
        <w:tc>
          <w:tcPr>
            <w:tcW w:type="dxa" w:w="4082"/>
            <w:shd w:fill="17324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b/>
                <w:color w:val="1F5D8F"/>
                <w:sz w:val="17"/>
              </w:rPr>
              <w:t>IMEDIATA</w:t>
            </w:r>
          </w:p>
        </w:tc>
        <w:tc>
          <w:tcPr>
            <w:tcW w:type="dxa" w:w="4195"/>
            <w:vAlign w:val="center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sz w:val="17"/>
              </w:rPr>
              <w:t>Corrigir todos os critérios essenciais e links quebrados</w:t>
            </w:r>
          </w:p>
        </w:tc>
        <w:tc>
          <w:tcPr>
            <w:tcW w:type="dxa" w:w="4082"/>
            <w:vAlign w:val="center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sz w:val="17"/>
              </w:rPr>
              <w:t>Alcançar 100% dos essenciais, condição necessária para os selos Prata, Ouro e Diamante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fill="F3F5F7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b/>
                <w:color w:val="1F5D8F"/>
                <w:sz w:val="17"/>
              </w:rPr>
              <w:t>30–60 DIAS</w:t>
            </w:r>
          </w:p>
        </w:tc>
        <w:tc>
          <w:tcPr>
            <w:tcW w:type="dxa" w:w="4195"/>
            <w:vAlign w:val="center"/>
            <w:shd w:fill="F3F5F7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sz w:val="17"/>
              </w:rPr>
              <w:t>Centralizar PPA, LDO, LOA, RGF, RREO, receitas e despesas</w:t>
            </w:r>
          </w:p>
        </w:tc>
        <w:tc>
          <w:tcPr>
            <w:tcW w:type="dxa" w:w="4082"/>
            <w:vAlign w:val="center"/>
            <w:shd w:fill="F3F5F7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sz w:val="17"/>
              </w:rPr>
              <w:t>Reduzir dispersão, facilitar localização e comprovação das evidências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b/>
                <w:color w:val="1F5D8F"/>
                <w:sz w:val="17"/>
              </w:rPr>
              <w:t>60–90 DIAS</w:t>
            </w:r>
          </w:p>
        </w:tc>
        <w:tc>
          <w:tcPr>
            <w:tcW w:type="dxa" w:w="4195"/>
            <w:vAlign w:val="center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sz w:val="17"/>
              </w:rPr>
              <w:t>Filtros, exportações, série histórica, acessibilidade e metadados</w:t>
            </w:r>
          </w:p>
        </w:tc>
        <w:tc>
          <w:tcPr>
            <w:tcW w:type="dxa" w:w="4082"/>
            <w:vAlign w:val="center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sz w:val="17"/>
              </w:rPr>
              <w:t>Elevar a nota e tornar o portal efetivamente utilizável por cidadãos e sistemas</w:t>
            </w:r>
          </w:p>
        </w:tc>
      </w:tr>
      <w:tr>
        <w:trPr>
          <w:cantSplit w:val="true"/>
        </w:trPr>
        <w:tc>
          <w:tcPr>
            <w:tcW w:type="dxa" w:w="1247"/>
            <w:vAlign w:val="center"/>
            <w:shd w:fill="F3F5F7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b/>
                <w:color w:val="1F5D8F"/>
                <w:sz w:val="17"/>
              </w:rPr>
              <w:t>CONTÍNUA</w:t>
            </w:r>
          </w:p>
        </w:tc>
        <w:tc>
          <w:tcPr>
            <w:tcW w:type="dxa" w:w="4195"/>
            <w:vAlign w:val="center"/>
            <w:shd w:fill="F3F5F7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sz w:val="17"/>
              </w:rPr>
              <w:t>Painel PNTP, rotina de atualização e testes periódicos</w:t>
            </w:r>
          </w:p>
        </w:tc>
        <w:tc>
          <w:tcPr>
            <w:tcW w:type="dxa" w:w="4082"/>
            <w:vAlign w:val="center"/>
            <w:shd w:fill="F3F5F7"/>
            <w:tcBorders>
              <w:bottom w:val="single" w:sz="3" w:color="D8DEE3"/>
            </w:tcBorders>
          </w:tcPr>
          <w:p>
            <w:pPr>
              <w:spacing w:after="0"/>
            </w:pPr>
            <w:r>
              <w:rPr>
                <w:sz w:val="17"/>
              </w:rPr>
              <w:t>Evitar regressões e manter prontidão para o ciclo vigente</w:t>
            </w:r>
          </w:p>
        </w:tc>
      </w:tr>
    </w:tbl>
    <w:p>
      <w:pPr>
        <w:pStyle w:val="Heading1"/>
      </w:pPr>
      <w:r>
        <w:t>5. Forma e prazo da resposta</w:t>
      </w:r>
    </w:p>
    <w:p>
      <w:pPr>
        <w:keepLines/>
        <w:jc w:val="both"/>
      </w:pPr>
      <w:r>
        <w:t>Solicita-se resposta eletrônica, preferencialmente em planilha aberta para o espelho critério a critério, acompanhada dos documentos e links diretos. Nos termos do art. 11 da Lei nº 12.527/2011, a informação disponível deve ser fornecida imediatamente; não sendo possível, o prazo é de até 20 dias, prorrogável por mais 10 dias mediante justificativa expressa e ciência do requerente.</w:t>
      </w:r>
    </w:p>
    <w:p>
      <w:pPr>
        <w:keepLines/>
        <w:jc w:val="both"/>
      </w:pPr>
      <w:r>
        <w:t>Caso alguma informação seja de competência de outro órgão, solicita-se a indicação de quem a detém ou a remessa do pedido, com ciência ao requerente. Eventual negativa total ou parcial deve ser fundamentada e acompanhada da orientação sobre recurso.</w:t>
      </w:r>
    </w:p>
    <w:p>
      <w:pPr>
        <w:pStyle w:val="Heading1"/>
      </w:pPr>
      <w:r>
        <w:t>6. Base legal detalhada para transparência e fiscalização</w:t>
      </w:r>
    </w:p>
    <w:p>
      <w:pPr>
        <w:keepLines/>
        <w:jc w:val="both"/>
      </w:pPr>
      <w:r>
        <w:t>As normas abaixo estabelecem requisitos mínimos. A publicação não se considera plenamente atendida apenas porque existe um arquivo: a informação deve ser localizável, íntegra, atualizada, acessível, reutilizável e entregue no prazo aplicável.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3969"/>
        <w:gridCol w:w="3628"/>
      </w:tblGrid>
      <w:tr>
        <w:trPr>
          <w:tblHeader w:val="true"/>
          <w:cantSplit w:val="true"/>
        </w:trPr>
        <w:tc>
          <w:tcPr>
            <w:tcW w:type="dxa" w:w="1928"/>
            <w:shd w:fill="17324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NORMA</w:t>
            </w:r>
          </w:p>
        </w:tc>
        <w:tc>
          <w:tcPr>
            <w:tcW w:type="dxa" w:w="3969"/>
            <w:shd w:fill="17324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DIREITO OU OBRIGAÇÃO</w:t>
            </w:r>
          </w:p>
        </w:tc>
        <w:tc>
          <w:tcPr>
            <w:tcW w:type="dxa" w:w="3628"/>
            <w:shd w:fill="17324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REFLEXO PRÁTICO NO PORTAL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Constituição Federal</w:t>
              <w:br/>
              <w:t>arts. 5º, XXXIII e XXXIV; 31; 37; 70 e 74, §2º</w:t>
            </w:r>
          </w:p>
        </w:tc>
        <w:tc>
          <w:tcPr>
            <w:tcW w:type="dxa" w:w="396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Direito à informação e de petição; publicidade e eficiência; fiscalização municipal pelo Legislativo e controles internos; exame das contas por contribuintes; legitimidade cidadã para provocar o controle externo.</w:t>
            </w:r>
          </w:p>
        </w:tc>
        <w:tc>
          <w:tcPr>
            <w:tcW w:type="dxa" w:w="36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Acesso sem barreiras indevidas, documentação apta à conferência e canais claros de pedido, recurso, representação e acompanhamento.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Lei Federal nº 12.527/2011 - LAI</w:t>
              <w:br/>
              <w:t>arts. 3º, 7º a 12 e 15</w:t>
            </w:r>
          </w:p>
        </w:tc>
        <w:tc>
          <w:tcPr>
            <w:tcW w:type="dxa" w:w="396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Publicidade é regra e sigilo é exceção. Garante informação primária, íntegra, autêntica e atualizada; acesso à parte não sigilosa; pesquisa, formatos abertos, acesso automatizado, integridade, atualização e acessibilidade.</w:t>
            </w:r>
          </w:p>
        </w:tc>
        <w:tc>
          <w:tcPr>
            <w:tcW w:type="dxa" w:w="36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Entregar dados digitais no formato em que estão armazenados; oferecer CSV/XLSX/JSON quando houver base estruturada; não limitar a resposta a imagem ou PDF quando existirem dados reutilizáveis; ocultar somente a parte protegida.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Lei Municipal nº 5.729/2013</w:t>
              <w:br/>
              <w:t>arts. 1º, 3º, 7º, 9º a 14 e 21 a 22</w:t>
            </w:r>
          </w:p>
        </w:tc>
        <w:tc>
          <w:tcPr>
            <w:tcW w:type="dxa" w:w="396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Regulamenta a LAI em Varginha para Executivo e Legislativo; exige SIC, protocolo, transparência ativa, ferramenta de pesquisa, gravação em diversos formatos, informação sobre formatos e acessibilidade.</w:t>
            </w:r>
          </w:p>
        </w:tc>
        <w:tc>
          <w:tcPr>
            <w:tcW w:type="dxa" w:w="36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O pedido pode ser físico ou virtual; deve gerar protocolo; a recusa precisa de fundamento legal e orientação de recurso. Aplica-se aos dois Poderes municipais.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LC nº 101/2000 - LRF</w:t>
              <w:br/>
              <w:t>arts. 9º, §4º; 48, 48-A, 49, 52, 54, 55 e 59</w:t>
            </w:r>
          </w:p>
        </w:tc>
        <w:tc>
          <w:tcPr>
            <w:tcW w:type="dxa" w:w="396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Ampla divulgação de PPA, LDO, LOA, contas, RREO e RGF; execução orçamentária pormenorizada; audiências de metas fiscais; fiscalização pelo Legislativo, Tribunal de Contas e controles internos.</w:t>
            </w:r>
          </w:p>
        </w:tc>
        <w:tc>
          <w:tcPr>
            <w:tcW w:type="dxa" w:w="36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Dados devem permitir acompanhar receita, empenho, liquidação, pagamento, favorecido, objeto, processo, licitação, metas, limites e prestações de contas.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Decreto Federal nº 10.540/2020</w:t>
              <w:br/>
              <w:t>arts. 2º, IX e X; 7º e 8º</w:t>
            </w:r>
          </w:p>
        </w:tc>
        <w:tc>
          <w:tcPr>
            <w:tcW w:type="dxa" w:w="396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Define tempo real como publicação até o primeiro dia útil seguinte ao registro contábil no SIAFIC e exige meio eletrônico de amplo acesso público.</w:t>
            </w:r>
          </w:p>
        </w:tc>
        <w:tc>
          <w:tcPr>
            <w:tcW w:type="dxa" w:w="36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Exibir data e hora do registro e da atualização; permitir consulta sem cadastro, senha ou autenticação; detalhar empenho, liquidação, pagamento e receitas.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Lei Federal nº 14.129/2021</w:t>
              <w:br/>
              <w:t>arts. 2º, 4º e 29</w:t>
            </w:r>
          </w:p>
        </w:tc>
        <w:tc>
          <w:tcPr>
            <w:tcW w:type="dxa" w:w="396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 aplicação direta aos Municípios depende de adoção por ato normativo próprio. Quando aplicável, define dados abertos estruturados, processáveis por máquina, referenciados na internet e disponíveis em formato aberto.</w:t>
            </w:r>
          </w:p>
        </w:tc>
        <w:tc>
          <w:tcPr>
            <w:tcW w:type="dxa" w:w="36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Informar se houve adoção municipal. Independentemente disso, cumprir os formatos abertos já exigidos pela LAI: arquivo integral, dicionário, metadados, URL permanente e, quando possível, API documentada.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Lei Federal nº 14.133/2021</w:t>
              <w:br/>
              <w:t>arts. 54, 94 e 174</w:t>
            </w:r>
          </w:p>
        </w:tc>
        <w:tc>
          <w:tcPr>
            <w:tcW w:type="dxa" w:w="396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Edital e anexos no PNCP; documentos preparatórios após homologação; contratos e aditivos no PNCP como condição de eficácia, além de dados específicos de obras.</w:t>
            </w:r>
          </w:p>
        </w:tc>
        <w:tc>
          <w:tcPr>
            <w:tcW w:type="dxa" w:w="36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Vincular no portal municipal edital, processo, resultado, contrato, aditivo, fiscal, execução, medições, pagamentos e registro correspondente no PNCP.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Leis Federais nº 13.709/2018 e nº 13.146/2015</w:t>
              <w:br/>
              <w:t>LGPD art. 23; LBI art. 63</w:t>
            </w:r>
          </w:p>
        </w:tc>
        <w:tc>
          <w:tcPr>
            <w:tcW w:type="dxa" w:w="396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O poder público deve informar finalidade, base legal e práticas de tratamento de dados pessoais; os sítios governamentais devem ser acessíveis.</w:t>
            </w:r>
          </w:p>
        </w:tc>
        <w:tc>
          <w:tcPr>
            <w:tcW w:type="dxa" w:w="36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LGPD não autoriza ocultação genérica: proteger dados pessoais e fornecer a parte pública. Garantir teclado, leitor de tela, contraste, texto redimensionável e símbolo de acessibilidade.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Lei Federal nº 8.159/1991</w:t>
              <w:br/>
              <w:t>arts. 1º a 5º e 7º</w:t>
            </w:r>
          </w:p>
        </w:tc>
        <w:tc>
          <w:tcPr>
            <w:tcW w:type="dxa" w:w="396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Impõe gestão e proteção dos documentos públicos como elementos de prova e informação e reconhece arquivos municipais dos Poderes Executivo e Legislativo.</w:t>
            </w:r>
          </w:p>
        </w:tc>
        <w:tc>
          <w:tcPr>
            <w:tcW w:type="dxa" w:w="3628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Preservar histórico, anexos, versões, links permanentes e trilha de atualização; evitar substituição de arquivos sem registro e remoção indevida de séries antigas.</w:t>
            </w:r>
          </w:p>
        </w:tc>
      </w:tr>
      <w:tr>
        <w:trPr>
          <w:cantSplit w:val="true"/>
        </w:trPr>
        <w:tc>
          <w:tcPr>
            <w:tcW w:type="dxa" w:w="19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Lei Federal nº 13.460/2017</w:t>
              <w:br/>
              <w:t>arts. 13 a 16</w:t>
            </w:r>
          </w:p>
        </w:tc>
        <w:tc>
          <w:tcPr>
            <w:tcW w:type="dxa" w:w="396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Disciplina manifestações de Ouvidoria e determina decisão final ao usuário.</w:t>
            </w:r>
          </w:p>
        </w:tc>
        <w:tc>
          <w:tcPr>
            <w:tcW w:type="dxa" w:w="3628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Separar claramente pedido LAI de manifestação de Ouvidoria e publicar protocolo, canal, andamento e prazo próprio de cada procedimento.</w:t>
            </w:r>
          </w:p>
        </w:tc>
      </w:tr>
    </w:tbl>
    <w:p>
      <w:pPr>
        <w:pStyle w:val="Heading1"/>
      </w:pPr>
      <w:r>
        <w:t>7. Prazos objetivos que devem ser demonstrados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41"/>
        <w:gridCol w:w="4649"/>
        <w:gridCol w:w="2835"/>
      </w:tblGrid>
      <w:tr>
        <w:trPr>
          <w:tblHeader w:val="true"/>
          <w:cantSplit w:val="true"/>
        </w:trPr>
        <w:tc>
          <w:tcPr>
            <w:tcW w:type="dxa" w:w="2041"/>
            <w:shd w:fill="17324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INFORMAÇÃO OU ATO</w:t>
            </w:r>
          </w:p>
        </w:tc>
        <w:tc>
          <w:tcPr>
            <w:tcW w:type="dxa" w:w="4649"/>
            <w:shd w:fill="17324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PRAZO / PERIODICIDADE</w:t>
            </w:r>
          </w:p>
        </w:tc>
        <w:tc>
          <w:tcPr>
            <w:tcW w:type="dxa" w:w="2835"/>
            <w:shd w:fill="17324D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5"/>
              </w:rPr>
              <w:t>BASE LEGAL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Pedido LAI</w:t>
            </w:r>
          </w:p>
        </w:tc>
        <w:tc>
          <w:tcPr>
            <w:tcW w:type="dxa" w:w="464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Imediato, se disponível; caso contrário, até 20 dias, prorrogáveis uma vez por 10 dias, com justificativa expressa.</w:t>
            </w:r>
          </w:p>
        </w:tc>
        <w:tc>
          <w:tcPr>
            <w:tcW w:type="dxa" w:w="2835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LAI, art. 11; Lei Municipal nº 5.729/2013, art. 13.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Recurso LAI</w:t>
            </w:r>
          </w:p>
        </w:tc>
        <w:tc>
          <w:tcPr>
            <w:tcW w:type="dxa" w:w="464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Interposição pelo requerente em até 10 dias; decisão da autoridade superior em 5 dias, conforme a LAI federal.</w:t>
            </w:r>
          </w:p>
        </w:tc>
        <w:tc>
          <w:tcPr>
            <w:tcW w:type="dxa" w:w="2835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LAI, art. 15. A lei municipal também prevê recurso em 10 dias e reclamação subsequente em 5 dias.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Manifestação de Ouvidoria</w:t>
            </w:r>
          </w:p>
        </w:tc>
        <w:tc>
          <w:tcPr>
            <w:tcW w:type="dxa" w:w="464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Decisão final em 30 dias, prorrogável uma única vez por igual período, mediante justificativa.</w:t>
            </w:r>
          </w:p>
        </w:tc>
        <w:tc>
          <w:tcPr>
            <w:tcW w:type="dxa" w:w="2835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Lei nº 13.460/2017, art. 16. Este prazo não substitui o prazo da LAI.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Execução orçamentária e financeira</w:t>
            </w:r>
          </w:p>
        </w:tc>
        <w:tc>
          <w:tcPr>
            <w:tcW w:type="dxa" w:w="464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Até o primeiro dia útil seguinte à data do registro contábil no SIAFIC.</w:t>
            </w:r>
          </w:p>
        </w:tc>
        <w:tc>
          <w:tcPr>
            <w:tcW w:type="dxa" w:w="2835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Decreto nº 10.540/2020, arts. 2º, IX, e 7º, §1º.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RREO</w:t>
            </w:r>
          </w:p>
        </w:tc>
        <w:tc>
          <w:tcPr>
            <w:tcW w:type="dxa" w:w="464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Até 30 dias após o encerramento de cada bimestre.</w:t>
            </w:r>
          </w:p>
        </w:tc>
        <w:tc>
          <w:tcPr>
            <w:tcW w:type="dxa" w:w="2835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LRF, art. 52.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RGF</w:t>
            </w:r>
          </w:p>
        </w:tc>
        <w:tc>
          <w:tcPr>
            <w:tcW w:type="dxa" w:w="464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Até 30 dias após o encerramento de cada quadrimestre, com amplo acesso inclusive eletrônico.</w:t>
            </w:r>
          </w:p>
        </w:tc>
        <w:tc>
          <w:tcPr>
            <w:tcW w:type="dxa" w:w="2835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LRF, arts. 54 e 55, §2º.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Metas fiscais</w:t>
            </w:r>
          </w:p>
        </w:tc>
        <w:tc>
          <w:tcPr>
            <w:tcW w:type="dxa" w:w="464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Audiências até o final de fevereiro, maio e setembro, referentes ao quadrimestre anterior.</w:t>
            </w:r>
          </w:p>
        </w:tc>
        <w:tc>
          <w:tcPr>
            <w:tcW w:type="dxa" w:w="2835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LRF, art. 9º, §4º.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Programação financeira</w:t>
            </w:r>
          </w:p>
        </w:tc>
        <w:tc>
          <w:tcPr>
            <w:tcW w:type="dxa" w:w="464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Estabelecimento da programação financeira e do cronograma mensal de desembolso em até 30 dias após a publicação do orçamento.</w:t>
            </w:r>
          </w:p>
        </w:tc>
        <w:tc>
          <w:tcPr>
            <w:tcW w:type="dxa" w:w="2835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LRF, art. 8º.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Contas municipais</w:t>
            </w:r>
          </w:p>
        </w:tc>
        <w:tc>
          <w:tcPr>
            <w:tcW w:type="dxa" w:w="464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Disponíveis durante todo o exercício; adicionalmente, por 60 dias anuais para exame de qualquer contribuinte.</w:t>
            </w:r>
          </w:p>
        </w:tc>
        <w:tc>
          <w:tcPr>
            <w:tcW w:type="dxa" w:w="2835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LRF, art. 49; Constituição Federal, art. 31, §3º.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Contrato e aditamento no PNCP</w:t>
            </w:r>
          </w:p>
        </w:tc>
        <w:tc>
          <w:tcPr>
            <w:tcW w:type="dxa" w:w="4649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Até 20 dias úteis após assinatura em licitação; até 10 dias úteis em contratação direta.</w:t>
            </w:r>
          </w:p>
        </w:tc>
        <w:tc>
          <w:tcPr>
            <w:tcW w:type="dxa" w:w="2835"/>
            <w:vAlign w:val="top"/>
            <w:shd w:fill="F3F5F7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Lei nº 14.133/2021, art. 94.</w:t>
            </w:r>
          </w:p>
        </w:tc>
      </w:tr>
      <w:tr>
        <w:trPr>
          <w:cantSplit w:val="true"/>
        </w:trPr>
        <w:tc>
          <w:tcPr>
            <w:tcW w:type="dxa" w:w="2041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b/>
                <w:color w:val="1F5D8F"/>
                <w:sz w:val="15"/>
              </w:rPr>
              <w:t>Dados de obras contratadas</w:t>
            </w:r>
          </w:p>
        </w:tc>
        <w:tc>
          <w:tcPr>
            <w:tcW w:type="dxa" w:w="4649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Quantitativos e preços contratados em até 25 dias úteis da assinatura; executados e praticados em até 45 dias úteis da conclusão.</w:t>
            </w:r>
          </w:p>
        </w:tc>
        <w:tc>
          <w:tcPr>
            <w:tcW w:type="dxa" w:w="2835"/>
            <w:vAlign w:val="top"/>
            <w:tcBorders>
              <w:bottom w:val="single" w:sz="3" w:color="D8DEE3"/>
            </w:tcBorders>
          </w:tcPr>
          <w:p>
            <w:pPr>
              <w:spacing w:after="0" w:line="240" w:lineRule="auto"/>
            </w:pPr>
            <w:r>
              <w:rPr>
                <w:sz w:val="15"/>
              </w:rPr>
              <w:t>Lei nº 14.133/2021, art. 94, §3º.</w:t>
            </w:r>
          </w:p>
        </w:tc>
      </w:tr>
    </w:tbl>
    <w:p>
      <w:pPr>
        <w:pStyle w:val="Heading1"/>
      </w:pPr>
      <w:r>
        <w:t>8. Requisitos mínimos de entrega solicitados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1. </w:t>
      </w:r>
      <w:r>
        <w:rPr>
          <w:b/>
        </w:rPr>
        <w:t xml:space="preserve">Dados estruturados e completos. </w:t>
      </w:r>
      <w:r>
        <w:t>Fornecer o conjunto integral em CSV, XLSX ou JSON quando a origem for uma base estruturada, além de eventual PDF de apresentação. Informar codificação, campos, tipos, unidades, chaves, período coberto e dicionário de dados.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2. </w:t>
      </w:r>
      <w:r>
        <w:rPr>
          <w:b/>
        </w:rPr>
        <w:t xml:space="preserve">Metadados e comprovação de atualidade. </w:t>
      </w:r>
      <w:r>
        <w:t>Exibir fonte, unidade responsável, periodicidade, data e hora do registro, data e hora da publicação, última atualização e cobertura histórica.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3. </w:t>
      </w:r>
      <w:r>
        <w:rPr>
          <w:b/>
        </w:rPr>
        <w:t xml:space="preserve">Acesso integral ou parcialmente tarjado. </w:t>
      </w:r>
      <w:r>
        <w:t>Se houver dado protegido, entregar a parte pública por certidão, extrato ou cópia com ocultação somente do trecho sigiloso, indicando a base legal específica da restrição, a autoridade classificadora, o prazo de sigilo e a via recursal.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4. </w:t>
      </w:r>
      <w:r>
        <w:rPr>
          <w:b/>
        </w:rPr>
        <w:t xml:space="preserve">Integridade, permanência e rastreabilidade. </w:t>
      </w:r>
      <w:r>
        <w:t>Manter URLs permanentes, número de versão, anexos, histórico de substituições e identificador único que permita cruzar orçamento, licitação, contrato, empenho, liquidação, pagamento e prestação de contas.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5. </w:t>
      </w:r>
      <w:r>
        <w:rPr>
          <w:b/>
        </w:rPr>
        <w:t xml:space="preserve">Consulta sem barreiras. </w:t>
      </w:r>
      <w:r>
        <w:t>Não exigir cadastro, senha, aplicativo proprietário ou aceite de rastreamento não essencial para acessar dados públicos; permitir pesquisa, filtros combinados, paginação transparente e exportação integral do resultado.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6. </w:t>
      </w:r>
      <w:r>
        <w:rPr>
          <w:b/>
        </w:rPr>
        <w:t xml:space="preserve">Calendário público de obrigações. </w:t>
      </w:r>
      <w:r>
        <w:t>Publicar calendário com o prazo legal, data efetiva de publicação, link da entrega e responsável por RREO, RGF, audiências, contas, instrumentos orçamentários, contratos, obras e bases de execução em tempo real.</w:t>
      </w:r>
    </w:p>
    <w:p>
      <w:pPr>
        <w:keepLines/>
        <w:ind w:left="85" w:hanging="85"/>
        <w:jc w:val="both"/>
      </w:pPr>
      <w:r>
        <w:rPr>
          <w:b/>
          <w:color w:val="1F5D8F"/>
        </w:rPr>
        <w:t xml:space="preserve">7. </w:t>
      </w:r>
      <w:r>
        <w:rPr>
          <w:b/>
        </w:rPr>
        <w:t xml:space="preserve">Adoção municipal da Lei de Governo Digital. </w:t>
      </w:r>
      <w:r>
        <w:t>Informar se a Lei Federal nº 14.129/2021 foi adotada pelo Município por ato normativo próprio, nos termos de seu art. 2º, III, e encaminhar o respectivo ato. Na ausência, indicar a norma ou política local que rege dados abertos e serviços digitais.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81"/>
      </w:tblGrid>
      <w:tr>
        <w:trPr>
          <w:cantSplit w:val="true"/>
        </w:trPr>
        <w:tc>
          <w:tcPr>
            <w:tcW w:type="dxa" w:w="9581"/>
            <w:shd w:fill="EAF2F8"/>
            <w:tcBorders>
              <w:left w:val="single" w:sz="18" w:color="1F5D8F"/>
            </w:tcBorders>
          </w:tcPr>
          <w:p>
            <w:pPr>
              <w:spacing w:after="0"/>
            </w:pPr>
            <w:r>
              <w:rPr>
                <w:b/>
              </w:rPr>
              <w:t xml:space="preserve">Critério de verificação sugerido. </w:t>
            </w:r>
            <w:r>
              <w:t>Para cada obrigação, a resposta deve indicar: situação atual, URL direta, formato, período disponível, data da última atualização, unidade responsável, eventual fundamento de restrição e prazo de correção. Respostas genéricas como “disponível no portal”, sem link e sem identificação da base, não permitem verificar o atendimento.</w:t>
            </w:r>
          </w:p>
        </w:tc>
      </w:tr>
    </w:tbl>
    <w:p>
      <w:pPr>
        <w:pStyle w:val="Heading1"/>
      </w:pPr>
      <w:r>
        <w:t>9. Referências utilizadas</w:t>
      </w:r>
    </w:p>
    <w:p>
      <w:pPr>
        <w:spacing w:after="60"/>
        <w:ind w:left="113" w:hanging="113"/>
      </w:pPr>
      <w:r>
        <w:rPr>
          <w:b/>
        </w:rPr>
        <w:t xml:space="preserve">1. </w:t>
      </w:r>
      <w:hyperlink r:id="rId11">
        <w:r>
          <w:rPr>
            <w:color w:val="1F5D8F"/>
            <w:u w:val="single"/>
          </w:rPr>
          <w:t>Constituição da República Federativa do Brasil</w:t>
        </w:r>
      </w:hyperlink>
      <w:r>
        <w:t xml:space="preserve"> — arts. 5º, 31, 37, 70 e 74.</w:t>
      </w:r>
    </w:p>
    <w:p>
      <w:pPr>
        <w:spacing w:after="60"/>
        <w:ind w:left="113" w:hanging="113"/>
      </w:pPr>
      <w:r>
        <w:rPr>
          <w:b/>
        </w:rPr>
        <w:t xml:space="preserve">2. </w:t>
      </w:r>
      <w:hyperlink r:id="rId12">
        <w:r>
          <w:rPr>
            <w:color w:val="1F5D8F"/>
            <w:u w:val="single"/>
          </w:rPr>
          <w:t>Lei nº 12.527/2011 (Lei de Acesso à Informação)</w:t>
        </w:r>
      </w:hyperlink>
      <w:r>
        <w:t xml:space="preserve"> — transparência ativa, forma de entrega, prazos e recursos.</w:t>
      </w:r>
    </w:p>
    <w:p>
      <w:pPr>
        <w:spacing w:after="60"/>
        <w:ind w:left="113" w:hanging="113"/>
      </w:pPr>
      <w:r>
        <w:rPr>
          <w:b/>
        </w:rPr>
        <w:t xml:space="preserve">3. </w:t>
      </w:r>
      <w:hyperlink r:id="rId13">
        <w:r>
          <w:rPr>
            <w:color w:val="1F5D8F"/>
            <w:u w:val="single"/>
          </w:rPr>
          <w:t>Lei Municipal nº 5.729/2013</w:t>
        </w:r>
      </w:hyperlink>
      <w:r>
        <w:t xml:space="preserve"> — regulamentação do acesso à informação em Varginha para Executivo e Legislativo.</w:t>
      </w:r>
    </w:p>
    <w:p>
      <w:pPr>
        <w:spacing w:after="60"/>
        <w:ind w:left="113" w:hanging="113"/>
      </w:pPr>
      <w:r>
        <w:rPr>
          <w:b/>
        </w:rPr>
        <w:t xml:space="preserve">4. </w:t>
      </w:r>
      <w:hyperlink r:id="rId14">
        <w:r>
          <w:rPr>
            <w:color w:val="1F5D8F"/>
            <w:u w:val="single"/>
          </w:rPr>
          <w:t>Lei Complementar nº 101/2000 (Lei de Responsabilidade Fiscal)</w:t>
        </w:r>
      </w:hyperlink>
      <w:r>
        <w:t xml:space="preserve"> — execução, relatórios, contas, audiências e fiscalização.</w:t>
      </w:r>
    </w:p>
    <w:p>
      <w:pPr>
        <w:spacing w:after="60"/>
        <w:ind w:left="113" w:hanging="113"/>
      </w:pPr>
      <w:r>
        <w:rPr>
          <w:b/>
        </w:rPr>
        <w:t xml:space="preserve">5. </w:t>
      </w:r>
      <w:hyperlink r:id="rId15">
        <w:r>
          <w:rPr>
            <w:color w:val="1F5D8F"/>
            <w:u w:val="single"/>
          </w:rPr>
          <w:t>Decreto nº 10.540/2020 (padrão do SIAFIC)</w:t>
        </w:r>
      </w:hyperlink>
      <w:r>
        <w:t xml:space="preserve"> — tempo real, detalhamento e acesso público.</w:t>
      </w:r>
    </w:p>
    <w:p>
      <w:pPr>
        <w:spacing w:after="60"/>
        <w:ind w:left="113" w:hanging="113"/>
      </w:pPr>
      <w:r>
        <w:rPr>
          <w:b/>
        </w:rPr>
        <w:t xml:space="preserve">6. </w:t>
      </w:r>
      <w:hyperlink r:id="rId16">
        <w:r>
          <w:rPr>
            <w:color w:val="1F5D8F"/>
            <w:u w:val="single"/>
          </w:rPr>
          <w:t>Lei nº 14.129/2021 (Governo Digital)</w:t>
        </w:r>
      </w:hyperlink>
      <w:r>
        <w:t xml:space="preserve"> — aplicação municipal condicionada ao art. 2º, III; padrões de dados abertos e reutilização.</w:t>
      </w:r>
    </w:p>
    <w:p>
      <w:pPr>
        <w:spacing w:after="60"/>
        <w:ind w:left="113" w:hanging="113"/>
      </w:pPr>
      <w:r>
        <w:rPr>
          <w:b/>
        </w:rPr>
        <w:t xml:space="preserve">7. </w:t>
      </w:r>
      <w:hyperlink r:id="rId17">
        <w:r>
          <w:rPr>
            <w:color w:val="1F5D8F"/>
            <w:u w:val="single"/>
          </w:rPr>
          <w:t>Lei nº 14.133/2021 (Licitações e Contratos)</w:t>
        </w:r>
      </w:hyperlink>
      <w:r>
        <w:t xml:space="preserve"> — PNCP, editais, contratos, aditivos e obras.</w:t>
      </w:r>
    </w:p>
    <w:p>
      <w:pPr>
        <w:spacing w:after="60"/>
        <w:ind w:left="113" w:hanging="113"/>
      </w:pPr>
      <w:r>
        <w:rPr>
          <w:b/>
        </w:rPr>
        <w:t xml:space="preserve">8. </w:t>
      </w:r>
      <w:hyperlink r:id="rId18">
        <w:r>
          <w:rPr>
            <w:color w:val="1F5D8F"/>
            <w:u w:val="single"/>
          </w:rPr>
          <w:t>Lei nº 13.460/2017 (Direitos do Usuário e Ouvidoria)</w:t>
        </w:r>
      </w:hyperlink>
      <w:r>
        <w:t xml:space="preserve"> — manifestações e prazo próprio de resposta.</w:t>
      </w:r>
    </w:p>
    <w:p>
      <w:pPr>
        <w:spacing w:after="60"/>
        <w:ind w:left="113" w:hanging="113"/>
      </w:pPr>
      <w:r>
        <w:rPr>
          <w:b/>
        </w:rPr>
        <w:t xml:space="preserve">9. </w:t>
      </w:r>
      <w:hyperlink r:id="rId19">
        <w:r>
          <w:rPr>
            <w:color w:val="1F5D8F"/>
            <w:u w:val="single"/>
          </w:rPr>
          <w:t>Lei nº 13.709/2018 (LGPD)</w:t>
        </w:r>
      </w:hyperlink>
      <w:r>
        <w:t xml:space="preserve"> — tratamento de dados pessoais pelo poder público.</w:t>
      </w:r>
    </w:p>
    <w:p>
      <w:pPr>
        <w:spacing w:after="60"/>
        <w:ind w:left="113" w:hanging="113"/>
      </w:pPr>
      <w:r>
        <w:rPr>
          <w:b/>
        </w:rPr>
        <w:t xml:space="preserve">10. </w:t>
      </w:r>
      <w:hyperlink r:id="rId20">
        <w:r>
          <w:rPr>
            <w:color w:val="1F5D8F"/>
            <w:u w:val="single"/>
          </w:rPr>
          <w:t>Lei nº 13.146/2015 (Lei Brasileira de Inclusão)</w:t>
        </w:r>
      </w:hyperlink>
      <w:r>
        <w:t xml:space="preserve"> — acessibilidade obrigatória nos sítios governamentais.</w:t>
      </w:r>
    </w:p>
    <w:p>
      <w:pPr>
        <w:spacing w:after="60"/>
        <w:ind w:left="113" w:hanging="113"/>
      </w:pPr>
      <w:r>
        <w:rPr>
          <w:b/>
        </w:rPr>
        <w:t xml:space="preserve">11. </w:t>
      </w:r>
      <w:hyperlink r:id="rId21">
        <w:r>
          <w:rPr>
            <w:color w:val="1F5D8F"/>
            <w:u w:val="single"/>
          </w:rPr>
          <w:t>Lei nº 8.159/1991 (Política Nacional de Arquivos)</w:t>
        </w:r>
      </w:hyperlink>
      <w:r>
        <w:t xml:space="preserve"> — gestão, preservação e acesso a documentos públicos.</w:t>
      </w:r>
    </w:p>
    <w:p>
      <w:pPr>
        <w:spacing w:after="60"/>
        <w:ind w:left="113" w:hanging="113"/>
      </w:pPr>
      <w:r>
        <w:rPr>
          <w:b/>
        </w:rPr>
        <w:t xml:space="preserve">12. </w:t>
      </w:r>
      <w:hyperlink r:id="rId22">
        <w:r>
          <w:rPr>
            <w:color w:val="1F5D8F"/>
            <w:u w:val="single"/>
          </w:rPr>
          <w:t>Cartilha PNTP 2025 — Atricon</w:t>
        </w:r>
      </w:hyperlink>
      <w:r>
        <w:t xml:space="preserve"> — metodologia, matriz e níveis de transparência.</w:t>
      </w:r>
    </w:p>
    <w:p>
      <w:pPr>
        <w:spacing w:after="60"/>
        <w:ind w:left="113" w:hanging="113"/>
      </w:pPr>
      <w:r>
        <w:rPr>
          <w:b/>
        </w:rPr>
        <w:t xml:space="preserve">13. </w:t>
      </w:r>
      <w:hyperlink r:id="rId23">
        <w:r>
          <w:rPr>
            <w:color w:val="1F5D8F"/>
            <w:u w:val="single"/>
          </w:rPr>
          <w:t>Downloads oficiais do Radar da Transparência Pública</w:t>
        </w:r>
      </w:hyperlink>
      <w:r>
        <w:t xml:space="preserve"> — matrizes e materiais do ciclo vigente.</w:t>
      </w:r>
    </w:p>
    <w:p>
      <w:pPr>
        <w:spacing w:after="60"/>
        <w:ind w:left="113" w:hanging="113"/>
      </w:pPr>
      <w:r>
        <w:rPr>
          <w:b/>
        </w:rPr>
        <w:t xml:space="preserve">14. </w:t>
      </w:r>
      <w:hyperlink r:id="rId24">
        <w:r>
          <w:rPr>
            <w:color w:val="1F5D8F"/>
            <w:u w:val="single"/>
          </w:rPr>
          <w:t>Resultado público consultado — Prefeitura Municipal de Varginha</w:t>
        </w:r>
      </w:hyperlink>
      <w:r>
        <w:t xml:space="preserve"> — painel público consultado; percentuais sujeitos à confirmação pelo órgão e pelo TCE-MG.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81"/>
      </w:tblGrid>
      <w:tr>
        <w:tc>
          <w:tcPr>
            <w:tcW w:type="dxa" w:w="9581"/>
            <w:shd w:fill="EAF2F8"/>
            <w:tcBorders>
              <w:left w:val="single" w:sz="18" w:color="1F5D8F"/>
            </w:tcBorders>
          </w:tcPr>
          <w:p>
            <w:pPr>
              <w:spacing w:after="0"/>
            </w:pPr>
            <w:r>
              <w:rPr>
                <w:b/>
              </w:rPr>
              <w:t xml:space="preserve">Nota de cautela. </w:t>
            </w:r>
            <w:r>
              <w:t>O painel público consultado apresenta a nota global e o percentual de critérios essenciais, mas não identifica, na página de resultado, cada item não atendido. Por isso, este requerimento solicita o espelho detalhado da avaliação e não afirma quais critérios específicos falharam.</w:t>
            </w:r>
          </w:p>
        </w:tc>
      </w:tr>
    </w:tbl>
    <w:p>
      <w:pPr>
        <w:spacing w:after="160"/>
        <w:jc w:val="both"/>
      </w:pPr>
      <w:r>
        <w:t>O presente requerimento tem caráter cidadão, técnico e colaborativo, sem imputação prévia de irregularidade. O objetivo é ampliar a utilidade pública das informações, facilitar o controle social e apoiar a evolução do portal nos próximos ciclos do PNTP.</w:t>
      </w:r>
    </w:p>
    <w:p>
      <w:pPr>
        <w:spacing w:after="0"/>
        <w:jc w:val="center"/>
      </w:pPr>
      <w:r>
        <w:rPr>
          <w:sz w:val="18"/>
        </w:rPr>
        <w:t>_______________________________________________</w:t>
      </w:r>
    </w:p>
    <w:p>
      <w:pPr>
        <w:spacing w:after="0"/>
        <w:jc w:val="center"/>
      </w:pPr>
      <w:r>
        <w:rPr>
          <w:b/>
          <w:color w:val="17324D"/>
          <w:sz w:val="18"/>
        </w:rPr>
        <w:t>[NOME DO(A) REQUERENTE / REPRESENTANTE]</w:t>
      </w:r>
    </w:p>
    <w:p>
      <w:pPr>
        <w:spacing w:after="0"/>
        <w:jc w:val="center"/>
      </w:pPr>
      <w:r>
        <w:rPr>
          <w:sz w:val="18"/>
        </w:rPr>
        <w:t>[CPF ou CNPJ, se exigido pelo canal de protocolo]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34" w:bottom="709" w:left="1191" w:header="397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 w:after="0"/>
      <w:jc w:val="center"/>
    </w:pPr>
    <w:r>
      <w:rPr>
        <w:color w:val="687581"/>
        <w:sz w:val="16"/>
      </w:rPr>
      <w:t xml:space="preserve">Iniciativa cidadã independente • Transparência, dados públicos e controle social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6066"/>
      <w:gridCol w:w="3515"/>
    </w:tblGrid>
    <w:tr>
      <w:tc>
        <w:tcPr>
          <w:tcW w:type="dxa" w:w="6066"/>
          <w:shd w:fill="17324D"/>
          <w:vAlign w:val="center"/>
        </w:tcPr>
        <w:p>
          <w:pPr>
            <w:spacing w:after="0"/>
          </w:pPr>
          <w:r>
            <w:rPr>
              <w:rFonts w:ascii="Aptos Display" w:hAnsi="Aptos Display"/>
              <w:b/>
              <w:color w:val="FFFFFF"/>
              <w:sz w:val="21"/>
            </w:rPr>
            <w:t>FISCALIZA VARGINHA</w:t>
          </w:r>
        </w:p>
      </w:tc>
      <w:tc>
        <w:tcPr>
          <w:tcW w:type="dxa" w:w="3515"/>
          <w:shd w:fill="1F5D8F"/>
          <w:vAlign w:val="center"/>
        </w:tcPr>
        <w:p>
          <w:pPr>
            <w:spacing w:after="0"/>
            <w:jc w:val="right"/>
          </w:pPr>
          <w:r>
            <w:rPr>
              <w:b/>
              <w:color w:val="FFFFFF"/>
              <w:sz w:val="17"/>
            </w:rPr>
            <w:t>PREFEITURA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0" w:lineRule="auto"/>
    </w:pPr>
    <w:rPr>
      <w:rFonts w:ascii="Aptos" w:hAnsi="Aptos"/>
      <w:color w:val="2026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5D8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ptos" w:hAnsi="Aptos"/>
      <w:b w:val="0"/>
      <w:i/>
      <w:iCs/>
      <w:color w:val="68758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planalto.gov.br/ccivil_03/constituicao/constituicaocompilado.htm" TargetMode="External"/><Relationship Id="rId12" Type="http://schemas.openxmlformats.org/officeDocument/2006/relationships/hyperlink" Target="https://www.planalto.gov.br/ccivil_03/_ato2011-2014/2011/lei/l12527.htm" TargetMode="External"/><Relationship Id="rId13" Type="http://schemas.openxmlformats.org/officeDocument/2006/relationships/hyperlink" Target="https://sapl.varginha.mg.leg.br/media/sapl/public/normajuridica/2013/5880/lei5729-2013.pdf" TargetMode="External"/><Relationship Id="rId14" Type="http://schemas.openxmlformats.org/officeDocument/2006/relationships/hyperlink" Target="https://www.planalto.gov.br/ccivil_03/leis/lcp/lcp101.htm" TargetMode="External"/><Relationship Id="rId15" Type="http://schemas.openxmlformats.org/officeDocument/2006/relationships/hyperlink" Target="https://www.planalto.gov.br/ccivil_03/_ato2019-2022/2020/decreto/d10540.htm" TargetMode="External"/><Relationship Id="rId16" Type="http://schemas.openxmlformats.org/officeDocument/2006/relationships/hyperlink" Target="https://www.planalto.gov.br/ccivil_03/_ato2019-2022/2021/lei/l14129.htm" TargetMode="External"/><Relationship Id="rId17" Type="http://schemas.openxmlformats.org/officeDocument/2006/relationships/hyperlink" Target="https://www.planalto.gov.br/ccivil_03/_ato2019-2022/2021/lei/l14133.htm" TargetMode="External"/><Relationship Id="rId18" Type="http://schemas.openxmlformats.org/officeDocument/2006/relationships/hyperlink" Target="https://www.planalto.gov.br/ccivil_03/_ato2015-2018/2017/lei/l13460.htm" TargetMode="External"/><Relationship Id="rId19" Type="http://schemas.openxmlformats.org/officeDocument/2006/relationships/hyperlink" Target="https://www.planalto.gov.br/ccivil_03/_ato2015-2018/2018/lei/l13709compilado.htm" TargetMode="External"/><Relationship Id="rId20" Type="http://schemas.openxmlformats.org/officeDocument/2006/relationships/hyperlink" Target="https://www.planalto.gov.br/ccivil_03/_ato2015-2018/2015/lei/l13146.htm" TargetMode="External"/><Relationship Id="rId21" Type="http://schemas.openxmlformats.org/officeDocument/2006/relationships/hyperlink" Target="https://www.planalto.gov.br/ccivil_03/leis/l8159.htm" TargetMode="External"/><Relationship Id="rId22" Type="http://schemas.openxmlformats.org/officeDocument/2006/relationships/hyperlink" Target="https://radardatransparencia.atricon.org.br/pdf/Cartilha-PNTP-2025.pdf" TargetMode="External"/><Relationship Id="rId23" Type="http://schemas.openxmlformats.org/officeDocument/2006/relationships/hyperlink" Target="https://radardatransparencia.atricon.org.br/downloads.html" TargetMode="External"/><Relationship Id="rId24" Type="http://schemas.openxmlformats.org/officeDocument/2006/relationships/hyperlink" Target="https://radartransparente.com.br/avaliacao/59f001b0-a3d0-42cb-953b-0d02db0673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