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大学生电子商务网风险登记册</w:t>
      </w:r>
    </w:p>
    <w:p/>
    <w:tbl>
      <w:tblPr>
        <w:tblStyle w:val="3"/>
        <w:tblW w:w="138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709"/>
        <w:gridCol w:w="1334"/>
        <w:gridCol w:w="41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赵</w:t>
            </w:r>
          </w:p>
        </w:tc>
        <w:tc>
          <w:tcPr>
            <w:tcW w:w="4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深入分析学生群体特点和需求，设计出符合他们的电子购物平台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陈</w:t>
            </w:r>
          </w:p>
        </w:tc>
        <w:tc>
          <w:tcPr>
            <w:tcW w:w="4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深入分析商户群体特点和需求，设计出符合他们的电子销售平台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</w:rPr>
              <w:t>无法实现低于2小时的快速</w:t>
            </w:r>
            <w:r>
              <w:rPr>
                <w:rFonts w:hint="eastAsia" w:ascii="Calibri" w:hAnsi="Calibri"/>
                <w:lang w:val="en-US" w:eastAsia="zh-CN"/>
              </w:rPr>
              <w:t>消息回复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不能及时在线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王</w:t>
            </w:r>
          </w:p>
        </w:tc>
        <w:tc>
          <w:tcPr>
            <w:tcW w:w="4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设计科学的业务流程，确保快递速度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张</w:t>
            </w:r>
          </w:p>
        </w:tc>
        <w:tc>
          <w:tcPr>
            <w:tcW w:w="4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及时调度相应的人员到位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58DC196F"/>
    <w:rsid w:val="7036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">
    <w:name w:val="标题 Char"/>
    <w:basedOn w:val="4"/>
    <w:link w:val="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377</Characters>
  <Lines>3</Lines>
  <Paragraphs>1</Paragraphs>
  <TotalTime>8</TotalTime>
  <ScaleCrop>false</ScaleCrop>
  <LinksUpToDate>false</LinksUpToDate>
  <CharactersWithSpaces>442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2012-09-20T02:46:00Z</dcterms:created>
  <dc:creator>zhaosheng</dc:creator>
  <cp:lastModifiedBy>Administrator</cp:lastModifiedBy>
  <dcterms:modified xsi:type="dcterms:W3CDTF">2019-06-15T13:09:48Z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