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4A507F47" w14:textId="24E7A0F7" w:rsidR="00373ADC" w:rsidRPr="004E3012" w:rsidRDefault="004262DD" w:rsidP="004E3012">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quarks are always found in bound states). Quarks are ‘skewed’ for weak interactions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d</w:t>
      </w:r>
      <w:proofErr w:type="gramStart"/>
      <w:r w:rsidR="00DF420D">
        <w:rPr>
          <w:rFonts w:ascii="Calibri" w:eastAsia="Times New Roman" w:hAnsi="Calibri" w:cs="Calibri"/>
          <w:color w:val="000000"/>
          <w:lang w:eastAsia="en-AU"/>
        </w:rPr>
        <w:t>’,s</w:t>
      </w:r>
      <w:proofErr w:type="spellEnd"/>
      <w:proofErr w:type="gramEnd"/>
      <w:r w:rsidR="00DF420D">
        <w:rPr>
          <w:rFonts w:ascii="Calibri" w:eastAsia="Times New Roman" w:hAnsi="Calibri" w:cs="Calibri"/>
          <w:color w:val="000000"/>
          <w:lang w:eastAsia="en-AU"/>
        </w:rPr>
        <w:t>’ and b’$ are linear combinations of $d, s$, and $b$, and $V_{CKM}$ represents the coupling strengths between the quarks ($V_{</w:t>
      </w:r>
      <w:proofErr w:type="spellStart"/>
      <w:r w:rsidR="00DF420D">
        <w:rPr>
          <w:rFonts w:ascii="Calibri" w:eastAsia="Times New Roman" w:hAnsi="Calibri" w:cs="Calibri"/>
          <w:color w:val="000000"/>
          <w:lang w:eastAsia="en-AU"/>
        </w:rPr>
        <w:t>ud</w:t>
      </w:r>
      <w:proofErr w:type="spellEnd"/>
      <w:r w:rsidR="00DF420D">
        <w:rPr>
          <w:rFonts w:ascii="Calibri" w:eastAsia="Times New Roman" w:hAnsi="Calibri" w:cs="Calibri"/>
          <w:color w:val="000000"/>
          <w:lang w:eastAsia="en-AU"/>
        </w:rPr>
        <w:t>}</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represents the coupling of $u$ to $d$ (</w:t>
      </w:r>
      <w:proofErr w:type="spellStart"/>
      <w:r w:rsidR="00DF420D">
        <w:rPr>
          <w:rFonts w:ascii="Calibri" w:eastAsia="Times New Roman" w:hAnsi="Calibri" w:cs="Calibri"/>
          <w:color w:val="000000"/>
          <w:lang w:eastAsia="en-AU"/>
        </w:rPr>
        <w:t>i.e.$d</w:t>
      </w:r>
      <w:proofErr w:type="spellEnd"/>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rightarrow</w:t>
      </w:r>
      <w:proofErr w:type="spellEnd"/>
      <w:r w:rsidR="00DF420D">
        <w:rPr>
          <w:rFonts w:ascii="Calibri" w:eastAsia="Times New Roman" w:hAnsi="Calibri" w:cs="Calibri"/>
          <w:color w:val="000000"/>
          <w:lang w:eastAsia="en-AU"/>
        </w:rPr>
        <w:t xml:space="preserve">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w:t>
      </w:r>
      <w:proofErr w:type="spellStart"/>
      <w:r w:rsidRPr="004262DD">
        <w:rPr>
          <w:rFonts w:ascii="Calibri" w:eastAsia="Times New Roman" w:hAnsi="Calibri" w:cs="Calibri"/>
          <w:b/>
          <w:bCs/>
          <w:color w:val="000000"/>
          <w:u w:val="single"/>
          <w:lang w:eastAsia="en-AU"/>
        </w:rPr>
        <w:t>Egede</w:t>
      </w:r>
      <w:proofErr w:type="spellEnd"/>
      <w:r w:rsidRPr="004262DD">
        <w:rPr>
          <w:rFonts w:ascii="Calibri" w:eastAsia="Times New Roman" w:hAnsi="Calibri" w:cs="Calibri"/>
          <w:b/>
          <w:bCs/>
          <w:color w:val="000000"/>
          <w:u w:val="single"/>
          <w:lang w:eastAsia="en-AU"/>
        </w:rPr>
        <w:t xml:space="preserv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process and is forbidden in the SM at tree level. However, at one-loop level, the FCNC quark level process like $b\</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s\gamma$ is permitted. Examples of such decays include $B</w:t>
      </w:r>
      <w:proofErr w:type="gramStart"/>
      <w:r w:rsidRPr="004262DD">
        <w:rPr>
          <w:rFonts w:ascii="Calibri" w:eastAsia="Times New Roman" w:hAnsi="Calibri" w:cs="Calibri"/>
          <w:color w:val="000000"/>
          <w:lang w:eastAsia="en-AU"/>
        </w:rPr>
        <w:t>^{</w:t>
      </w:r>
      <w:proofErr w:type="gramEnd"/>
      <w:r w:rsidRPr="004262DD">
        <w:rPr>
          <w:rFonts w:ascii="Calibri" w:eastAsia="Times New Roman" w:hAnsi="Calibri" w:cs="Calibri"/>
          <w:color w:val="000000"/>
          <w:lang w:eastAsia="en-AU"/>
        </w:rPr>
        <w:t>0}\</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Electroweak penguin decays can act as a discovery mode for New Physics (NP). At either tree level or at loop level, there can be particles such as new vector bosons or leptoquarks that mediate the </w:t>
      </w:r>
      <w:r w:rsidRPr="004262DD">
        <w:rPr>
          <w:rFonts w:ascii="Calibri" w:eastAsia="Times New Roman" w:hAnsi="Calibri" w:cs="Calibri"/>
          <w:color w:val="000000"/>
          <w:lang w:eastAsia="en-AU"/>
        </w:rPr>
        <w:lastRenderedPageBreak/>
        <w:t xml:space="preserve">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000000"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Here, the operators $\</w:t>
      </w:r>
      <w:proofErr w:type="spellStart"/>
      <w:r w:rsidRPr="004262DD">
        <w:rPr>
          <w:rFonts w:ascii="Calibri" w:eastAsia="Times New Roman" w:hAnsi="Calibri" w:cs="Calibri"/>
          <w:color w:val="000000"/>
          <w:lang w:eastAsia="en-AU"/>
        </w:rPr>
        <w:t>mathcal</w:t>
      </w:r>
      <w:proofErr w:type="spellEnd"/>
      <w:r w:rsidRPr="004262DD">
        <w:rPr>
          <w:rFonts w:ascii="Calibri" w:eastAsia="Times New Roman" w:hAnsi="Calibri" w:cs="Calibri"/>
          <w:color w:val="000000"/>
          <w:lang w:eastAsia="en-AU"/>
        </w:rPr>
        <w:t>{O}_{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encode the low energy behaviour and the complex valued Wilson coefficients $C_{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xml:space="preserve">}$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w:t>
      </w:r>
      <w:proofErr w:type="gramStart"/>
      <w:r w:rsidR="00617089">
        <w:rPr>
          <w:rFonts w:ascii="Calibri" w:eastAsia="Times New Roman" w:hAnsi="Calibri" w:cs="Calibri"/>
          <w:color w:val="000000"/>
          <w:lang w:eastAsia="en-AU"/>
        </w:rPr>
        <w:t>is:</w:t>
      </w:r>
      <w:proofErr w:type="gramEnd"/>
      <w:r w:rsidR="00617089">
        <w:rPr>
          <w:rFonts w:ascii="Calibri" w:eastAsia="Times New Roman" w:hAnsi="Calibri" w:cs="Calibri"/>
          <w:color w:val="000000"/>
          <w:lang w:eastAsia="en-AU"/>
        </w:rPr>
        <w:t xml:space="preserve">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w:t>
      </w:r>
      <w:proofErr w:type="gramStart"/>
      <w:r w:rsidR="00EB1160">
        <w:rPr>
          <w:rFonts w:ascii="Calibri" w:eastAsia="Times New Roman" w:hAnsi="Calibri" w:cs="Calibri"/>
          <w:color w:val="000000"/>
          <w:lang w:eastAsia="en-AU"/>
        </w:rPr>
        <w:t>i.e.</w:t>
      </w:r>
      <w:proofErr w:type="gramEnd"/>
      <w:r w:rsidR="00EB1160">
        <w:rPr>
          <w:rFonts w:ascii="Calibri" w:eastAsia="Times New Roman" w:hAnsi="Calibri" w:cs="Calibri"/>
          <w:color w:val="000000"/>
          <w:lang w:eastAsia="en-AU"/>
        </w:rPr>
        <w:t xml:space="preserv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w:t>
      </w:r>
      <w:proofErr w:type="gramStart"/>
      <w:r w:rsidR="006A55FE">
        <w:rPr>
          <w:rFonts w:ascii="Calibri" w:eastAsia="Times New Roman" w:hAnsi="Calibri" w:cs="Calibri"/>
          <w:color w:val="000000"/>
          <w:lang w:eastAsia="en-AU"/>
        </w:rPr>
        <w:t>theory, but</w:t>
      </w:r>
      <w:proofErr w:type="gramEnd"/>
      <w:r w:rsidR="006A55FE">
        <w:rPr>
          <w:rFonts w:ascii="Calibri" w:eastAsia="Times New Roman" w:hAnsi="Calibri" w:cs="Calibri"/>
          <w:color w:val="000000"/>
          <w:lang w:eastAsia="en-AU"/>
        </w:rPr>
        <w:t xml:space="preserve">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QCD </w:t>
      </w:r>
      <w:proofErr w:type="spellStart"/>
      <w:r>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w:t>
      </w:r>
      <w:proofErr w:type="spellStart"/>
      <w:r w:rsidR="00AA46D5">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possesses a </w:t>
      </w:r>
      <w:proofErr w:type="gramStart"/>
      <w:r w:rsidR="00AA46D5">
        <w:rPr>
          <w:rFonts w:ascii="Calibri" w:eastAsia="Times New Roman" w:hAnsi="Calibri" w:cs="Calibri"/>
          <w:color w:val="000000"/>
          <w:lang w:eastAsia="en-AU"/>
        </w:rPr>
        <w:t>U(</w:t>
      </w:r>
      <w:proofErr w:type="gramEnd"/>
      <w:r w:rsidR="00AA46D5">
        <w:rPr>
          <w:rFonts w:ascii="Calibri" w:eastAsia="Times New Roman" w:hAnsi="Calibri" w:cs="Calibri"/>
          <w:color w:val="000000"/>
          <w:lang w:eastAsia="en-AU"/>
        </w:rPr>
        <w:t xml:space="preserve">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000000"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w:t>
      </w:r>
      <w:proofErr w:type="gramStart"/>
      <w:r>
        <w:rPr>
          <w:rFonts w:ascii="Calibri" w:eastAsia="Times New Roman" w:hAnsi="Calibri" w:cs="Calibri"/>
          <w:color w:val="000000"/>
          <w:lang w:eastAsia="en-AU"/>
        </w:rPr>
        <w:t>SU(</w:t>
      </w:r>
      <w:proofErr w:type="gramEnd"/>
      <w:r>
        <w:rPr>
          <w:rFonts w:ascii="Calibri" w:eastAsia="Times New Roman" w:hAnsi="Calibri" w:cs="Calibri"/>
          <w:color w:val="000000"/>
          <w:lang w:eastAsia="en-AU"/>
        </w:rPr>
        <w:t xml:space="preserve">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000000"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$c$ is a constant, $\Lambda$ represents a QCD scale and $\delta_{ff</w:t>
      </w:r>
      <w:proofErr w:type="gramStart"/>
      <w:r w:rsidR="00D15AE3">
        <w:rPr>
          <w:rFonts w:ascii="Calibri" w:eastAsia="Times New Roman" w:hAnsi="Calibri" w:cs="Calibri"/>
          <w:color w:val="000000"/>
          <w:lang w:eastAsia="en-AU"/>
        </w:rPr>
        <w:t>’}$</w:t>
      </w:r>
      <w:proofErr w:type="gramEnd"/>
      <w:r w:rsidR="00D15AE3">
        <w:rPr>
          <w:rFonts w:ascii="Calibri" w:eastAsia="Times New Roman" w:hAnsi="Calibri" w:cs="Calibri"/>
          <w:color w:val="000000"/>
          <w:lang w:eastAsia="en-AU"/>
        </w:rPr>
        <w:t xml:space="preserve">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w:t>
      </w:r>
      <w:proofErr w:type="gramStart"/>
      <w:r w:rsidR="00D15AE3">
        <w:rPr>
          <w:rFonts w:ascii="Calibri" w:eastAsia="Times New Roman" w:hAnsi="Calibri" w:cs="Calibri"/>
          <w:color w:val="000000"/>
          <w:lang w:eastAsia="en-AU"/>
        </w:rPr>
        <w:t>3)_</w:t>
      </w:r>
      <w:proofErr w:type="gramEnd"/>
      <w:r w:rsidR="00D15AE3">
        <w:rPr>
          <w:rFonts w:ascii="Calibri" w:eastAsia="Times New Roman" w:hAnsi="Calibri" w:cs="Calibri"/>
          <w:color w:val="000000"/>
          <w:lang w:eastAsia="en-AU"/>
        </w:rPr>
        <w:t>{V}$).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The ninth boson appears to be missing, the only candidate for which at this stage is the $\eta’$ (with a mass of 958 MeV). For a relativistic field theory for scalars, the relevant mass parameter is $m</w:t>
      </w:r>
      <w:proofErr w:type="gramStart"/>
      <w:r w:rsidR="005F0E6A">
        <w:rPr>
          <w:rFonts w:ascii="Calibri" w:eastAsia="Times New Roman" w:hAnsi="Calibri" w:cs="Calibri"/>
          <w:color w:val="000000"/>
          <w:lang w:eastAsia="en-AU"/>
        </w:rPr>
        <w:t>^{</w:t>
      </w:r>
      <w:proofErr w:type="gramEnd"/>
      <w:r w:rsidR="005F0E6A">
        <w:rPr>
          <w:rFonts w:ascii="Calibri" w:eastAsia="Times New Roman" w:hAnsi="Calibri" w:cs="Calibri"/>
          <w:color w:val="000000"/>
          <w:lang w:eastAsia="en-AU"/>
        </w:rPr>
        <w:t xml:space="preserve">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000000"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0$ (</w:t>
      </w:r>
      <w:proofErr w:type="spellStart"/>
      <w:r>
        <w:rPr>
          <w:rFonts w:ascii="Calibri" w:eastAsia="Times New Roman" w:hAnsi="Calibri" w:cs="Calibri"/>
          <w:color w:val="000000"/>
          <w:lang w:eastAsia="en-AU"/>
        </w:rPr>
        <w:t>i.e</w:t>
      </w:r>
      <w:proofErr w:type="spellEnd"/>
      <w:r>
        <w:rPr>
          <w:rFonts w:ascii="Calibri" w:eastAsia="Times New Roman" w:hAnsi="Calibri" w:cs="Calibri"/>
          <w:color w:val="000000"/>
          <w:lang w:eastAsia="en-AU"/>
        </w:rPr>
        <w:t xml:space="preserv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000000"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w:t>
      </w:r>
      <w:proofErr w:type="gramStart"/>
      <w:r>
        <w:rPr>
          <w:rFonts w:ascii="Calibri" w:eastAsia="Times New Roman" w:hAnsi="Calibri" w:cs="Calibri"/>
          <w:color w:val="000000"/>
          <w:lang w:eastAsia="en-AU"/>
        </w:rPr>
        <w:t>\mu\nu}$</w:t>
      </w:r>
      <w:proofErr w:type="gramEnd"/>
      <w:r>
        <w:rPr>
          <w:rFonts w:ascii="Calibri" w:eastAsia="Times New Roman" w:hAnsi="Calibri" w:cs="Calibri"/>
          <w:color w:val="000000"/>
          <w:lang w:eastAsia="en-AU"/>
        </w:rPr>
        <w:t xml:space="preserve"> represents the QCD field strength and $\tilde{F} = \frac{1}{2}\epsilon_{\mu\nu\rho\sigma}F^{\rho\sigma}$</w:t>
      </w:r>
      <w:r w:rsidR="00E74FFE">
        <w:rPr>
          <w:rFonts w:ascii="Calibri" w:eastAsia="Times New Roman" w:hAnsi="Calibri" w:cs="Calibri"/>
          <w:color w:val="000000"/>
          <w:lang w:eastAsia="en-AU"/>
        </w:rPr>
        <w:t>. F and its dual are related by an exchange of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{E}$ and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 xml:space="preserve">{B}$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An additional term containing depending on an angle $\theta$ can be added to the QCD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w:t>
      </w:r>
      <w:proofErr w:type="gramStart"/>
      <w:r w:rsidR="00007079">
        <w:rPr>
          <w:rFonts w:ascii="Calibri" w:eastAsia="Times New Roman" w:hAnsi="Calibri" w:cs="Calibri"/>
          <w:color w:val="000000"/>
          <w:lang w:eastAsia="en-AU"/>
        </w:rPr>
        <w:t>i.e.</w:t>
      </w:r>
      <w:proofErr w:type="gramEnd"/>
      <w:r w:rsidR="00007079">
        <w:rPr>
          <w:rFonts w:ascii="Calibri" w:eastAsia="Times New Roman" w:hAnsi="Calibri" w:cs="Calibri"/>
          <w:color w:val="000000"/>
          <w:lang w:eastAsia="en-AU"/>
        </w:rPr>
        <w:t xml:space="preserve"> leptons and quarks). </w:t>
      </w:r>
      <w:r w:rsidR="00446344">
        <w:rPr>
          <w:rFonts w:ascii="Calibri" w:eastAsia="Times New Roman" w:hAnsi="Calibri" w:cs="Calibri"/>
          <w:color w:val="000000"/>
          <w:lang w:eastAsia="en-AU"/>
        </w:rPr>
        <w:t>The interactions of ALPs with these SM particles preserves a global shift symmetry $a\</w:t>
      </w:r>
      <w:proofErr w:type="spellStart"/>
      <w:r w:rsidR="00446344">
        <w:rPr>
          <w:rFonts w:ascii="Calibri" w:eastAsia="Times New Roman" w:hAnsi="Calibri" w:cs="Calibri"/>
          <w:color w:val="000000"/>
          <w:lang w:eastAsia="en-AU"/>
        </w:rPr>
        <w:t>rightarrow</w:t>
      </w:r>
      <w:proofErr w:type="spellEnd"/>
      <w:r w:rsidR="00446344">
        <w:rPr>
          <w:rFonts w:ascii="Calibri" w:eastAsia="Times New Roman" w:hAnsi="Calibri" w:cs="Calibri"/>
          <w:color w:val="000000"/>
          <w:lang w:eastAsia="en-AU"/>
        </w:rPr>
        <w:t xml:space="preserve"> </w:t>
      </w:r>
      <w:proofErr w:type="spellStart"/>
      <w:r w:rsidR="00446344">
        <w:rPr>
          <w:rFonts w:ascii="Calibri" w:eastAsia="Times New Roman" w:hAnsi="Calibri" w:cs="Calibri"/>
          <w:color w:val="000000"/>
          <w:lang w:eastAsia="en-AU"/>
        </w:rPr>
        <w:t>a+c</w:t>
      </w:r>
      <w:proofErr w:type="spellEnd"/>
      <w:r w:rsidR="00446344">
        <w:rPr>
          <w:rFonts w:ascii="Calibri" w:eastAsia="Times New Roman" w:hAnsi="Calibri" w:cs="Calibri"/>
          <w:color w:val="000000"/>
          <w:lang w:eastAsia="en-AU"/>
        </w:rPr>
        <w:t xml:space="preserve">$,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aforementioned strong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w:t>
      </w:r>
      <w:proofErr w:type="spellStart"/>
      <w:r>
        <w:rPr>
          <w:rFonts w:ascii="Calibri" w:eastAsia="Times New Roman" w:hAnsi="Calibri" w:cs="Calibri"/>
          <w:color w:val="000000"/>
          <w:lang w:eastAsia="en-AU"/>
        </w:rPr>
        <w:t>aW</w:t>
      </w:r>
      <w:proofErr w:type="spellEnd"/>
      <w:r>
        <w:rPr>
          <w:rFonts w:ascii="Calibri" w:eastAsia="Times New Roman" w:hAnsi="Calibri" w:cs="Calibri"/>
          <w:color w:val="000000"/>
          <w:lang w:eastAsia="en-AU"/>
        </w:rPr>
        <w:t>}$ to the SU(</w:t>
      </w:r>
      <w:proofErr w:type="gramStart"/>
      <w:r>
        <w:rPr>
          <w:rFonts w:ascii="Calibri" w:eastAsia="Times New Roman" w:hAnsi="Calibri" w:cs="Calibri"/>
          <w:color w:val="000000"/>
          <w:lang w:eastAsia="en-AU"/>
        </w:rPr>
        <w:t>2)_</w:t>
      </w:r>
      <w:proofErr w:type="gramEnd"/>
      <w:r>
        <w:rPr>
          <w:rFonts w:ascii="Calibri" w:eastAsia="Times New Roman" w:hAnsi="Calibri" w:cs="Calibri"/>
          <w:color w:val="000000"/>
          <w:lang w:eastAsia="en-AU"/>
        </w:rPr>
        <w:t xml:space="preserve">{W} gauge-boson field strengths, $W^{b}_{\mu\nu}$, and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$\tilde{W}^{b</w:t>
      </w:r>
      <w:proofErr w:type="gramStart"/>
      <w:r>
        <w:rPr>
          <w:rFonts w:ascii="Calibri" w:eastAsia="Times New Roman" w:hAnsi="Calibri" w:cs="Calibri"/>
          <w:color w:val="000000"/>
          <w:lang w:eastAsia="en-AU"/>
        </w:rPr>
        <w:t>\mu\nu}$</w:t>
      </w:r>
      <w:proofErr w:type="gramEnd"/>
      <w:r>
        <w:rPr>
          <w:rFonts w:ascii="Calibri" w:eastAsia="Times New Roman" w:hAnsi="Calibri" w:cs="Calibri"/>
          <w:color w:val="000000"/>
          <w:lang w:eastAsia="en-AU"/>
        </w:rPr>
        <w:t xml:space="preserve"> is the dual field-strength tensor. This coupling leads to the production of ALPs at one-loop level in the process $B\</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K</w:t>
      </w:r>
      <w:proofErr w:type="gramStart"/>
      <w:r>
        <w:rPr>
          <w:rFonts w:ascii="Calibri" w:eastAsia="Times New Roman" w:hAnsi="Calibri" w:cs="Calibri"/>
          <w:color w:val="000000"/>
          <w:lang w:eastAsia="en-AU"/>
        </w:rPr>
        <w:t>^{</w:t>
      </w:r>
      <w:proofErr w:type="gramEnd"/>
      <w:r>
        <w:rPr>
          <w:rFonts w:ascii="Calibri" w:eastAsia="Times New Roman" w:hAnsi="Calibri" w:cs="Calibri"/>
          <w:color w:val="000000"/>
          <w:lang w:eastAsia="en-AU"/>
        </w:rPr>
        <w:t>*}a$, where the ALP is emitted from an internal $W^{\pm}$ boson. Electroweak symmetry breaking and the resulting gauge boson mixing generates an ALP coupling to a pair of photons, and the branching fraction for $a\</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 xml:space="preserve"> K*A, A\</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w:t>
      </w:r>
      <w:proofErr w:type="spellStart"/>
      <w:r>
        <w:rPr>
          <w:rFonts w:ascii="Calibri" w:eastAsia="Times New Roman" w:hAnsi="Calibri" w:cs="Calibri"/>
          <w:b/>
          <w:bCs/>
          <w:color w:val="000000"/>
          <w:lang w:eastAsia="en-AU"/>
        </w:rPr>
        <w:t>Tongyan</w:t>
      </w:r>
      <w:proofErr w:type="spellEnd"/>
      <w:r>
        <w:rPr>
          <w:rFonts w:ascii="Calibri" w:eastAsia="Times New Roman" w:hAnsi="Calibri" w:cs="Calibri"/>
          <w:b/>
          <w:bCs/>
          <w:color w:val="000000"/>
          <w:lang w:eastAsia="en-AU"/>
        </w:rPr>
        <w:t xml:space="preserve">, Lin, </w:t>
      </w:r>
      <w:proofErr w:type="spellStart"/>
      <w:r>
        <w:rPr>
          <w:rFonts w:ascii="Calibri" w:eastAsia="Times New Roman" w:hAnsi="Calibri" w:cs="Calibri"/>
          <w:b/>
          <w:bCs/>
          <w:color w:val="000000"/>
          <w:lang w:eastAsia="en-AU"/>
        </w:rPr>
        <w:t>Shuve</w:t>
      </w:r>
      <w:proofErr w:type="spellEnd"/>
      <w:r>
        <w:rPr>
          <w:rFonts w:ascii="Calibri" w:eastAsia="Times New Roman" w:hAnsi="Calibri" w:cs="Calibri"/>
          <w:b/>
          <w:bCs/>
          <w:color w:val="000000"/>
          <w:lang w:eastAsia="en-AU"/>
        </w:rPr>
        <w:t xml:space="preserve"> paper)</w:t>
      </w:r>
      <w:r w:rsidR="00706AFC">
        <w:rPr>
          <w:rFonts w:ascii="Calibri" w:eastAsia="Times New Roman" w:hAnsi="Calibri" w:cs="Calibri"/>
          <w:color w:val="000000"/>
          <w:lang w:eastAsia="en-AU"/>
        </w:rPr>
        <w:t xml:space="preserve">, and thereby exploit the coupling of ALPs to W+- bosons, which can give rise to observable signatures. This ALP model possesses a zero coupling with gluons. The effective </w:t>
      </w:r>
      <w:proofErr w:type="spellStart"/>
      <w:r w:rsidR="00706AFC">
        <w:rPr>
          <w:rFonts w:ascii="Calibri" w:eastAsia="Times New Roman" w:hAnsi="Calibri" w:cs="Calibri"/>
          <w:color w:val="000000"/>
          <w:lang w:eastAsia="en-AU"/>
        </w:rPr>
        <w:t>Lagrangian</w:t>
      </w:r>
      <w:proofErr w:type="spellEnd"/>
      <w:r w:rsidR="00706AFC">
        <w:rPr>
          <w:rFonts w:ascii="Calibri" w:eastAsia="Times New Roman" w:hAnsi="Calibri" w:cs="Calibri"/>
          <w:color w:val="000000"/>
          <w:lang w:eastAsia="en-AU"/>
        </w:rPr>
        <w:t xml:space="preserve">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w:t>
      </w:r>
      <w:proofErr w:type="gramStart"/>
      <w:r>
        <w:rPr>
          <w:rFonts w:ascii="Calibri" w:eastAsia="Times New Roman" w:hAnsi="Calibri" w:cs="Calibri"/>
          <w:color w:val="000000"/>
          <w:lang w:eastAsia="en-AU"/>
        </w:rPr>
        <w:t>\mu\nu\alpha\beta}W</w:t>
      </w:r>
      <w:proofErr w:type="gramEnd"/>
      <w:r>
        <w:rPr>
          <w:rFonts w:ascii="Calibri" w:eastAsia="Times New Roman" w:hAnsi="Calibri" w:cs="Calibri"/>
          <w:color w:val="000000"/>
          <w:lang w:eastAsia="en-AU"/>
        </w:rPr>
        <w:t>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w:t>
      </w:r>
      <w:proofErr w:type="gramStart"/>
      <w:r w:rsidR="001E5159">
        <w:rPr>
          <w:rFonts w:ascii="Calibri" w:eastAsia="Times New Roman" w:hAnsi="Calibri" w:cs="Calibri"/>
          <w:color w:val="000000"/>
          <w:lang w:eastAsia="en-AU"/>
        </w:rPr>
        <w:t>level, but</w:t>
      </w:r>
      <w:proofErr w:type="gramEnd"/>
      <w:r w:rsidR="001E5159">
        <w:rPr>
          <w:rFonts w:ascii="Calibri" w:eastAsia="Times New Roman" w:hAnsi="Calibri" w:cs="Calibri"/>
          <w:color w:val="000000"/>
          <w:lang w:eastAsia="en-AU"/>
        </w:rPr>
        <w:t xml:space="preserve">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 xml:space="preserve">to pairs of gauge bosons (specifically photons), the following decay channels were deemed to be promising for the detection of ALPs at the </w:t>
      </w:r>
      <w:proofErr w:type="spellStart"/>
      <w:r w:rsidR="0061210D">
        <w:rPr>
          <w:rFonts w:ascii="Calibri" w:eastAsia="Times New Roman" w:hAnsi="Calibri" w:cs="Calibri"/>
          <w:color w:val="000000"/>
          <w:lang w:eastAsia="en-AU"/>
        </w:rPr>
        <w:t>LHCb</w:t>
      </w:r>
      <w:proofErr w:type="spellEnd"/>
      <w:r w:rsidR="0061210D">
        <w:rPr>
          <w:rFonts w:ascii="Calibri" w:eastAsia="Times New Roman" w:hAnsi="Calibri" w:cs="Calibri"/>
          <w:color w:val="000000"/>
          <w:lang w:eastAsia="en-AU"/>
        </w:rPr>
        <w:t>:</w:t>
      </w:r>
    </w:p>
    <w:p w14:paraId="69B5ACBC" w14:textId="1ECC124A" w:rsidR="00617089" w:rsidRPr="00617089" w:rsidRDefault="00000000"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 xml:space="preserve">Chapter 2: The </w:t>
      </w:r>
      <w:proofErr w:type="spellStart"/>
      <w:r w:rsidRPr="004262DD">
        <w:rPr>
          <w:rFonts w:ascii="Calibri" w:eastAsia="Times New Roman" w:hAnsi="Calibri" w:cs="Calibri"/>
          <w:b/>
          <w:bCs/>
          <w:i/>
          <w:iCs/>
          <w:color w:val="5A5A5A"/>
          <w:lang w:eastAsia="en-AU"/>
        </w:rPr>
        <w:t>LHCb</w:t>
      </w:r>
      <w:proofErr w:type="spellEnd"/>
      <w:r w:rsidRPr="004262DD">
        <w:rPr>
          <w:rFonts w:ascii="Calibri" w:eastAsia="Times New Roman" w:hAnsi="Calibri" w:cs="Calibri"/>
          <w:b/>
          <w:bCs/>
          <w:i/>
          <w:iCs/>
          <w:color w:val="5A5A5A"/>
          <w:lang w:eastAsia="en-AU"/>
        </w:rPr>
        <w:t xml:space="preserve">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a $b\bar{b}$ production cross-section of approximately 500 </w:t>
      </w:r>
      <w:proofErr w:type="spellStart"/>
      <w:r w:rsidRPr="004262DD">
        <w:rPr>
          <w:rFonts w:ascii="Calibri" w:eastAsia="Times New Roman" w:hAnsi="Calibri" w:cs="Calibri"/>
          <w:color w:val="000000"/>
          <w:lang w:eastAsia="en-AU"/>
        </w:rPr>
        <w:t>microbarn</w:t>
      </w:r>
      <w:proofErr w:type="spellEnd"/>
      <w:r w:rsidRPr="004262DD">
        <w:rPr>
          <w:rFonts w:ascii="Calibri" w:eastAsia="Times New Roman" w:hAnsi="Calibri" w:cs="Calibri"/>
          <w:color w:val="000000"/>
          <w:lang w:eastAsia="en-AU"/>
        </w:rPr>
        <w:t xml:space="preserve"> at an energy of 13 </w:t>
      </w:r>
      <w:proofErr w:type="spellStart"/>
      <w:proofErr w:type="gram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and</w:t>
      </w:r>
      <w:proofErr w:type="gramEnd"/>
      <w:r w:rsidRPr="004262DD">
        <w:rPr>
          <w:rFonts w:ascii="Calibri" w:eastAsia="Times New Roman" w:hAnsi="Calibri" w:cs="Calibri"/>
          <w:color w:val="000000"/>
          <w:lang w:eastAsia="en-AU"/>
        </w:rPr>
        <w:t xml:space="preserve"> is therefore the most abundant source of B mesons in the world. It must therefore be able to exploit the large number of $b$ hadrons. As a result, its trigger must be sensitive to a variety of final states. Displaced vertex and high transverse momentum signatures are exploited in order to separate the decays of interest from the background. The momentum and invariant mass resolution of the detector is also required to be high in order to mitigate effects from the combinatorial background. Additionally, the identification of charged particles is essential in flavour physics experiments, in order to, for instance, isolate suppressed decays and for b-quark flavour tagging. The ability to detect photons and charged particles permits the reconstruction of radiative decays, as well as more common ones such as those containing $\pi^{0}$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Data taking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detector is divided into fills and runs. A fill is a single period of collisions delimited by the announcement of stable beam conditions and the dumping of the beam by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 phase which typically lasts approximately 12 hours. A fill is further divided into runs, each of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lasts a maximum of one </w:t>
      </w:r>
      <w:proofErr w:type="spellStart"/>
      <w:r w:rsidRPr="004262DD">
        <w:rPr>
          <w:rFonts w:ascii="Calibri" w:eastAsia="Times New Roman" w:hAnsi="Calibri" w:cs="Calibri"/>
          <w:color w:val="000000"/>
          <w:lang w:eastAsia="en-AU"/>
        </w:rPr>
        <w:t>hour.In</w:t>
      </w:r>
      <w:proofErr w:type="spellEnd"/>
      <w:r w:rsidRPr="004262DD">
        <w:rPr>
          <w:rFonts w:ascii="Calibri" w:eastAsia="Times New Roman" w:hAnsi="Calibri" w:cs="Calibri"/>
          <w:color w:val="000000"/>
          <w:lang w:eastAsia="en-AU"/>
        </w:rPr>
        <w:t xml:space="preserve"> order to benefit from the high event rate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 xml:space="preserve">Structure of the </w:t>
      </w:r>
      <w:proofErr w:type="spellStart"/>
      <w:r w:rsidRPr="004262DD">
        <w:rPr>
          <w:rFonts w:ascii="Calibri" w:eastAsia="Times New Roman" w:hAnsi="Calibri" w:cs="Calibri"/>
          <w:b/>
          <w:bCs/>
          <w:color w:val="000000"/>
          <w:u w:val="single"/>
          <w:lang w:eastAsia="en-AU"/>
        </w:rPr>
        <w:t>LHCb</w:t>
      </w:r>
      <w:proofErr w:type="spellEnd"/>
      <w:r w:rsidRPr="004262DD">
        <w:rPr>
          <w:rFonts w:ascii="Calibri" w:eastAsia="Times New Roman" w:hAnsi="Calibri" w:cs="Calibri"/>
          <w:b/>
          <w:bCs/>
          <w:color w:val="000000"/>
          <w:u w:val="single"/>
          <w:lang w:eastAsia="en-AU"/>
        </w:rPr>
        <w:t xml:space="preserve">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is a single arm spectrometer with a forward angular coverage from approximately 10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to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in the bending (non-bending) plane and covering the </w:t>
      </w:r>
      <w:proofErr w:type="spellStart"/>
      <w:r w:rsidRPr="004262DD">
        <w:rPr>
          <w:rFonts w:ascii="Calibri" w:eastAsia="Times New Roman" w:hAnsi="Calibri" w:cs="Calibri"/>
          <w:color w:val="000000"/>
          <w:lang w:eastAsia="en-AU"/>
        </w:rPr>
        <w:t>pseudorapidity</w:t>
      </w:r>
      <w:proofErr w:type="spellEnd"/>
      <w:r w:rsidRPr="004262DD">
        <w:rPr>
          <w:rFonts w:ascii="Calibri" w:eastAsia="Times New Roman" w:hAnsi="Calibri" w:cs="Calibri"/>
          <w:color w:val="000000"/>
          <w:lang w:eastAsia="en-AU"/>
        </w:rPr>
        <w:t xml:space="preserve">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two ring imaging Cherenkov (RICH) detectors, and a calorimeter system comprising of a scintillating-pad (SPD) and </w:t>
      </w:r>
      <w:proofErr w:type="spellStart"/>
      <w:r w:rsidRPr="004262DD">
        <w:rPr>
          <w:rFonts w:ascii="Calibri" w:eastAsia="Times New Roman" w:hAnsi="Calibri" w:cs="Calibri"/>
          <w:color w:val="000000"/>
          <w:lang w:eastAsia="en-AU"/>
        </w:rPr>
        <w:t>preshower</w:t>
      </w:r>
      <w:proofErr w:type="spellEnd"/>
      <w:r w:rsidRPr="004262DD">
        <w:rPr>
          <w:rFonts w:ascii="Calibri" w:eastAsia="Times New Roman" w:hAnsi="Calibri" w:cs="Calibri"/>
          <w:color w:val="000000"/>
          <w:lang w:eastAsia="en-AU"/>
        </w:rPr>
        <w:t xml:space="preserve">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VELO is a silicon microstrip detector that surrounds the proton-proton interaction region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It provides measurements of track coordinates that enable the identification of the primary interaction and secondary vertices, which are characteristic of b and c-hadron decays. The VELO was designed to optimise the following aspects of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 xml:space="preserve">The VELO is designed to cover the forward region such that all tracks inside the nominal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acceptance of 15-300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cross at least three VELO stations. In this way, the detector fully reconstructs roughly 27% of $b\bar{b}$ production for 7 </w:t>
      </w:r>
      <w:proofErr w:type="spell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xml:space="preserve"> proton-proton centre of mass collisions, while covering just 1.8% of the solid angle. The VELO also reconstructs tracks in the forward and backward directions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high level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physics programme. Most analyses rely heavily on selection cuts on the distance with which tracks approach the primary vertex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w:t>
      </w:r>
      <w:proofErr w:type="gramStart"/>
      <w:r w:rsidRPr="004262DD">
        <w:rPr>
          <w:rFonts w:ascii="Calibri" w:eastAsia="Times New Roman" w:hAnsi="Calibri" w:cs="Calibri"/>
          <w:color w:val="000000"/>
          <w:lang w:eastAsia="en-AU"/>
        </w:rPr>
        <w:t>^{</w:t>
      </w:r>
      <w:proofErr w:type="gramEnd"/>
      <w:r w:rsidRPr="004262DD">
        <w:rPr>
          <w:rFonts w:ascii="Calibri" w:eastAsia="Times New Roman" w:hAnsi="Calibri" w:cs="Calibri"/>
          <w:color w:val="000000"/>
          <w:lang w:eastAsia="en-AU"/>
        </w:rPr>
        <w:t>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two Ring Image Cherenkov (RICH) detectors, named RICH1 and RICH2 are responsible for the identification of charged hadrons (</w:t>
      </w:r>
      <w:proofErr w:type="gramStart"/>
      <w:r w:rsidRPr="004262DD">
        <w:rPr>
          <w:rFonts w:ascii="Calibri" w:eastAsia="Times New Roman" w:hAnsi="Calibri" w:cs="Calibri"/>
          <w:color w:val="000000"/>
          <w:lang w:eastAsia="en-AU"/>
        </w:rPr>
        <w:t>e.g.</w:t>
      </w:r>
      <w:proofErr w:type="gramEnd"/>
      <w:r w:rsidRPr="004262DD">
        <w:rPr>
          <w:rFonts w:ascii="Calibri" w:eastAsia="Times New Roman" w:hAnsi="Calibri" w:cs="Calibri"/>
          <w:color w:val="000000"/>
          <w:lang w:eastAsia="en-AU"/>
        </w:rPr>
        <w:t xml:space="preserve"> pions, kaons, and protons). RICH1 covers the low and intermediate momentum region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2-40 GeV/c) over the full spectrometer angular acceptance of 25-300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while RICH2 covers the high-momentum region 15-100 GeV/c over the angular range 15-120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w:t>
      </w:r>
      <w:proofErr w:type="gramStart"/>
      <w:r w:rsidRPr="004262DD">
        <w:rPr>
          <w:rFonts w:ascii="Calibri" w:eastAsia="Times New Roman" w:hAnsi="Calibri" w:cs="Calibri"/>
          <w:color w:val="000000"/>
          <w:lang w:eastAsia="en-AU"/>
        </w:rPr>
        <w:t>region, and</w:t>
      </w:r>
      <w:proofErr w:type="gramEnd"/>
      <w:r w:rsidRPr="004262DD">
        <w:rPr>
          <w:rFonts w:ascii="Calibri" w:eastAsia="Times New Roman" w:hAnsi="Calibri" w:cs="Calibri"/>
          <w:color w:val="000000"/>
          <w:lang w:eastAsia="en-AU"/>
        </w:rPr>
        <w:t xml:space="preserve"> is located immediately downstream of the VELO described above. RICH 2 on the other hand, is placed downstream of the </w:t>
      </w:r>
      <w:proofErr w:type="gramStart"/>
      <w:r w:rsidRPr="004262DD">
        <w:rPr>
          <w:rFonts w:ascii="Calibri" w:eastAsia="Times New Roman" w:hAnsi="Calibri" w:cs="Calibri"/>
          <w:color w:val="000000"/>
          <w:lang w:eastAsia="en-AU"/>
        </w:rPr>
        <w:t>magnet, since</w:t>
      </w:r>
      <w:proofErr w:type="gramEnd"/>
      <w:r w:rsidRPr="004262DD">
        <w:rPr>
          <w:rFonts w:ascii="Calibri" w:eastAsia="Times New Roman" w:hAnsi="Calibri" w:cs="Calibri"/>
          <w:color w:val="000000"/>
          <w:lang w:eastAsia="en-AU"/>
        </w:rPr>
        <w:t xml:space="preserve"> the high momentum tracks that it measures are less influenced by the magnetic field. Both detectors consist of entrance and exit windows that serve as links to the VELO and magnet respectively. These windows form a foam sandwich </w:t>
      </w:r>
      <w:proofErr w:type="gramStart"/>
      <w:r w:rsidRPr="004262DD">
        <w:rPr>
          <w:rFonts w:ascii="Calibri" w:eastAsia="Times New Roman" w:hAnsi="Calibri" w:cs="Calibri"/>
          <w:color w:val="000000"/>
          <w:lang w:eastAsia="en-AU"/>
        </w:rPr>
        <w:t>construction, and</w:t>
      </w:r>
      <w:proofErr w:type="gramEnd"/>
      <w:r w:rsidRPr="004262DD">
        <w:rPr>
          <w:rFonts w:ascii="Calibri" w:eastAsia="Times New Roman" w:hAnsi="Calibri" w:cs="Calibri"/>
          <w:color w:val="000000"/>
          <w:lang w:eastAsia="en-AU"/>
        </w:rPr>
        <w:t xml:space="preserve">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Each cell of the ECAL and HCAL is equipped with a </w:t>
      </w:r>
      <w:proofErr w:type="gramStart"/>
      <w:r w:rsidRPr="004262DD">
        <w:rPr>
          <w:rFonts w:ascii="Calibri" w:eastAsia="Times New Roman" w:hAnsi="Calibri" w:cs="Calibri"/>
          <w:color w:val="000000"/>
          <w:lang w:eastAsia="en-AU"/>
        </w:rPr>
        <w:t>PMT</w:t>
      </w:r>
      <w:proofErr w:type="gramEnd"/>
      <w:r w:rsidRPr="004262DD">
        <w:rPr>
          <w:rFonts w:ascii="Calibri" w:eastAsia="Times New Roman" w:hAnsi="Calibri" w:cs="Calibri"/>
          <w:color w:val="000000"/>
          <w:lang w:eastAsia="en-AU"/>
        </w:rPr>
        <w:t xml:space="preserve"> and the corresponding FEB converts the signal to an energy value E, in order to obtain a constant dynamic range in transverse energy over the calorimeter plane. The transverse energy, $E_{T}$ is defined as $E_{T} = E\sin(\</w:t>
      </w:r>
      <w:proofErr w:type="gramStart"/>
      <w:r w:rsidRPr="004262DD">
        <w:rPr>
          <w:rFonts w:ascii="Calibri" w:eastAsia="Times New Roman" w:hAnsi="Calibri" w:cs="Calibri"/>
          <w:color w:val="000000"/>
          <w:lang w:eastAsia="en-AU"/>
        </w:rPr>
        <w:t>theta)$</w:t>
      </w:r>
      <w:proofErr w:type="gramEnd"/>
      <w:r w:rsidRPr="004262DD">
        <w:rPr>
          <w:rFonts w:ascii="Calibri" w:eastAsia="Times New Roman" w:hAnsi="Calibri" w:cs="Calibri"/>
          <w:color w:val="000000"/>
          <w:lang w:eastAsia="en-AU"/>
        </w:rPr>
        <w:t xml:space="preserve">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ECAL measures the transverse energy of electrons, </w:t>
      </w:r>
      <w:proofErr w:type="gramStart"/>
      <w:r w:rsidRPr="004262DD">
        <w:rPr>
          <w:rFonts w:ascii="Calibri" w:eastAsia="Times New Roman" w:hAnsi="Calibri" w:cs="Calibri"/>
          <w:color w:val="000000"/>
          <w:lang w:eastAsia="en-AU"/>
        </w:rPr>
        <w:t>photons</w:t>
      </w:r>
      <w:proofErr w:type="gramEnd"/>
      <w:r w:rsidRPr="004262DD">
        <w:rPr>
          <w:rFonts w:ascii="Calibri" w:eastAsia="Times New Roman" w:hAnsi="Calibri" w:cs="Calibri"/>
          <w:color w:val="000000"/>
          <w:lang w:eastAsia="en-AU"/>
        </w:rPr>
        <w:t xml:space="preserve">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w:t>
      </w:r>
      <w:proofErr w:type="gramStart"/>
      <w:r w:rsidRPr="004262DD">
        <w:rPr>
          <w:rFonts w:ascii="Calibri" w:eastAsia="Times New Roman" w:hAnsi="Calibri" w:cs="Calibri"/>
          <w:color w:val="000000"/>
          <w:lang w:eastAsia="en-AU"/>
        </w:rPr>
        <w:t>e.g.</w:t>
      </w:r>
      <w:proofErr w:type="gramEnd"/>
      <w:r w:rsidRPr="004262DD">
        <w:rPr>
          <w:rFonts w:ascii="Calibri" w:eastAsia="Times New Roman" w:hAnsi="Calibri" w:cs="Calibri"/>
          <w:color w:val="000000"/>
          <w:lang w:eastAsia="en-AU"/>
        </w:rPr>
        <w:t xml:space="preserve">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000000"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Three regions have been labelled in the diagram below (inner, </w:t>
      </w:r>
      <w:proofErr w:type="gramStart"/>
      <w:r w:rsidRPr="004262DD">
        <w:rPr>
          <w:rFonts w:ascii="Calibri" w:eastAsia="Times New Roman" w:hAnsi="Calibri" w:cs="Calibri"/>
          <w:color w:val="000000"/>
          <w:lang w:eastAsia="en-AU"/>
        </w:rPr>
        <w:t>middle</w:t>
      </w:r>
      <w:proofErr w:type="gramEnd"/>
      <w:r w:rsidRPr="004262DD">
        <w:rPr>
          <w:rFonts w:ascii="Calibri" w:eastAsia="Times New Roman" w:hAnsi="Calibri" w:cs="Calibri"/>
          <w:color w:val="000000"/>
          <w:lang w:eastAsia="en-AU"/>
        </w:rPr>
        <w:t xml:space="preserve"> and outer), depending on the distance of the cells to the beam-pipe. The cell size is such that the SPD-PS-ECAL system is projective, as seen from the interaction point. In addition, the outer dimensions of the ECAL match </w:t>
      </w:r>
      <w:proofErr w:type="spellStart"/>
      <w:r w:rsidRPr="004262DD">
        <w:rPr>
          <w:rFonts w:ascii="Calibri" w:eastAsia="Times New Roman" w:hAnsi="Calibri" w:cs="Calibri"/>
          <w:color w:val="000000"/>
          <w:lang w:eastAsia="en-AU"/>
        </w:rPr>
        <w:t>projectively</w:t>
      </w:r>
      <w:proofErr w:type="spellEnd"/>
      <w:r w:rsidRPr="004262DD">
        <w:rPr>
          <w:rFonts w:ascii="Calibri" w:eastAsia="Times New Roman" w:hAnsi="Calibri" w:cs="Calibri"/>
          <w:color w:val="000000"/>
          <w:lang w:eastAsia="en-AU"/>
        </w:rPr>
        <w:t xml:space="preserve"> with those of the tracking system $\theta_{x} &lt;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and $\theta_{y} &lt; 250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while the inner angular acceptance of ECAL is limited to $\theta_{</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xml:space="preserve">} &gt; 25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around the beam pipe, where $\theta_{x}$ and $\theta_{y}$ are the polar angles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frame in which (</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all of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w:t>
      </w:r>
      <w:proofErr w:type="spellStart"/>
      <w:r>
        <w:rPr>
          <w:rFonts w:ascii="Calibri" w:eastAsia="Times New Roman" w:hAnsi="Calibri" w:cs="Calibri"/>
          <w:color w:val="000000"/>
          <w:lang w:eastAsia="en-AU"/>
        </w:rPr>
        <w:t>LHCb</w:t>
      </w:r>
      <w:proofErr w:type="spellEnd"/>
      <w:r>
        <w:rPr>
          <w:rFonts w:ascii="Calibri" w:eastAsia="Times New Roman" w:hAnsi="Calibri" w:cs="Calibri"/>
          <w:color w:val="000000"/>
          <w:lang w:eastAsia="en-AU"/>
        </w:rPr>
        <w:t xml:space="preserve">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w:t>
      </w:r>
      <w:proofErr w:type="gramStart"/>
      <w:r>
        <w:rPr>
          <w:rFonts w:ascii="Calibri" w:eastAsia="Times New Roman" w:hAnsi="Calibri" w:cs="Calibri"/>
          <w:color w:val="000000"/>
          <w:lang w:eastAsia="en-AU"/>
        </w:rPr>
        <w:t>i.e.</w:t>
      </w:r>
      <w:proofErr w:type="gramEnd"/>
      <w:r>
        <w:rPr>
          <w:rFonts w:ascii="Calibri" w:eastAsia="Times New Roman" w:hAnsi="Calibri" w:cs="Calibri"/>
          <w:color w:val="000000"/>
          <w:lang w:eastAsia="en-AU"/>
        </w:rPr>
        <w:t xml:space="preserv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 xml:space="preserve">The measurements cover the forward acceptance of $\pm 250$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vertically and of $\pm 300 $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horizontally. The magnet consists of saddle-shaped coils in a window-frame yoke with sloping poles in order to match the required detector </w:t>
      </w:r>
      <w:proofErr w:type="gramStart"/>
      <w:r w:rsidR="002F7F35">
        <w:rPr>
          <w:rFonts w:ascii="Calibri" w:eastAsia="Times New Roman" w:hAnsi="Calibri" w:cs="Calibri"/>
          <w:color w:val="000000"/>
          <w:lang w:eastAsia="en-AU"/>
        </w:rPr>
        <w:t>acceptance, and</w:t>
      </w:r>
      <w:proofErr w:type="gramEnd"/>
      <w:r w:rsidR="002F7F35">
        <w:rPr>
          <w:rFonts w:ascii="Calibri" w:eastAsia="Times New Roman" w:hAnsi="Calibri" w:cs="Calibri"/>
          <w:color w:val="000000"/>
          <w:lang w:eastAsia="en-AU"/>
        </w:rPr>
        <w:t xml:space="preserve">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w:t>
      </w:r>
      <w:proofErr w:type="spellStart"/>
      <w:r w:rsidR="000C4914">
        <w:rPr>
          <w:rFonts w:ascii="Calibri" w:eastAsia="Times New Roman" w:hAnsi="Calibri" w:cs="Calibri"/>
          <w:color w:val="000000"/>
          <w:lang w:eastAsia="en-AU"/>
        </w:rPr>
        <w:t>millimeters</w:t>
      </w:r>
      <w:proofErr w:type="spellEnd"/>
      <w:r w:rsidR="000C4914">
        <w:rPr>
          <w:rFonts w:ascii="Calibri" w:eastAsia="Times New Roman" w:hAnsi="Calibri" w:cs="Calibri"/>
          <w:color w:val="000000"/>
          <w:lang w:eastAsia="en-AU"/>
        </w:rPr>
        <w:t xml:space="preserve">.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w:t>
      </w:r>
      <w:proofErr w:type="gramStart"/>
      <w:r>
        <w:rPr>
          <w:rFonts w:ascii="Calibri" w:eastAsia="Times New Roman" w:hAnsi="Calibri" w:cs="Calibri"/>
          <w:color w:val="000000"/>
          <w:lang w:eastAsia="en-AU"/>
        </w:rPr>
        <w:t>e.g.</w:t>
      </w:r>
      <w:proofErr w:type="gramEnd"/>
      <w:r>
        <w:rPr>
          <w:rFonts w:ascii="Calibri" w:eastAsia="Times New Roman" w:hAnsi="Calibri" w:cs="Calibri"/>
          <w:color w:val="000000"/>
          <w:lang w:eastAsia="en-AU"/>
        </w:rPr>
        <w:t xml:space="preserve">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 xml:space="preserve">The </w:t>
      </w:r>
      <w:proofErr w:type="spellStart"/>
      <w:r>
        <w:rPr>
          <w:b/>
          <w:bCs/>
          <w:u w:val="single"/>
          <w:lang w:eastAsia="en-AU"/>
        </w:rPr>
        <w:t>LHCb</w:t>
      </w:r>
      <w:proofErr w:type="spellEnd"/>
      <w:r>
        <w:rPr>
          <w:b/>
          <w:bCs/>
          <w:u w:val="single"/>
          <w:lang w:eastAsia="en-AU"/>
        </w:rPr>
        <w:t xml:space="preserve"> Data Flow</w:t>
      </w:r>
    </w:p>
    <w:p w14:paraId="36187CD9" w14:textId="60BB1F5F" w:rsidR="00742B0E" w:rsidRDefault="00304F74" w:rsidP="00373ADC">
      <w:pPr>
        <w:rPr>
          <w:lang w:eastAsia="en-AU"/>
        </w:rPr>
      </w:pPr>
      <w:r>
        <w:rPr>
          <w:lang w:eastAsia="en-AU"/>
        </w:rPr>
        <w:t xml:space="preserve">The </w:t>
      </w:r>
      <w:proofErr w:type="spellStart"/>
      <w:r>
        <w:rPr>
          <w:lang w:eastAsia="en-AU"/>
        </w:rPr>
        <w:t>LHCb</w:t>
      </w:r>
      <w:proofErr w:type="spellEnd"/>
      <w:r>
        <w:rPr>
          <w:lang w:eastAsia="en-AU"/>
        </w:rPr>
        <w:t xml:space="preserve"> is provided with approximately 40 million proton-proton collisions by the LHC every second. If all of this data were to be stored, one would be recording approximately 1 TB of data every second</w:t>
      </w:r>
      <w:r w:rsidR="00742B0E">
        <w:rPr>
          <w:lang w:eastAsia="en-AU"/>
        </w:rPr>
        <w:t xml:space="preserve"> (a large amount of data). The data needs to be filtered in order to keep only the events that contain something interesting. The </w:t>
      </w:r>
      <w:proofErr w:type="spellStart"/>
      <w:r w:rsidR="00742B0E">
        <w:rPr>
          <w:lang w:eastAsia="en-AU"/>
        </w:rPr>
        <w:t>LHCb</w:t>
      </w:r>
      <w:proofErr w:type="spellEnd"/>
      <w:r w:rsidR="00742B0E">
        <w:rPr>
          <w:lang w:eastAsia="en-AU"/>
        </w:rPr>
        <w:t xml:space="preserve">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w:t>
      </w:r>
      <w:proofErr w:type="gramStart"/>
      <w:r w:rsidR="00A222E8">
        <w:rPr>
          <w:lang w:eastAsia="en-AU"/>
        </w:rPr>
        <w:t>analysis, but</w:t>
      </w:r>
      <w:proofErr w:type="gramEnd"/>
      <w:r w:rsidR="00A222E8">
        <w:rPr>
          <w:lang w:eastAsia="en-AU"/>
        </w:rPr>
        <w:t xml:space="preserve">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r>
        <w:rPr>
          <w:lang w:eastAsia="en-AU"/>
        </w:rPr>
        <w:t>A large number of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w:t>
      </w:r>
      <w:proofErr w:type="spellStart"/>
      <w:r>
        <w:rPr>
          <w:lang w:eastAsia="en-AU"/>
        </w:rPr>
        <w:t>LHCb</w:t>
      </w:r>
      <w:proofErr w:type="spellEnd"/>
      <w:r>
        <w:rPr>
          <w:lang w:eastAsia="en-AU"/>
        </w:rPr>
        <w:t xml:space="preserve"> default) and POWHEG, and for controlling </w:t>
      </w:r>
      <w:proofErr w:type="spellStart"/>
      <w:r>
        <w:rPr>
          <w:lang w:eastAsia="en-AU"/>
        </w:rPr>
        <w:t>EvtGen</w:t>
      </w:r>
      <w:proofErr w:type="spellEnd"/>
      <w:r>
        <w:rPr>
          <w:lang w:eastAsia="en-AU"/>
        </w:rPr>
        <w:t xml:space="preserve"> and Geant4.</w:t>
      </w:r>
      <w:r w:rsidR="00B401DD">
        <w:rPr>
          <w:lang w:eastAsia="en-AU"/>
        </w:rPr>
        <w:t xml:space="preserve"> </w:t>
      </w:r>
      <w:proofErr w:type="spellStart"/>
      <w:r w:rsidR="00B401DD">
        <w:rPr>
          <w:lang w:eastAsia="en-AU"/>
        </w:rPr>
        <w:t>EvtGen</w:t>
      </w:r>
      <w:proofErr w:type="spellEnd"/>
      <w:r w:rsidR="00B401DD">
        <w:rPr>
          <w:lang w:eastAsia="en-AU"/>
        </w:rPr>
        <w:t xml:space="preserve">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a majority of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w:t>
      </w:r>
      <w:proofErr w:type="gramStart"/>
      <w:r>
        <w:rPr>
          <w:lang w:eastAsia="en-AU"/>
        </w:rPr>
        <w:t>i.e.</w:t>
      </w:r>
      <w:proofErr w:type="gramEnd"/>
      <w:r>
        <w:rPr>
          <w:lang w:eastAsia="en-AU"/>
        </w:rPr>
        <w:t xml:space="preserv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w:t>
      </w:r>
      <w:proofErr w:type="gramStart"/>
      <w:r w:rsidRPr="00164721">
        <w:t>i.e.</w:t>
      </w:r>
      <w:proofErr w:type="gramEnd"/>
      <w:r w:rsidRPr="00164721">
        <w:t xml:space="preserve"> alignment) and generally have a lifetime that corresponds to the processing of many events</w:t>
      </w:r>
      <w:r w:rsidR="0084675E">
        <w:t>. The Transient Histogram Store contains statistical data, which typically have a lifetime corresponding to the data processed in a complete job. Although the stores behave slightly differently, particularly with respect to the data lifetime (</w:t>
      </w:r>
      <w:proofErr w:type="gramStart"/>
      <w:r w:rsidR="0084675E">
        <w:t>e.g.</w:t>
      </w:r>
      <w:proofErr w:type="gramEnd"/>
      <w:r w:rsidR="0084675E">
        <w:t xml:space="preserve">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The organisation of the data within the transient data stores is “tree-like”, similar to a Unix file system, thereby allowing data items that are logically related (</w:t>
      </w:r>
      <w:proofErr w:type="gramStart"/>
      <w:r>
        <w:t>e.g.</w:t>
      </w:r>
      <w:proofErr w:type="gramEnd"/>
      <w:r>
        <w:t xml:space="preserve">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of everything below it, and will delete all of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w:t>
      </w:r>
      <w:proofErr w:type="gramStart"/>
      <w:r>
        <w:rPr>
          <w:lang w:eastAsia="en-AU"/>
        </w:rPr>
        <w:t>detectors</w:t>
      </w:r>
      <w:proofErr w:type="gramEnd"/>
      <w:r>
        <w:rPr>
          <w:lang w:eastAsia="en-AU"/>
        </w:rPr>
        <w:t xml:space="preserve"> and </w:t>
      </w:r>
      <w:proofErr w:type="spellStart"/>
      <w:r>
        <w:rPr>
          <w:lang w:eastAsia="en-AU"/>
        </w:rPr>
        <w:t>fueled</w:t>
      </w:r>
      <w:proofErr w:type="spellEnd"/>
      <w:r>
        <w:rPr>
          <w:lang w:eastAsia="en-AU"/>
        </w:rPr>
        <w:t xml:space="preserve">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The toolkit offers the user the ability to create a geometrical model with a large number of components of different shapes and materials, and to define “sensitive” elements that record information (hits) needed to simulate detector responses (digitisation). It also provides a comprehensive set of physics processes to model the behaviour of particles. The user is able to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 xml:space="preserve">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w:t>
      </w:r>
      <w:proofErr w:type="spellStart"/>
      <w:r w:rsidR="004370E5">
        <w:rPr>
          <w:lang w:eastAsia="en-AU"/>
        </w:rPr>
        <w:t>uni</w:t>
      </w:r>
      <w:proofErr w:type="spellEnd"/>
      <w:r w:rsidR="004370E5">
        <w:rPr>
          <w:lang w:eastAsia="en-AU"/>
        </w:rPr>
        <w:t>-directional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 xml:space="preserve">The Pythia program is a standard tool for the generation of high-energy collisions, comprising a coherent set of physics models for the evolution from a few-body hard process to a complex </w:t>
      </w:r>
      <w:proofErr w:type="spellStart"/>
      <w:r>
        <w:rPr>
          <w:lang w:eastAsia="en-AU"/>
        </w:rPr>
        <w:t>multihadronic</w:t>
      </w:r>
      <w:proofErr w:type="spellEnd"/>
      <w:r>
        <w:rPr>
          <w:lang w:eastAsia="en-AU"/>
        </w:rPr>
        <w:t xml:space="preserve"> final state. It contains a library of hard processes and models for initial and final-state </w:t>
      </w:r>
      <w:proofErr w:type="spellStart"/>
      <w:r>
        <w:rPr>
          <w:lang w:eastAsia="en-AU"/>
        </w:rPr>
        <w:t>parton</w:t>
      </w:r>
      <w:proofErr w:type="spellEnd"/>
      <w:r>
        <w:rPr>
          <w:lang w:eastAsia="en-AU"/>
        </w:rPr>
        <w:t xml:space="preserve"> showers, multiple </w:t>
      </w:r>
      <w:proofErr w:type="spellStart"/>
      <w:r>
        <w:rPr>
          <w:lang w:eastAsia="en-AU"/>
        </w:rPr>
        <w:t>parton-parton</w:t>
      </w:r>
      <w:proofErr w:type="spellEnd"/>
      <w:r>
        <w:rPr>
          <w:lang w:eastAsia="en-AU"/>
        </w:rPr>
        <w:t xml:space="preserve">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 xml:space="preserve">The hard processes, </w:t>
      </w:r>
      <w:proofErr w:type="spellStart"/>
      <w:r>
        <w:rPr>
          <w:lang w:eastAsia="en-AU"/>
        </w:rPr>
        <w:t>parton</w:t>
      </w:r>
      <w:proofErr w:type="spellEnd"/>
      <w:r>
        <w:rPr>
          <w:lang w:eastAsia="en-AU"/>
        </w:rPr>
        <w:t xml:space="preserve"> showers, multiple interactions, beam remnants, and hadronization (</w:t>
      </w:r>
      <w:proofErr w:type="gramStart"/>
      <w:r>
        <w:rPr>
          <w:lang w:eastAsia="en-AU"/>
        </w:rPr>
        <w:t>i.e.</w:t>
      </w:r>
      <w:proofErr w:type="gramEnd"/>
      <w:r>
        <w:rPr>
          <w:lang w:eastAsia="en-AU"/>
        </w:rPr>
        <w:t xml:space="preserv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xml:space="preserve">. Only a very small set of </w:t>
      </w:r>
      <w:proofErr w:type="spellStart"/>
      <w:r w:rsidR="004D30B4">
        <w:rPr>
          <w:lang w:eastAsia="en-AU"/>
        </w:rPr>
        <w:t>partons</w:t>
      </w:r>
      <w:proofErr w:type="spellEnd"/>
      <w:r w:rsidR="004D30B4">
        <w:rPr>
          <w:lang w:eastAsia="en-AU"/>
        </w:rPr>
        <w:t>/particles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 xml:space="preserve">The generation of all subsequent activity on the partonic level, involving initial and final-state radiation, multiple </w:t>
      </w:r>
      <w:proofErr w:type="spellStart"/>
      <w:r>
        <w:rPr>
          <w:lang w:eastAsia="en-AU"/>
        </w:rPr>
        <w:t>parton-parton</w:t>
      </w:r>
      <w:proofErr w:type="spellEnd"/>
      <w:r>
        <w:rPr>
          <w:lang w:eastAsia="en-AU"/>
        </w:rPr>
        <w:t xml:space="preserve"> interactions and the structure of beam remnants. Much of the phenomena are under an (approximate) perturbative control., but nonperturbative physics aspects are also important. At the conclusion of this step, a realistic partonic structure has been obtained (</w:t>
      </w:r>
      <w:proofErr w:type="gramStart"/>
      <w:r>
        <w:rPr>
          <w:lang w:eastAsia="en-AU"/>
        </w:rPr>
        <w:t>e.g.</w:t>
      </w:r>
      <w:proofErr w:type="gramEnd"/>
      <w:r>
        <w:rPr>
          <w:lang w:eastAsia="en-AU"/>
        </w:rPr>
        <w:t xml:space="preserve">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w:t>
      </w:r>
      <w:proofErr w:type="spellStart"/>
      <w:r>
        <w:rPr>
          <w:lang w:eastAsia="en-AU"/>
        </w:rPr>
        <w:t>parton</w:t>
      </w:r>
      <w:proofErr w:type="spellEnd"/>
      <w:r>
        <w:rPr>
          <w:lang w:eastAsia="en-AU"/>
        </w:rPr>
        <w:t xml:space="preserve">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 xml:space="preserve">The three subdivisions of tasks are not rigid- </w:t>
      </w:r>
      <w:proofErr w:type="spellStart"/>
      <w:r>
        <w:rPr>
          <w:lang w:eastAsia="en-AU"/>
        </w:rPr>
        <w:t>parton</w:t>
      </w:r>
      <w:proofErr w:type="spellEnd"/>
      <w:r>
        <w:rPr>
          <w:lang w:eastAsia="en-AU"/>
        </w:rPr>
        <w:t xml:space="preserve">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 xml:space="preserve">The most important piece of information is that of the event record, which is represented by the ‘Event’ class, of which there are two objects, namely process (which only covers the few </w:t>
      </w:r>
      <w:proofErr w:type="spellStart"/>
      <w:r>
        <w:rPr>
          <w:lang w:eastAsia="en-AU"/>
        </w:rPr>
        <w:t>partons</w:t>
      </w:r>
      <w:proofErr w:type="spellEnd"/>
      <w:r>
        <w:rPr>
          <w:lang w:eastAsia="en-AU"/>
        </w:rPr>
        <w:t xml:space="preserve"> of the “hard” process of point 1), and another called event, which covers the full story from the incoming beams to the final hadrons. A small Info class keeps track of useful, unique information, such as the kinematic variables </w:t>
      </w:r>
      <w:proofErr w:type="spellStart"/>
      <w:r>
        <w:rPr>
          <w:lang w:eastAsia="en-AU"/>
        </w:rPr>
        <w:t>fo</w:t>
      </w:r>
      <w:proofErr w:type="spellEnd"/>
      <w:r>
        <w:rPr>
          <w:lang w:eastAsia="en-AU"/>
        </w:rPr>
        <w:t xml:space="preserve"> the hard process</w:t>
      </w:r>
    </w:p>
    <w:p w14:paraId="06AF4204" w14:textId="43DFBA84" w:rsidR="003313E8" w:rsidRDefault="003313E8" w:rsidP="00B401DD">
      <w:pPr>
        <w:rPr>
          <w:lang w:eastAsia="en-AU"/>
        </w:rPr>
      </w:pPr>
      <w:r>
        <w:rPr>
          <w:lang w:eastAsia="en-AU"/>
        </w:rPr>
        <w:t xml:space="preserve">There are also two incoming </w:t>
      </w:r>
      <w:proofErr w:type="spellStart"/>
      <w:r>
        <w:rPr>
          <w:lang w:eastAsia="en-AU"/>
        </w:rPr>
        <w:t>BeamParticles</w:t>
      </w:r>
      <w:proofErr w:type="spellEnd"/>
      <w:r>
        <w:rPr>
          <w:lang w:eastAsia="en-AU"/>
        </w:rPr>
        <w:t xml:space="preserve"> that keep track of the partonic content left in the beams after several interactions and initial-state radiations, and rescales </w:t>
      </w:r>
      <w:proofErr w:type="spellStart"/>
      <w:r>
        <w:rPr>
          <w:lang w:eastAsia="en-AU"/>
        </w:rPr>
        <w:t>parton</w:t>
      </w:r>
      <w:proofErr w:type="spellEnd"/>
      <w:r>
        <w:rPr>
          <w:lang w:eastAsia="en-AU"/>
        </w:rPr>
        <w:t xml:space="preserve">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w:t>
      </w:r>
      <w:proofErr w:type="gramStart"/>
      <w:r>
        <w:rPr>
          <w:lang w:eastAsia="en-AU"/>
        </w:rPr>
        <w:t>integer</w:t>
      </w:r>
      <w:proofErr w:type="gramEnd"/>
      <w:r>
        <w:rPr>
          <w:lang w:eastAsia="en-AU"/>
        </w:rPr>
        <w:t xml:space="preserve">, double, </w:t>
      </w:r>
      <w:proofErr w:type="spellStart"/>
      <w:r w:rsidR="002C1514">
        <w:rPr>
          <w:lang w:eastAsia="en-AU"/>
        </w:rPr>
        <w:t>b</w:t>
      </w:r>
      <w:r>
        <w:rPr>
          <w:lang w:eastAsia="en-AU"/>
        </w:rPr>
        <w:t>oolean</w:t>
      </w:r>
      <w:proofErr w:type="spellEnd"/>
      <w:r>
        <w:rPr>
          <w:lang w:eastAsia="en-AU"/>
        </w:rPr>
        <w:t xml:space="preserve">, and string </w:t>
      </w:r>
      <w:proofErr w:type="spellStart"/>
      <w:r>
        <w:rPr>
          <w:lang w:eastAsia="en-AU"/>
        </w:rPr>
        <w:t>variabes</w:t>
      </w:r>
      <w:proofErr w:type="spellEnd"/>
      <w:r>
        <w:rPr>
          <w:lang w:eastAsia="en-AU"/>
        </w:rPr>
        <w:t xml:space="preserve"> that can be changed by the user to steer the performance of Pythia, except that </w:t>
      </w:r>
      <w:proofErr w:type="spellStart"/>
      <w:r>
        <w:rPr>
          <w:lang w:eastAsia="en-AU"/>
        </w:rPr>
        <w:t>ParticleDataTable</w:t>
      </w:r>
      <w:proofErr w:type="spellEnd"/>
      <w:r>
        <w:rPr>
          <w:lang w:eastAsia="en-AU"/>
        </w:rPr>
        <w:t xml:space="preserve"> is its own separate database.</w:t>
      </w:r>
    </w:p>
    <w:p w14:paraId="39526970" w14:textId="162CE6EC" w:rsidR="008765E6" w:rsidRDefault="008765E6" w:rsidP="00B401DD">
      <w:pPr>
        <w:rPr>
          <w:lang w:eastAsia="en-AU"/>
        </w:rPr>
      </w:pPr>
      <w:r>
        <w:rPr>
          <w:lang w:eastAsia="en-AU"/>
        </w:rPr>
        <w:t>Finally, a number of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proofErr w:type="spellStart"/>
      <w:r>
        <w:rPr>
          <w:b/>
          <w:bCs/>
          <w:u w:val="single"/>
          <w:lang w:eastAsia="en-AU"/>
        </w:rPr>
        <w:t>EvtGen</w:t>
      </w:r>
      <w:proofErr w:type="spellEnd"/>
    </w:p>
    <w:p w14:paraId="331502C9" w14:textId="3E4A12CB" w:rsidR="00FE7EFD" w:rsidRDefault="00FE7EFD" w:rsidP="00B401DD">
      <w:pPr>
        <w:rPr>
          <w:lang w:eastAsia="en-AU"/>
        </w:rPr>
      </w:pPr>
      <w:r>
        <w:rPr>
          <w:lang w:eastAsia="en-AU"/>
        </w:rPr>
        <w:t xml:space="preserve">The </w:t>
      </w:r>
      <w:proofErr w:type="spellStart"/>
      <w:r>
        <w:rPr>
          <w:lang w:eastAsia="en-AU"/>
        </w:rPr>
        <w:t>EvtGen</w:t>
      </w:r>
      <w:proofErr w:type="spellEnd"/>
      <w:r>
        <w:rPr>
          <w:lang w:eastAsia="en-AU"/>
        </w:rPr>
        <w:t xml:space="preserve">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in order to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w:t>
      </w:r>
      <w:proofErr w:type="gramStart"/>
      <w:r>
        <w:rPr>
          <w:rFonts w:eastAsiaTheme="minorEastAsia"/>
          <w:lang w:eastAsia="en-AU"/>
        </w:rPr>
        <w:t>rate, and</w:t>
      </w:r>
      <w:proofErr w:type="gramEnd"/>
      <w:r>
        <w:rPr>
          <w:rFonts w:eastAsiaTheme="minorEastAsia"/>
          <w:lang w:eastAsia="en-AU"/>
        </w:rPr>
        <w:t xml:space="preserve">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058138E2" w:rsidR="00947C38" w:rsidRDefault="00082223" w:rsidP="00B015A9">
      <w:pPr>
        <w:ind w:left="360"/>
        <w:jc w:val="center"/>
        <w:rPr>
          <w:rFonts w:eastAsiaTheme="minorEastAsia"/>
          <w:lang w:eastAsia="en-AU"/>
        </w:rPr>
      </w:pPr>
      <w:r>
        <w:rPr>
          <w:rFonts w:eastAsiaTheme="minorEastAsia"/>
          <w:lang w:eastAsia="en-AU"/>
        </w:rPr>
        <w:t xml:space="preserve">          </w:t>
      </w:r>
      <w:r w:rsidR="00B015A9" w:rsidRPr="00B015A9">
        <w:rPr>
          <w:rFonts w:eastAsiaTheme="minorEastAsia"/>
          <w:noProof/>
          <w:lang w:eastAsia="en-AU"/>
        </w:rPr>
        <w:drawing>
          <wp:inline distT="0" distB="0" distL="0" distR="0" wp14:anchorId="5C7862E7" wp14:editId="5FFE2F1D">
            <wp:extent cx="2514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815"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 xml:space="preserve">As with the other decays, kinematics </w:t>
      </w:r>
      <w:proofErr w:type="gramStart"/>
      <w:r>
        <w:rPr>
          <w:rFonts w:eastAsiaTheme="minorEastAsia"/>
          <w:lang w:eastAsia="en-AU"/>
        </w:rPr>
        <w:t>are</w:t>
      </w:r>
      <w:proofErr w:type="gramEnd"/>
      <w:r>
        <w:rPr>
          <w:rFonts w:eastAsiaTheme="minorEastAsia"/>
          <w:lang w:eastAsia="en-AU"/>
        </w:rPr>
        <w:t xml:space="preserv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w:t>
      </w:r>
      <w:proofErr w:type="spellStart"/>
      <w:r>
        <w:rPr>
          <w:rFonts w:eastAsiaTheme="minorEastAsia"/>
          <w:lang w:eastAsia="en-AU"/>
        </w:rPr>
        <w:t>EvtGen</w:t>
      </w:r>
      <w:proofErr w:type="spellEnd"/>
      <w:r>
        <w:rPr>
          <w:rFonts w:eastAsiaTheme="minorEastAsia"/>
          <w:lang w:eastAsia="en-AU"/>
        </w:rPr>
        <w:t xml:space="preserve">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000000"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 xml:space="preserve">Various decay models are implemented in the </w:t>
      </w:r>
      <w:proofErr w:type="spellStart"/>
      <w:r>
        <w:rPr>
          <w:rFonts w:eastAsiaTheme="minorEastAsia"/>
          <w:lang w:eastAsia="en-AU"/>
        </w:rPr>
        <w:t>EvtGen</w:t>
      </w:r>
      <w:proofErr w:type="spellEnd"/>
      <w:r>
        <w:rPr>
          <w:rFonts w:eastAsiaTheme="minorEastAsia"/>
          <w:lang w:eastAsia="en-AU"/>
        </w:rPr>
        <w:t xml:space="preserve"> package, including those for specific CP violating channels, </w:t>
      </w:r>
      <w:proofErr w:type="spellStart"/>
      <w:r>
        <w:rPr>
          <w:rFonts w:eastAsiaTheme="minorEastAsia"/>
          <w:lang w:eastAsia="en-AU"/>
        </w:rPr>
        <w:t>Dalitz</w:t>
      </w:r>
      <w:proofErr w:type="spellEnd"/>
      <w:r>
        <w:rPr>
          <w:rFonts w:eastAsiaTheme="minorEastAsia"/>
          <w:lang w:eastAsia="en-AU"/>
        </w:rPr>
        <w:t xml:space="preserve"> decay models, mixing and </w:t>
      </w:r>
      <w:proofErr w:type="spellStart"/>
      <w:r>
        <w:rPr>
          <w:rFonts w:eastAsiaTheme="minorEastAsia"/>
          <w:lang w:eastAsia="en-AU"/>
        </w:rPr>
        <w:t>semileptonic</w:t>
      </w:r>
      <w:proofErr w:type="spellEnd"/>
      <w:r>
        <w:rPr>
          <w:rFonts w:eastAsiaTheme="minorEastAsia"/>
          <w:lang w:eastAsia="en-AU"/>
        </w:rPr>
        <w:t xml:space="preserve">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xml:space="preserve">, </w:t>
      </w:r>
      <w:proofErr w:type="spellStart"/>
      <w:r w:rsidR="008743A6">
        <w:rPr>
          <w:rFonts w:eastAsiaTheme="minorEastAsia"/>
          <w:lang w:eastAsia="en-AU"/>
        </w:rPr>
        <w:t>transversity</w:t>
      </w:r>
      <w:proofErr w:type="spellEnd"/>
      <w:r w:rsidR="008743A6">
        <w:rPr>
          <w:rFonts w:eastAsiaTheme="minorEastAsia"/>
          <w:lang w:eastAsia="en-AU"/>
        </w:rPr>
        <w:t xml:space="preserve"> amplitudes are specified</w:t>
      </w:r>
    </w:p>
    <w:p w14:paraId="7548A32A" w14:textId="3E92BB08" w:rsidR="004668A2" w:rsidRPr="004668A2" w:rsidRDefault="004668A2" w:rsidP="004668A2">
      <w:pPr>
        <w:ind w:left="360"/>
        <w:rPr>
          <w:rFonts w:eastAsiaTheme="minorEastAsia"/>
          <w:lang w:eastAsia="en-AU"/>
        </w:rPr>
      </w:pPr>
      <w:proofErr w:type="spellStart"/>
      <w:r>
        <w:rPr>
          <w:rFonts w:eastAsiaTheme="minorEastAsia"/>
          <w:lang w:eastAsia="en-AU"/>
        </w:rPr>
        <w:t>Semileptonic</w:t>
      </w:r>
      <w:proofErr w:type="spellEnd"/>
      <w:r>
        <w:rPr>
          <w:rFonts w:eastAsiaTheme="minorEastAsia"/>
          <w:lang w:eastAsia="en-AU"/>
        </w:rPr>
        <w:t xml:space="preserve">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w:t>
      </w:r>
      <w:proofErr w:type="spellStart"/>
      <w:r>
        <w:rPr>
          <w:rFonts w:eastAsiaTheme="minorEastAsia"/>
          <w:lang w:eastAsia="en-AU"/>
        </w:rPr>
        <w:t>EvtGen</w:t>
      </w:r>
      <w:proofErr w:type="spellEnd"/>
      <w:r>
        <w:rPr>
          <w:rFonts w:eastAsiaTheme="minorEastAsia"/>
          <w:lang w:eastAsia="en-AU"/>
        </w:rPr>
        <w:t xml:space="preserve"> generator has been designed to correctly simulate the angular and time-dependent distribution in sequential B decays. In order to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 xml:space="preserve">The </w:t>
      </w:r>
      <w:proofErr w:type="spellStart"/>
      <w:r>
        <w:rPr>
          <w:lang w:eastAsia="en-AU"/>
        </w:rPr>
        <w:t>LHCb</w:t>
      </w:r>
      <w:proofErr w:type="spellEnd"/>
      <w:r>
        <w:rPr>
          <w:lang w:eastAsia="en-AU"/>
        </w:rPr>
        <w:t xml:space="preserve"> simulation framework Gauss is built, as all the other </w:t>
      </w:r>
      <w:proofErr w:type="spellStart"/>
      <w:r>
        <w:rPr>
          <w:lang w:eastAsia="en-AU"/>
        </w:rPr>
        <w:t>LHCb</w:t>
      </w:r>
      <w:proofErr w:type="spellEnd"/>
      <w:r>
        <w:rPr>
          <w:lang w:eastAsia="en-AU"/>
        </w:rPr>
        <w:t xml:space="preserve">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 xml:space="preserve">o control the generation of collisions (in most cases, proton-proton collisions) with Pythia, where a specific </w:t>
      </w:r>
      <w:proofErr w:type="spellStart"/>
      <w:r w:rsidR="004F4DD7">
        <w:rPr>
          <w:lang w:eastAsia="en-AU"/>
        </w:rPr>
        <w:t>LHCb</w:t>
      </w:r>
      <w:proofErr w:type="spellEnd"/>
      <w:r w:rsidR="004F4DD7">
        <w:rPr>
          <w:lang w:eastAsia="en-AU"/>
        </w:rPr>
        <w:t xml:space="preserve"> configuration is used. Gauss then makes use of </w:t>
      </w:r>
      <w:proofErr w:type="spellStart"/>
      <w:r w:rsidR="004F4DD7">
        <w:rPr>
          <w:lang w:eastAsia="en-AU"/>
        </w:rPr>
        <w:t>EvtGen</w:t>
      </w:r>
      <w:proofErr w:type="spellEnd"/>
      <w:r w:rsidR="004F4DD7">
        <w:rPr>
          <w:lang w:eastAsia="en-AU"/>
        </w:rPr>
        <w:t xml:space="preserve"> in order to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4737CE50" w:rsidR="00A56936"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42F2B61E" w14:textId="74417BAE" w:rsidR="00C633D2" w:rsidRDefault="00C633D2" w:rsidP="00A56936">
      <w:pPr>
        <w:rPr>
          <w:lang w:eastAsia="en-AU"/>
        </w:rPr>
      </w:pPr>
    </w:p>
    <w:p w14:paraId="0F32B9CD" w14:textId="280E9D0E" w:rsidR="00C633D2" w:rsidRDefault="00C633D2" w:rsidP="00A56936">
      <w:pPr>
        <w:rPr>
          <w:lang w:eastAsia="en-AU"/>
        </w:rPr>
      </w:pPr>
    </w:p>
    <w:p w14:paraId="147DD2EA" w14:textId="2CD6BC77" w:rsidR="00C633D2" w:rsidRDefault="00C633D2" w:rsidP="00C633D2">
      <w:pPr>
        <w:pStyle w:val="Subtitle"/>
        <w:rPr>
          <w:b/>
          <w:bCs/>
          <w:i/>
          <w:iCs/>
          <w:lang w:eastAsia="en-AU"/>
        </w:rPr>
      </w:pPr>
      <w:r>
        <w:rPr>
          <w:b/>
          <w:bCs/>
          <w:i/>
          <w:iCs/>
          <w:lang w:eastAsia="en-AU"/>
        </w:rPr>
        <w:t>Notes from Papers</w:t>
      </w:r>
    </w:p>
    <w:p w14:paraId="57F93C02" w14:textId="3E5A2510" w:rsidR="00C633D2" w:rsidRDefault="00C633D2" w:rsidP="00C633D2">
      <w:pPr>
        <w:rPr>
          <w:b/>
          <w:bCs/>
          <w:u w:val="single"/>
          <w:lang w:eastAsia="en-AU"/>
        </w:rPr>
      </w:pPr>
      <w:r>
        <w:rPr>
          <w:b/>
          <w:bCs/>
          <w:u w:val="single"/>
          <w:lang w:eastAsia="en-AU"/>
        </w:rPr>
        <w:t>ALP to Diphoton Search Analysis</w:t>
      </w:r>
    </w:p>
    <w:p w14:paraId="37E1CCDF" w14:textId="64A65853" w:rsidR="00C633D2" w:rsidRPr="00C633D2" w:rsidRDefault="00C633D2" w:rsidP="00C633D2">
      <w:pPr>
        <w:pStyle w:val="ListParagraph"/>
        <w:numPr>
          <w:ilvl w:val="0"/>
          <w:numId w:val="16"/>
        </w:numPr>
        <w:rPr>
          <w:rFonts w:eastAsiaTheme="minorEastAsia"/>
          <w:lang w:eastAsia="en-AU"/>
        </w:rPr>
      </w:pPr>
      <w:r>
        <w:rPr>
          <w:lang w:eastAsia="en-AU"/>
        </w:rPr>
        <w:t xml:space="preserve">2018 pp collision data collected at </w:t>
      </w:r>
      <m:oMath>
        <m:rad>
          <m:radPr>
            <m:degHide m:val="1"/>
            <m:ctrlPr>
              <w:rPr>
                <w:rFonts w:ascii="Cambria Math" w:hAnsi="Cambria Math"/>
                <w:lang w:eastAsia="en-AU"/>
              </w:rPr>
            </m:ctrlPr>
          </m:radPr>
          <m:deg>
            <m:ctrlPr>
              <w:rPr>
                <w:rFonts w:ascii="Cambria Math" w:hAnsi="Cambria Math"/>
                <w:i/>
                <w:lang w:eastAsia="en-AU"/>
              </w:rPr>
            </m:ctrlPr>
          </m:deg>
          <m:e>
            <m:r>
              <w:rPr>
                <w:rFonts w:ascii="Cambria Math" w:hAnsi="Cambria Math"/>
                <w:lang w:eastAsia="en-AU"/>
              </w:rPr>
              <m:t>s</m:t>
            </m:r>
          </m:e>
        </m:rad>
      </m:oMath>
      <w:r>
        <w:rPr>
          <w:rFonts w:eastAsiaTheme="minorEastAsia"/>
          <w:lang w:eastAsia="en-AU"/>
        </w:rPr>
        <w:t xml:space="preserve"> = 13 TeV, corresponding to an integrated luminosity of 2.07 fb^-1. </w:t>
      </w:r>
      <m:oMath>
        <m:r>
          <m:rPr>
            <m:sty m:val="p"/>
          </m:rPr>
          <w:rPr>
            <w:rFonts w:ascii="Cambria Math" w:eastAsiaTheme="minorEastAsia" w:hAnsi="Cambria Math"/>
            <w:lang w:eastAsia="en-AU"/>
          </w:rPr>
          <m:t>γγ</m:t>
        </m:r>
      </m:oMath>
      <w:r>
        <w:rPr>
          <w:rFonts w:eastAsiaTheme="minorEastAsia"/>
          <w:lang w:eastAsia="en-AU"/>
        </w:rPr>
        <w:t xml:space="preserve"> spectrum scanned from 4.8 to 20 GeV/c^2</w:t>
      </w:r>
    </w:p>
    <w:p w14:paraId="019DBBD6" w14:textId="07A64456" w:rsidR="00C633D2" w:rsidRPr="00C633D2" w:rsidRDefault="00C633D2" w:rsidP="00C633D2">
      <w:pPr>
        <w:pStyle w:val="ListParagraph"/>
        <w:numPr>
          <w:ilvl w:val="0"/>
          <w:numId w:val="16"/>
        </w:numPr>
        <w:rPr>
          <w:rFonts w:eastAsiaTheme="minorEastAsia"/>
          <w:lang w:eastAsia="en-AU"/>
        </w:rPr>
      </w:pPr>
      <w:r>
        <w:rPr>
          <w:rFonts w:eastAsiaTheme="minorEastAsia"/>
          <w:lang w:eastAsia="en-AU"/>
        </w:rPr>
        <w:t xml:space="preserve">Photons are only reconstructed in the calorimeters with the assumption of coming from the PV. Hence the kinematic topologies of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B</m:t>
            </m:r>
          </m:e>
          <m:sub>
            <m:r>
              <w:rPr>
                <w:rFonts w:ascii="Cambria Math" w:eastAsiaTheme="minorEastAsia" w:hAnsi="Cambria Math"/>
                <w:lang w:eastAsia="en-AU"/>
              </w:rPr>
              <m:t>s</m:t>
            </m:r>
          </m:sub>
          <m:sup>
            <m:d>
              <m:dPr>
                <m:ctrlPr>
                  <w:rPr>
                    <w:rFonts w:ascii="Cambria Math" w:eastAsiaTheme="minorEastAsia" w:hAnsi="Cambria Math"/>
                    <w:i/>
                    <w:lang w:eastAsia="en-AU"/>
                  </w:rPr>
                </m:ctrlPr>
              </m:dPr>
              <m:e>
                <m:r>
                  <w:rPr>
                    <w:rFonts w:ascii="Cambria Math" w:eastAsiaTheme="minorEastAsia" w:hAnsi="Cambria Math"/>
                    <w:lang w:eastAsia="en-AU"/>
                  </w:rPr>
                  <m:t>0</m:t>
                </m:r>
              </m:e>
            </m:d>
          </m:sup>
        </m:sSubSup>
        <m:r>
          <m:rPr>
            <m:sty m:val="p"/>
          </m:rPr>
          <w:rPr>
            <w:rFonts w:ascii="Cambria Math" w:eastAsiaTheme="minorEastAsia" w:hAnsi="Cambria Math"/>
            <w:lang w:eastAsia="en-AU"/>
          </w:rPr>
          <m:t>→γγ</m:t>
        </m:r>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a</m:t>
            </m:r>
          </m:e>
          <m:sub>
            <m:r>
              <w:rPr>
                <w:rFonts w:ascii="Cambria Math" w:eastAsiaTheme="minorEastAsia" w:hAnsi="Cambria Math"/>
                <w:lang w:eastAsia="en-AU"/>
              </w:rPr>
              <m:t>0</m:t>
            </m:r>
          </m:sub>
        </m:sSub>
        <m:r>
          <m:rPr>
            <m:sty m:val="p"/>
          </m:rPr>
          <w:rPr>
            <w:rFonts w:ascii="Cambria Math" w:eastAsiaTheme="minorEastAsia" w:hAnsi="Cambria Math"/>
            <w:lang w:eastAsia="en-AU"/>
          </w:rPr>
          <m:t>→γγ</m:t>
        </m:r>
      </m:oMath>
      <w:r>
        <w:rPr>
          <w:rFonts w:eastAsiaTheme="minorEastAsia"/>
          <w:lang w:eastAsia="en-AU"/>
        </w:rPr>
        <w:t xml:space="preserve"> are very similar and the search strategies are therefore identical. </w:t>
      </w:r>
    </w:p>
    <w:p w14:paraId="374263E1" w14:textId="06C7BF74" w:rsidR="00C633D2" w:rsidRPr="00C633D2" w:rsidRDefault="00C633D2" w:rsidP="00C633D2">
      <w:pPr>
        <w:pStyle w:val="ListParagraph"/>
        <w:numPr>
          <w:ilvl w:val="0"/>
          <w:numId w:val="16"/>
        </w:numPr>
        <w:rPr>
          <w:rFonts w:eastAsiaTheme="minorEastAsia"/>
          <w:lang w:eastAsia="en-AU"/>
        </w:rPr>
      </w:pPr>
      <w:r>
        <w:rPr>
          <w:rFonts w:eastAsiaTheme="minorEastAsia"/>
          <w:lang w:eastAsia="en-AU"/>
        </w:rPr>
        <w:t xml:space="preserve">Simulated samples are used to determine efficiencies, investigate </w:t>
      </w:r>
      <w:proofErr w:type="gramStart"/>
      <w:r>
        <w:rPr>
          <w:rFonts w:eastAsiaTheme="minorEastAsia"/>
          <w:lang w:eastAsia="en-AU"/>
        </w:rPr>
        <w:t>backgrounds</w:t>
      </w:r>
      <w:proofErr w:type="gramEnd"/>
      <w:r>
        <w:rPr>
          <w:rFonts w:eastAsiaTheme="minorEastAsia"/>
          <w:lang w:eastAsia="en-AU"/>
        </w:rPr>
        <w:t xml:space="preserve"> and calibrate efficiencies</w:t>
      </w:r>
    </w:p>
    <w:p w14:paraId="65258971" w14:textId="5B8FC970" w:rsidR="00C633D2" w:rsidRDefault="002C6CE4" w:rsidP="00C633D2">
      <w:pPr>
        <w:pStyle w:val="ListParagraph"/>
        <w:numPr>
          <w:ilvl w:val="0"/>
          <w:numId w:val="16"/>
        </w:numPr>
        <w:rPr>
          <w:rFonts w:eastAsiaTheme="minorEastAsia"/>
          <w:lang w:eastAsia="en-AU"/>
        </w:rPr>
      </w:pPr>
      <w:r>
        <w:rPr>
          <w:rFonts w:eastAsiaTheme="minorEastAsia"/>
          <w:lang w:eastAsia="en-AU"/>
        </w:rPr>
        <w:t>ALP to diphoton selection consists of the trigger and stripping selections, and a multivariate classifier based on isolation variables, as well as fiducial requirements.</w:t>
      </w:r>
    </w:p>
    <w:p w14:paraId="206F7878" w14:textId="72B1FA53" w:rsidR="002C6CE4" w:rsidRPr="002C6CE4" w:rsidRDefault="002C6CE4" w:rsidP="002C6CE4">
      <w:pPr>
        <w:pStyle w:val="ListParagraph"/>
        <w:numPr>
          <w:ilvl w:val="0"/>
          <w:numId w:val="16"/>
        </w:numPr>
        <w:rPr>
          <w:rFonts w:eastAsiaTheme="minorEastAsia"/>
          <w:lang w:eastAsia="en-AU"/>
        </w:rPr>
      </w:pPr>
      <w:r>
        <w:rPr>
          <w:rFonts w:eastAsiaTheme="minorEastAsia"/>
          <w:lang w:eastAsia="en-AU"/>
        </w:rPr>
        <w:t xml:space="preserve">Selection criteria for </w:t>
      </w:r>
      <m:oMath>
        <m:sSub>
          <m:sSubPr>
            <m:ctrlPr>
              <w:rPr>
                <w:rFonts w:ascii="Cambria Math" w:eastAsiaTheme="minorEastAsia" w:hAnsi="Cambria Math"/>
                <w:i/>
                <w:lang w:eastAsia="en-AU"/>
              </w:rPr>
            </m:ctrlPr>
          </m:sSubPr>
          <m:e>
            <m:r>
              <w:rPr>
                <w:rFonts w:ascii="Cambria Math" w:eastAsiaTheme="minorEastAsia" w:hAnsi="Cambria Math"/>
                <w:lang w:eastAsia="en-AU"/>
              </w:rPr>
              <m:t>a</m:t>
            </m:r>
          </m:e>
          <m:sub>
            <m:r>
              <w:rPr>
                <w:rFonts w:ascii="Cambria Math" w:eastAsiaTheme="minorEastAsia" w:hAnsi="Cambria Math"/>
                <w:lang w:eastAsia="en-AU"/>
              </w:rPr>
              <m:t>0</m:t>
            </m:r>
          </m:sub>
        </m:sSub>
        <m:r>
          <m:rPr>
            <m:sty m:val="p"/>
          </m:rPr>
          <w:rPr>
            <w:rFonts w:ascii="Cambria Math" w:eastAsiaTheme="minorEastAsia" w:hAnsi="Cambria Math"/>
            <w:lang w:eastAsia="en-AU"/>
          </w:rPr>
          <m:t>→γγ</m:t>
        </m:r>
      </m:oMath>
      <w:r>
        <w:rPr>
          <w:rFonts w:eastAsiaTheme="minorEastAsia"/>
          <w:lang w:eastAsia="en-AU"/>
        </w:rPr>
        <w:t xml:space="preserve"> are summarised in the table below:</w:t>
      </w:r>
    </w:p>
    <w:p w14:paraId="6E0FE06D" w14:textId="6961B6E9" w:rsidR="002C6CE4" w:rsidRDefault="002C6CE4" w:rsidP="002C6CE4">
      <w:pPr>
        <w:ind w:left="360"/>
        <w:rPr>
          <w:b/>
          <w:bCs/>
          <w:u w:val="single"/>
          <w:lang w:eastAsia="en-AU"/>
        </w:rPr>
      </w:pPr>
      <w:r w:rsidRPr="002C6CE4">
        <w:rPr>
          <w:b/>
          <w:bCs/>
          <w:noProof/>
          <w:u w:val="single"/>
          <w:lang w:eastAsia="en-AU"/>
        </w:rPr>
        <w:drawing>
          <wp:inline distT="0" distB="0" distL="0" distR="0" wp14:anchorId="762CA161" wp14:editId="709264A6">
            <wp:extent cx="4975860" cy="3088275"/>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pic:nvPicPr>
                  <pic:blipFill>
                    <a:blip r:embed="rId24"/>
                    <a:stretch>
                      <a:fillRect/>
                    </a:stretch>
                  </pic:blipFill>
                  <pic:spPr>
                    <a:xfrm>
                      <a:off x="0" y="0"/>
                      <a:ext cx="4978074" cy="3089649"/>
                    </a:xfrm>
                    <a:prstGeom prst="rect">
                      <a:avLst/>
                    </a:prstGeom>
                  </pic:spPr>
                </pic:pic>
              </a:graphicData>
            </a:graphic>
          </wp:inline>
        </w:drawing>
      </w:r>
    </w:p>
    <w:p w14:paraId="42C08601" w14:textId="77777777" w:rsidR="002C6CE4" w:rsidRPr="002C6CE4" w:rsidRDefault="002C6CE4" w:rsidP="002C6CE4">
      <w:pPr>
        <w:jc w:val="center"/>
        <w:rPr>
          <w:rFonts w:eastAsiaTheme="minorEastAsia"/>
          <w:lang w:eastAsia="en-AU"/>
        </w:rPr>
      </w:pPr>
    </w:p>
    <w:p w14:paraId="5FE2FCB7" w14:textId="11FF9EFA" w:rsidR="002C6CE4" w:rsidRPr="002C6CE4" w:rsidRDefault="002C6CE4" w:rsidP="002C6CE4">
      <w:pPr>
        <w:pStyle w:val="ListParagraph"/>
        <w:numPr>
          <w:ilvl w:val="0"/>
          <w:numId w:val="17"/>
        </w:numPr>
        <w:rPr>
          <w:b/>
          <w:bCs/>
          <w:u w:val="single"/>
          <w:lang w:eastAsia="en-AU"/>
        </w:rPr>
      </w:pPr>
      <w:r>
        <w:rPr>
          <w:lang w:eastAsia="en-AU"/>
        </w:rPr>
        <w:t>Online selection of diphotons is performed by multilayer perceptron</w:t>
      </w:r>
    </w:p>
    <w:p w14:paraId="1682880F" w14:textId="2AA2D0BD" w:rsidR="002C6CE4" w:rsidRPr="002C6CE4" w:rsidRDefault="002C6CE4" w:rsidP="002C6CE4">
      <w:pPr>
        <w:pStyle w:val="ListParagraph"/>
        <w:numPr>
          <w:ilvl w:val="0"/>
          <w:numId w:val="17"/>
        </w:numPr>
        <w:rPr>
          <w:b/>
          <w:bCs/>
          <w:u w:val="single"/>
          <w:lang w:eastAsia="en-AU"/>
        </w:rPr>
      </w:pPr>
      <w:r>
        <w:rPr>
          <w:lang w:eastAsia="en-AU"/>
        </w:rPr>
        <w:t xml:space="preserve">Background = </w:t>
      </w:r>
      <w:proofErr w:type="spellStart"/>
      <w:r>
        <w:rPr>
          <w:lang w:eastAsia="en-AU"/>
        </w:rPr>
        <w:t>MinBias</w:t>
      </w:r>
      <w:proofErr w:type="spellEnd"/>
      <w:r>
        <w:rPr>
          <w:lang w:eastAsia="en-AU"/>
        </w:rPr>
        <w:t xml:space="preserve"> pp collision data from 2017</w:t>
      </w:r>
    </w:p>
    <w:p w14:paraId="432EB070" w14:textId="69296A2D" w:rsidR="002C6CE4" w:rsidRPr="002C6CE4" w:rsidRDefault="002C6CE4" w:rsidP="002C6CE4">
      <w:pPr>
        <w:pStyle w:val="ListParagraph"/>
        <w:numPr>
          <w:ilvl w:val="0"/>
          <w:numId w:val="17"/>
        </w:numPr>
        <w:rPr>
          <w:b/>
          <w:bCs/>
          <w:u w:val="single"/>
          <w:lang w:eastAsia="en-AU"/>
        </w:rPr>
      </w:pPr>
      <w:r>
        <w:rPr>
          <w:lang w:eastAsia="en-AU"/>
        </w:rPr>
        <w:t>Stripping selection = further kinematic requirements on the individual photons and the diphoton candidates, as well as PID requirements</w:t>
      </w:r>
    </w:p>
    <w:p w14:paraId="74DB2B44" w14:textId="772BB652" w:rsidR="002C6CE4" w:rsidRPr="00E902B3" w:rsidRDefault="002C6CE4" w:rsidP="002C6CE4">
      <w:pPr>
        <w:pStyle w:val="ListParagraph"/>
        <w:numPr>
          <w:ilvl w:val="0"/>
          <w:numId w:val="17"/>
        </w:numPr>
        <w:rPr>
          <w:b/>
          <w:bCs/>
          <w:u w:val="single"/>
          <w:lang w:eastAsia="en-AU"/>
        </w:rPr>
      </w:pPr>
      <w:r>
        <w:rPr>
          <w:lang w:eastAsia="en-AU"/>
        </w:rPr>
        <w:t>Main offline selection = multivariate selection, prior to which signal candidates are vetoed on the basis of transverse momentum</w:t>
      </w:r>
      <w:r w:rsidR="00E902B3">
        <w:rPr>
          <w:lang w:eastAsia="en-AU"/>
        </w:rPr>
        <w:t xml:space="preserve"> (high masses = sizeable efficiency penalty, and signal becomes significantly harder to separate from background)</w:t>
      </w:r>
    </w:p>
    <w:p w14:paraId="62FE4DEA" w14:textId="05B2918C" w:rsidR="00E902B3" w:rsidRPr="00F7351F" w:rsidRDefault="00E902B3" w:rsidP="002C6CE4">
      <w:pPr>
        <w:pStyle w:val="ListParagraph"/>
        <w:numPr>
          <w:ilvl w:val="0"/>
          <w:numId w:val="17"/>
        </w:numPr>
        <w:rPr>
          <w:b/>
          <w:bCs/>
          <w:u w:val="single"/>
          <w:lang w:eastAsia="en-AU"/>
        </w:rPr>
      </w:pPr>
      <w:r>
        <w:rPr>
          <w:lang w:eastAsia="en-AU"/>
        </w:rPr>
        <w:t>XGB boost classifier used to obtain higher signal to background discrimination. Chosen since it was simple to implement, and robust</w:t>
      </w:r>
      <w:r w:rsidR="00EF47CB">
        <w:rPr>
          <w:lang w:eastAsia="en-AU"/>
        </w:rPr>
        <w:t>. The classifier is trained using the full ALP to diphoton simulation samples as signal proxy and a small subset of this sample as background</w:t>
      </w:r>
    </w:p>
    <w:p w14:paraId="25F09E4D" w14:textId="4A7F6D5D" w:rsidR="00F07147" w:rsidRPr="00F07147" w:rsidRDefault="00EF47CB" w:rsidP="00F07147">
      <w:pPr>
        <w:pStyle w:val="ListParagraph"/>
        <w:numPr>
          <w:ilvl w:val="0"/>
          <w:numId w:val="17"/>
        </w:numPr>
        <w:rPr>
          <w:rFonts w:eastAsiaTheme="minorEastAsia"/>
          <w:b/>
          <w:bCs/>
          <w:u w:val="single"/>
          <w:lang w:eastAsia="en-AU"/>
        </w:rPr>
      </w:pPr>
      <w:r>
        <w:rPr>
          <w:lang w:eastAsia="en-AU"/>
        </w:rPr>
        <w:t xml:space="preserve">Choose </w:t>
      </w:r>
      <w:r>
        <w:rPr>
          <w:b/>
          <w:bCs/>
          <w:lang w:eastAsia="en-AU"/>
        </w:rPr>
        <w:t xml:space="preserve">cone isolation variables </w:t>
      </w:r>
      <w:r>
        <w:rPr>
          <w:lang w:eastAsia="en-AU"/>
        </w:rPr>
        <w:t xml:space="preserve">to discriminate between signal and background. They inspect the charged tracks in cones in </w:t>
      </w:r>
      <m:oMath>
        <m:r>
          <m:rPr>
            <m:sty m:val="p"/>
          </m:rPr>
          <w:rPr>
            <w:rFonts w:ascii="Cambria Math" w:hAnsi="Cambria Math"/>
            <w:lang w:eastAsia="en-AU"/>
          </w:rPr>
          <m:t>η</m:t>
        </m:r>
      </m:oMath>
      <w:r>
        <w:rPr>
          <w:rFonts w:eastAsiaTheme="minorEastAsia"/>
          <w:lang w:eastAsia="en-AU"/>
        </w:rPr>
        <w:t xml:space="preserve"> and </w:t>
      </w:r>
      <m:oMath>
        <m:r>
          <m:rPr>
            <m:sty m:val="p"/>
          </m:rPr>
          <w:rPr>
            <w:rFonts w:ascii="Cambria Math" w:eastAsiaTheme="minorEastAsia" w:hAnsi="Cambria Math"/>
            <w:lang w:eastAsia="en-AU"/>
          </w:rPr>
          <m:t>φ</m:t>
        </m:r>
      </m:oMath>
      <w:r>
        <w:rPr>
          <w:rFonts w:eastAsiaTheme="minorEastAsia"/>
          <w:lang w:eastAsia="en-AU"/>
        </w:rPr>
        <w:t xml:space="preserve"> of certain sizes around the diphoton candidate. The features explored are the numbers of charged tracks, sum of absolute and transverse momenta, and the asymmetry of the sum of the momenta and transverse momenta </w:t>
      </w:r>
      <w:proofErr w:type="spellStart"/>
      <w:r>
        <w:rPr>
          <w:rFonts w:eastAsiaTheme="minorEastAsia"/>
          <w:lang w:eastAsia="en-AU"/>
        </w:rPr>
        <w:t>wrt</w:t>
      </w:r>
      <w:proofErr w:type="spellEnd"/>
      <w:r>
        <w:rPr>
          <w:rFonts w:eastAsiaTheme="minorEastAsia"/>
          <w:lang w:eastAsia="en-AU"/>
        </w:rPr>
        <w:t xml:space="preserve"> the diphoton momentum and transverse momentum</w:t>
      </w:r>
    </w:p>
    <w:p w14:paraId="3844997F" w14:textId="2FF8C865"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000000"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65D920BA" w14:textId="2E4FB52B" w:rsidR="00765360" w:rsidRDefault="004C081F" w:rsidP="00951DDB">
      <w:pPr>
        <w:pStyle w:val="ListParagraph"/>
        <w:numPr>
          <w:ilvl w:val="0"/>
          <w:numId w:val="6"/>
        </w:numPr>
        <w:rPr>
          <w:lang w:eastAsia="en-AU"/>
        </w:rPr>
      </w:pPr>
      <w:r>
        <w:rPr>
          <w:lang w:eastAsia="en-AU"/>
        </w:rPr>
        <w:t>Determined the single event sensitivity of the single photon decay mode using the literature</w:t>
      </w:r>
    </w:p>
    <w:p w14:paraId="1A252CE1" w14:textId="77777777" w:rsidR="00D304D7" w:rsidRDefault="00951DDB" w:rsidP="00951DDB">
      <w:pPr>
        <w:pStyle w:val="ListParagraph"/>
        <w:numPr>
          <w:ilvl w:val="0"/>
          <w:numId w:val="6"/>
        </w:numPr>
        <w:rPr>
          <w:lang w:eastAsia="en-AU"/>
        </w:rPr>
      </w:pPr>
      <w:r>
        <w:rPr>
          <w:lang w:eastAsia="en-AU"/>
        </w:rPr>
        <w:t>Plotted signal selection efficiency curves and estimated upper limit on branching fraction of</w:t>
      </w:r>
      <w:r w:rsidR="00D304D7">
        <w:rPr>
          <w:lang w:eastAsia="en-AU"/>
        </w:rPr>
        <w:t xml:space="preserve"> the decay mode of interest. </w:t>
      </w:r>
    </w:p>
    <w:p w14:paraId="63F40F0D" w14:textId="4352F7BB" w:rsidR="00D304D7" w:rsidRDefault="00D304D7" w:rsidP="00951DDB">
      <w:pPr>
        <w:pStyle w:val="ListParagraph"/>
        <w:numPr>
          <w:ilvl w:val="0"/>
          <w:numId w:val="6"/>
        </w:numPr>
        <w:rPr>
          <w:lang w:eastAsia="en-AU"/>
        </w:rPr>
      </w:pPr>
      <w:r>
        <w:rPr>
          <w:lang w:eastAsia="en-AU"/>
        </w:rPr>
        <w:t xml:space="preserve">Compared the decay mode to that of B -&gt; </w:t>
      </w:r>
      <w:proofErr w:type="spellStart"/>
      <w:r>
        <w:rPr>
          <w:lang w:eastAsia="en-AU"/>
        </w:rPr>
        <w:t>K+pi</w:t>
      </w:r>
      <w:proofErr w:type="spellEnd"/>
      <w:r>
        <w:rPr>
          <w:lang w:eastAsia="en-AU"/>
        </w:rPr>
        <w:t xml:space="preserve">- pi0 and used the number of signal and background events to determine the BR that leads to a </w:t>
      </w:r>
      <w:proofErr w:type="gramStart"/>
      <w:r>
        <w:rPr>
          <w:lang w:eastAsia="en-AU"/>
        </w:rPr>
        <w:t>5 sigma</w:t>
      </w:r>
      <w:proofErr w:type="gramEnd"/>
      <w:r>
        <w:rPr>
          <w:lang w:eastAsia="en-AU"/>
        </w:rPr>
        <w:t xml:space="preserve"> significance level</w:t>
      </w:r>
    </w:p>
    <w:p w14:paraId="60F699B9" w14:textId="5ED59B5D" w:rsidR="003428A8" w:rsidRDefault="003428A8" w:rsidP="00951DDB">
      <w:pPr>
        <w:pStyle w:val="ListParagraph"/>
        <w:numPr>
          <w:ilvl w:val="0"/>
          <w:numId w:val="6"/>
        </w:numPr>
        <w:rPr>
          <w:lang w:eastAsia="en-AU"/>
        </w:rPr>
      </w:pPr>
      <w:r>
        <w:rPr>
          <w:lang w:eastAsia="en-AU"/>
        </w:rPr>
        <w:t xml:space="preserve">Understand features of the a -&gt; gamma </w:t>
      </w:r>
      <w:proofErr w:type="spellStart"/>
      <w:r>
        <w:rPr>
          <w:lang w:eastAsia="en-AU"/>
        </w:rPr>
        <w:t>gamma</w:t>
      </w:r>
      <w:proofErr w:type="spellEnd"/>
      <w:r>
        <w:rPr>
          <w:lang w:eastAsia="en-AU"/>
        </w:rPr>
        <w:t xml:space="preserve"> branching fraction plot (including the reason for the dip in the curve in the intermediate mass range, and the width of the pi0 and eta background regions that have been excluded)</w:t>
      </w:r>
    </w:p>
    <w:p w14:paraId="43B61DCB" w14:textId="45612DF7" w:rsidR="00F07147" w:rsidRDefault="00F07147" w:rsidP="00951DDB">
      <w:pPr>
        <w:pStyle w:val="ListParagraph"/>
        <w:numPr>
          <w:ilvl w:val="0"/>
          <w:numId w:val="6"/>
        </w:numPr>
        <w:rPr>
          <w:lang w:eastAsia="en-AU"/>
        </w:rPr>
      </w:pPr>
      <w:r>
        <w:rPr>
          <w:lang w:eastAsia="en-AU"/>
        </w:rPr>
        <w:t>Deduced upper bound on the branching fraction of the diphoton decay mode</w:t>
      </w:r>
    </w:p>
    <w:p w14:paraId="3C2D44F5" w14:textId="5368743D" w:rsidR="00F07147" w:rsidRDefault="00F07147" w:rsidP="00951DDB">
      <w:pPr>
        <w:pStyle w:val="ListParagraph"/>
        <w:numPr>
          <w:ilvl w:val="0"/>
          <w:numId w:val="6"/>
        </w:numPr>
        <w:rPr>
          <w:lang w:eastAsia="en-AU"/>
        </w:rPr>
      </w:pPr>
      <w:r>
        <w:rPr>
          <w:lang w:eastAsia="en-AU"/>
        </w:rPr>
        <w:t xml:space="preserve">Requested MC simulated data for the relevant decay mode after checking in the relevant </w:t>
      </w:r>
      <w:proofErr w:type="spellStart"/>
      <w:r>
        <w:rPr>
          <w:lang w:eastAsia="en-AU"/>
        </w:rPr>
        <w:t>decfiles</w:t>
      </w:r>
      <w:proofErr w:type="spellEnd"/>
      <w:r>
        <w:rPr>
          <w:lang w:eastAsia="en-AU"/>
        </w:rPr>
        <w:t xml:space="preserve"> and scripts to the CERN Gitlab repository</w:t>
      </w:r>
    </w:p>
    <w:p w14:paraId="69402A17" w14:textId="4380773F" w:rsidR="00F07147" w:rsidRDefault="00F07147" w:rsidP="00F07147">
      <w:pPr>
        <w:rPr>
          <w:b/>
          <w:bCs/>
          <w:u w:val="single"/>
          <w:lang w:eastAsia="en-AU"/>
        </w:rPr>
      </w:pPr>
      <w:r>
        <w:rPr>
          <w:b/>
          <w:bCs/>
          <w:u w:val="single"/>
          <w:lang w:eastAsia="en-AU"/>
        </w:rPr>
        <w:t>Single Photon Decay Mode Selection Criteria</w:t>
      </w:r>
      <w:r w:rsidR="00671080">
        <w:rPr>
          <w:b/>
          <w:bCs/>
          <w:u w:val="single"/>
          <w:lang w:eastAsia="en-AU"/>
        </w:rPr>
        <w:t xml:space="preserve"> (From Analysis Note of 2012 paper)</w:t>
      </w:r>
    </w:p>
    <w:p w14:paraId="0BA63DD5" w14:textId="1EBA032F" w:rsidR="00F07147" w:rsidRPr="00F07147" w:rsidRDefault="00F07147" w:rsidP="00F07147">
      <w:pPr>
        <w:pStyle w:val="ListParagraph"/>
        <w:numPr>
          <w:ilvl w:val="0"/>
          <w:numId w:val="18"/>
        </w:numPr>
        <w:rPr>
          <w:rFonts w:eastAsiaTheme="minorEastAsia"/>
          <w:u w:val="single"/>
          <w:lang w:eastAsia="en-AU"/>
        </w:rPr>
      </w:pPr>
      <w:r>
        <w:rPr>
          <w:lang w:eastAsia="en-AU"/>
        </w:rPr>
        <w:t xml:space="preserve">L0 trigger threshold, </w:t>
      </w:r>
      <m:oMath>
        <m:sSub>
          <m:sSubPr>
            <m:ctrlPr>
              <w:rPr>
                <w:rFonts w:ascii="Cambria Math" w:hAnsi="Cambria Math"/>
                <w:i/>
                <w:lang w:eastAsia="en-AU"/>
              </w:rPr>
            </m:ctrlPr>
          </m:sSubPr>
          <m:e>
            <m:r>
              <w:rPr>
                <w:rFonts w:ascii="Cambria Math" w:hAnsi="Cambria Math"/>
                <w:lang w:eastAsia="en-AU"/>
              </w:rPr>
              <m:t>E</m:t>
            </m:r>
          </m:e>
          <m:sub>
            <m:r>
              <w:rPr>
                <w:rFonts w:ascii="Cambria Math" w:hAnsi="Cambria Math"/>
                <w:lang w:eastAsia="en-AU"/>
              </w:rPr>
              <m:t>T</m:t>
            </m:r>
          </m:sub>
        </m:sSub>
        <m:r>
          <w:rPr>
            <w:rFonts w:ascii="Cambria Math" w:hAnsi="Cambria Math"/>
            <w:lang w:eastAsia="en-AU"/>
          </w:rPr>
          <m:t>&gt;2.5GeV</m:t>
        </m:r>
      </m:oMath>
    </w:p>
    <w:p w14:paraId="0C43E51A" w14:textId="4468F950" w:rsidR="00F07147" w:rsidRPr="00F07147" w:rsidRDefault="00F07147" w:rsidP="00F07147">
      <w:pPr>
        <w:pStyle w:val="ListParagraph"/>
        <w:numPr>
          <w:ilvl w:val="0"/>
          <w:numId w:val="18"/>
        </w:numPr>
        <w:rPr>
          <w:rFonts w:eastAsiaTheme="minorEastAsia"/>
          <w:u w:val="single"/>
          <w:lang w:eastAsia="en-AU"/>
        </w:rPr>
      </w:pPr>
      <w:r>
        <w:rPr>
          <w:lang w:eastAsia="en-AU"/>
        </w:rPr>
        <w:t xml:space="preserve">HLT1 = events are selected when a good track is reconstructed with IP </w:t>
      </w:r>
      <m:oMath>
        <m:sSup>
          <m:sSupPr>
            <m:ctrlPr>
              <w:rPr>
                <w:rFonts w:ascii="Cambria Math" w:hAnsi="Cambria Math"/>
                <w:i/>
                <w:lang w:eastAsia="en-AU"/>
              </w:rPr>
            </m:ctrlPr>
          </m:sSupPr>
          <m:e>
            <m:r>
              <m:rPr>
                <m:sty m:val="p"/>
              </m:rPr>
              <w:rPr>
                <w:rFonts w:ascii="Cambria Math" w:hAnsi="Cambria Math"/>
                <w:lang w:eastAsia="en-AU"/>
              </w:rPr>
              <m:t>χ</m:t>
            </m:r>
            <m:ctrlPr>
              <w:rPr>
                <w:rFonts w:ascii="Cambria Math" w:hAnsi="Cambria Math"/>
                <w:lang w:eastAsia="en-AU"/>
              </w:rPr>
            </m:ctrlPr>
          </m:e>
          <m:sup>
            <m:r>
              <w:rPr>
                <w:rFonts w:ascii="Cambria Math" w:hAnsi="Cambria Math"/>
                <w:lang w:eastAsia="en-AU"/>
              </w:rPr>
              <m:t>2</m:t>
            </m:r>
          </m:sup>
        </m:sSup>
        <m:r>
          <w:rPr>
            <w:rFonts w:ascii="Cambria Math" w:hAnsi="Cambria Math"/>
            <w:lang w:eastAsia="en-AU"/>
          </w:rPr>
          <m:t xml:space="preserve"> &gt; 16</m:t>
        </m:r>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T</m:t>
            </m:r>
          </m:sub>
        </m:sSub>
      </m:oMath>
      <w:r>
        <w:rPr>
          <w:rFonts w:eastAsiaTheme="minorEastAsia"/>
          <w:lang w:eastAsia="en-AU"/>
        </w:rPr>
        <w:t xml:space="preserve"> &gt; 1.7 GeV if </w:t>
      </w:r>
      <m:oMath>
        <m:sSub>
          <m:sSubPr>
            <m:ctrlPr>
              <w:rPr>
                <w:rFonts w:ascii="Cambria Math" w:eastAsiaTheme="minorEastAsia" w:hAnsi="Cambria Math"/>
                <w:i/>
                <w:lang w:eastAsia="en-AU"/>
              </w:rPr>
            </m:ctrlPr>
          </m:sSubPr>
          <m:e>
            <m:r>
              <w:rPr>
                <w:rFonts w:ascii="Cambria Math" w:eastAsiaTheme="minorEastAsia" w:hAnsi="Cambria Math"/>
                <w:lang w:eastAsia="en-AU"/>
              </w:rPr>
              <m:t>E</m:t>
            </m:r>
          </m:e>
          <m:sub>
            <m:r>
              <w:rPr>
                <w:rFonts w:ascii="Cambria Math" w:eastAsiaTheme="minorEastAsia" w:hAnsi="Cambria Math"/>
                <w:lang w:eastAsia="en-AU"/>
              </w:rPr>
              <m:t>T</m:t>
            </m:r>
          </m:sub>
        </m:sSub>
      </m:oMath>
      <w:r>
        <w:rPr>
          <w:rFonts w:eastAsiaTheme="minorEastAsia"/>
          <w:lang w:eastAsia="en-AU"/>
        </w:rPr>
        <w:t xml:space="preserve"> &gt; 2.5 GeV or if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T</m:t>
            </m:r>
          </m:sub>
        </m:sSub>
      </m:oMath>
      <w:r>
        <w:rPr>
          <w:rFonts w:eastAsiaTheme="minorEastAsia"/>
          <w:lang w:eastAsia="en-AU"/>
        </w:rPr>
        <w:t xml:space="preserve"> &gt; 1.2 GeV for </w:t>
      </w:r>
      <m:oMath>
        <m:sSub>
          <m:sSubPr>
            <m:ctrlPr>
              <w:rPr>
                <w:rFonts w:ascii="Cambria Math" w:eastAsiaTheme="minorEastAsia" w:hAnsi="Cambria Math"/>
                <w:i/>
                <w:lang w:eastAsia="en-AU"/>
              </w:rPr>
            </m:ctrlPr>
          </m:sSubPr>
          <m:e>
            <m:r>
              <w:rPr>
                <w:rFonts w:ascii="Cambria Math" w:eastAsiaTheme="minorEastAsia" w:hAnsi="Cambria Math"/>
                <w:lang w:eastAsia="en-AU"/>
              </w:rPr>
              <m:t>E</m:t>
            </m:r>
          </m:e>
          <m:sub>
            <m:r>
              <w:rPr>
                <w:rFonts w:ascii="Cambria Math" w:eastAsiaTheme="minorEastAsia" w:hAnsi="Cambria Math"/>
                <w:lang w:eastAsia="en-AU"/>
              </w:rPr>
              <m:t>T</m:t>
            </m:r>
          </m:sub>
        </m:sSub>
      </m:oMath>
      <w:r>
        <w:rPr>
          <w:rFonts w:eastAsiaTheme="minorEastAsia"/>
          <w:lang w:eastAsia="en-AU"/>
        </w:rPr>
        <w:t xml:space="preserve"> &gt; 4.2 GeV. 88% of candidates are thus explicitly triggered on the signal final state (TOS criteria)</w:t>
      </w:r>
    </w:p>
    <w:p w14:paraId="0224BE0A" w14:textId="6754B672" w:rsidR="00F07147" w:rsidRPr="00705538" w:rsidRDefault="00705538" w:rsidP="00705538">
      <w:pPr>
        <w:pStyle w:val="ListParagraph"/>
        <w:numPr>
          <w:ilvl w:val="0"/>
          <w:numId w:val="18"/>
        </w:numPr>
        <w:rPr>
          <w:rFonts w:eastAsiaTheme="minorEastAsia"/>
          <w:u w:val="single"/>
          <w:lang w:eastAsia="en-AU"/>
        </w:rPr>
      </w:pPr>
      <w:r>
        <w:rPr>
          <w:rFonts w:eastAsiaTheme="minorEastAsia"/>
          <w:lang w:eastAsia="en-AU"/>
        </w:rPr>
        <w:t xml:space="preserve">Stripping is performed in an offline-like selection with looser cuts.  </w:t>
      </w:r>
    </w:p>
    <w:p w14:paraId="37E81A5E" w14:textId="4E5BBB38" w:rsidR="00705538" w:rsidRPr="00705538" w:rsidRDefault="00705538" w:rsidP="00705538">
      <w:pPr>
        <w:pStyle w:val="ListParagraph"/>
        <w:rPr>
          <w:rFonts w:eastAsiaTheme="minorEastAsia"/>
          <w:u w:val="single"/>
          <w:lang w:eastAsia="en-AU"/>
        </w:rPr>
      </w:pPr>
      <w:r w:rsidRPr="00705538">
        <w:rPr>
          <w:rFonts w:eastAsiaTheme="minorEastAsia"/>
          <w:noProof/>
          <w:u w:val="single"/>
          <w:lang w:eastAsia="en-AU"/>
        </w:rPr>
        <w:drawing>
          <wp:inline distT="0" distB="0" distL="0" distR="0" wp14:anchorId="302A3547" wp14:editId="17BA1DD1">
            <wp:extent cx="4800600" cy="1827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3966" cy="1828476"/>
                    </a:xfrm>
                    <a:prstGeom prst="rect">
                      <a:avLst/>
                    </a:prstGeom>
                  </pic:spPr>
                </pic:pic>
              </a:graphicData>
            </a:graphic>
          </wp:inline>
        </w:drawing>
      </w:r>
    </w:p>
    <w:p w14:paraId="42E5F83B" w14:textId="54B6E19A" w:rsidR="00951DDB" w:rsidRDefault="00705538" w:rsidP="00705538">
      <w:pPr>
        <w:pStyle w:val="ListParagraph"/>
        <w:numPr>
          <w:ilvl w:val="0"/>
          <w:numId w:val="18"/>
        </w:numPr>
        <w:rPr>
          <w:lang w:eastAsia="en-AU"/>
        </w:rPr>
      </w:pPr>
      <w:r>
        <w:rPr>
          <w:lang w:eastAsia="en-AU"/>
        </w:rPr>
        <w:t xml:space="preserve">Numbers in parentheses represent the monitoring line cuts </w:t>
      </w:r>
    </w:p>
    <w:p w14:paraId="06F9BF78" w14:textId="5B696559" w:rsidR="00705538" w:rsidRDefault="00705538" w:rsidP="00705538">
      <w:pPr>
        <w:pStyle w:val="ListParagraph"/>
        <w:numPr>
          <w:ilvl w:val="0"/>
          <w:numId w:val="18"/>
        </w:numPr>
        <w:rPr>
          <w:lang w:eastAsia="en-AU"/>
        </w:rPr>
      </w:pPr>
      <w:r>
        <w:rPr>
          <w:lang w:eastAsia="en-AU"/>
        </w:rPr>
        <w:t xml:space="preserve">Two charged tracks used to construct the vector meson are required to have both </w:t>
      </w:r>
      <w:proofErr w:type="spellStart"/>
      <w:r>
        <w:rPr>
          <w:lang w:eastAsia="en-AU"/>
        </w:rPr>
        <w:t>p_T</w:t>
      </w:r>
      <w:proofErr w:type="spellEnd"/>
      <w:r>
        <w:rPr>
          <w:lang w:eastAsia="en-AU"/>
        </w:rPr>
        <w:t xml:space="preserve"> &gt; 500 MeV and at least one among them should have </w:t>
      </w:r>
      <w:proofErr w:type="spellStart"/>
      <w:r>
        <w:rPr>
          <w:lang w:eastAsia="en-AU"/>
        </w:rPr>
        <w:t>p_T</w:t>
      </w:r>
      <w:proofErr w:type="spellEnd"/>
      <w:r>
        <w:rPr>
          <w:lang w:eastAsia="en-AU"/>
        </w:rPr>
        <w:t xml:space="preserve"> &gt; 1200 MeV. These should also point away from all pp interaction vertices (IP chi^2 &gt; 25). </w:t>
      </w:r>
    </w:p>
    <w:p w14:paraId="7561F4F3" w14:textId="51538EF1" w:rsidR="00705538" w:rsidRPr="00951DDB" w:rsidRDefault="00705538" w:rsidP="00705538">
      <w:pPr>
        <w:jc w:val="center"/>
        <w:rPr>
          <w:lang w:eastAsia="en-AU"/>
        </w:rPr>
      </w:pPr>
      <w:r w:rsidRPr="00705538">
        <w:rPr>
          <w:noProof/>
          <w:lang w:eastAsia="en-AU"/>
        </w:rPr>
        <w:drawing>
          <wp:inline distT="0" distB="0" distL="0" distR="0" wp14:anchorId="0D9FA30C" wp14:editId="53DB7BA5">
            <wp:extent cx="2956560" cy="32253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793" cy="3226683"/>
                    </a:xfrm>
                    <a:prstGeom prst="rect">
                      <a:avLst/>
                    </a:prstGeom>
                  </pic:spPr>
                </pic:pic>
              </a:graphicData>
            </a:graphic>
          </wp:inline>
        </w:drawing>
      </w:r>
    </w:p>
    <w:p w14:paraId="2C10DB80" w14:textId="77777777" w:rsidR="00304F74" w:rsidRPr="00304F74" w:rsidRDefault="00304F74" w:rsidP="00304F74">
      <w:pPr>
        <w:rPr>
          <w:b/>
          <w:bCs/>
          <w:color w:val="FF0000"/>
          <w:lang w:eastAsia="en-AU"/>
        </w:rPr>
      </w:pPr>
    </w:p>
    <w:p w14:paraId="7B98ADBE" w14:textId="6844CE12" w:rsidR="00373ADC" w:rsidRPr="004C081F" w:rsidRDefault="00373ADC" w:rsidP="00B434C0">
      <w:pPr>
        <w:rPr>
          <w:b/>
          <w:bCs/>
        </w:rPr>
      </w:pPr>
    </w:p>
    <w:p w14:paraId="14879AFA" w14:textId="77777777" w:rsidR="00221010" w:rsidRDefault="00221010" w:rsidP="00B434C0">
      <w:pPr>
        <w:rPr>
          <w:b/>
          <w:bCs/>
          <w:u w:val="single"/>
        </w:rPr>
      </w:pPr>
    </w:p>
    <w:p w14:paraId="0E950E59" w14:textId="77777777" w:rsidR="00221010" w:rsidRDefault="00221010" w:rsidP="00B434C0">
      <w:pPr>
        <w:rPr>
          <w:b/>
          <w:bCs/>
          <w:u w:val="single"/>
        </w:rPr>
      </w:pPr>
    </w:p>
    <w:p w14:paraId="24271EDF" w14:textId="315114BB" w:rsidR="005579D1" w:rsidRDefault="000736B5" w:rsidP="00B434C0">
      <w:pPr>
        <w:rPr>
          <w:b/>
          <w:bCs/>
          <w:u w:val="single"/>
        </w:rPr>
      </w:pPr>
      <w:r>
        <w:rPr>
          <w:b/>
          <w:bCs/>
          <w:u w:val="single"/>
        </w:rPr>
        <w:t>References</w:t>
      </w:r>
    </w:p>
    <w:p w14:paraId="63474D28" w14:textId="0C6D5FFE" w:rsidR="000736B5" w:rsidRDefault="00000000" w:rsidP="00AA46D5">
      <w:pPr>
        <w:pStyle w:val="ListParagraph"/>
        <w:numPr>
          <w:ilvl w:val="0"/>
          <w:numId w:val="4"/>
        </w:numPr>
      </w:pPr>
      <w:hyperlink r:id="rId27"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16790"/>
    <w:multiLevelType w:val="hybridMultilevel"/>
    <w:tmpl w:val="80A2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32700"/>
    <w:multiLevelType w:val="hybridMultilevel"/>
    <w:tmpl w:val="61C2B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6107DAD"/>
    <w:multiLevelType w:val="hybridMultilevel"/>
    <w:tmpl w:val="36BADF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2"/>
  </w:num>
  <w:num w:numId="2" w16cid:durableId="1830945112">
    <w:abstractNumId w:val="7"/>
  </w:num>
  <w:num w:numId="3" w16cid:durableId="1229606155">
    <w:abstractNumId w:val="5"/>
  </w:num>
  <w:num w:numId="4" w16cid:durableId="1119255310">
    <w:abstractNumId w:val="3"/>
  </w:num>
  <w:num w:numId="5" w16cid:durableId="1046027780">
    <w:abstractNumId w:val="13"/>
  </w:num>
  <w:num w:numId="6" w16cid:durableId="1720396450">
    <w:abstractNumId w:val="2"/>
  </w:num>
  <w:num w:numId="7" w16cid:durableId="2119762080">
    <w:abstractNumId w:val="8"/>
  </w:num>
  <w:num w:numId="8" w16cid:durableId="864517985">
    <w:abstractNumId w:val="15"/>
  </w:num>
  <w:num w:numId="9" w16cid:durableId="130752204">
    <w:abstractNumId w:val="16"/>
  </w:num>
  <w:num w:numId="10" w16cid:durableId="1569876369">
    <w:abstractNumId w:val="10"/>
  </w:num>
  <w:num w:numId="11" w16cid:durableId="879827555">
    <w:abstractNumId w:val="0"/>
  </w:num>
  <w:num w:numId="12" w16cid:durableId="1749384159">
    <w:abstractNumId w:val="17"/>
  </w:num>
  <w:num w:numId="13" w16cid:durableId="730234838">
    <w:abstractNumId w:val="9"/>
  </w:num>
  <w:num w:numId="14" w16cid:durableId="1230310610">
    <w:abstractNumId w:val="1"/>
  </w:num>
  <w:num w:numId="15" w16cid:durableId="179206146">
    <w:abstractNumId w:val="11"/>
  </w:num>
  <w:num w:numId="16" w16cid:durableId="1437628494">
    <w:abstractNumId w:val="4"/>
  </w:num>
  <w:num w:numId="17" w16cid:durableId="872619635">
    <w:abstractNumId w:val="14"/>
  </w:num>
  <w:num w:numId="18" w16cid:durableId="4802739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42169"/>
    <w:rsid w:val="00062CE9"/>
    <w:rsid w:val="000736B5"/>
    <w:rsid w:val="00082223"/>
    <w:rsid w:val="000A5C3C"/>
    <w:rsid w:val="000C4914"/>
    <w:rsid w:val="000F2E21"/>
    <w:rsid w:val="0010043D"/>
    <w:rsid w:val="00151D22"/>
    <w:rsid w:val="00164721"/>
    <w:rsid w:val="001A6127"/>
    <w:rsid w:val="001C38A5"/>
    <w:rsid w:val="001D7ED4"/>
    <w:rsid w:val="001E2ADB"/>
    <w:rsid w:val="001E5159"/>
    <w:rsid w:val="00221010"/>
    <w:rsid w:val="00225CC7"/>
    <w:rsid w:val="00226081"/>
    <w:rsid w:val="002451FA"/>
    <w:rsid w:val="002A452F"/>
    <w:rsid w:val="002C1514"/>
    <w:rsid w:val="002C6CE4"/>
    <w:rsid w:val="002E64DF"/>
    <w:rsid w:val="002F1B2C"/>
    <w:rsid w:val="002F7F35"/>
    <w:rsid w:val="00304F74"/>
    <w:rsid w:val="003270FE"/>
    <w:rsid w:val="003313E8"/>
    <w:rsid w:val="0033587B"/>
    <w:rsid w:val="003428A8"/>
    <w:rsid w:val="00345F46"/>
    <w:rsid w:val="00360552"/>
    <w:rsid w:val="0036273D"/>
    <w:rsid w:val="00373ADC"/>
    <w:rsid w:val="0037455A"/>
    <w:rsid w:val="00375CA6"/>
    <w:rsid w:val="00382719"/>
    <w:rsid w:val="00387525"/>
    <w:rsid w:val="004262DD"/>
    <w:rsid w:val="004370E5"/>
    <w:rsid w:val="00446344"/>
    <w:rsid w:val="00457A38"/>
    <w:rsid w:val="004668A2"/>
    <w:rsid w:val="004954E4"/>
    <w:rsid w:val="004C081F"/>
    <w:rsid w:val="004D30B4"/>
    <w:rsid w:val="004E3012"/>
    <w:rsid w:val="004E6226"/>
    <w:rsid w:val="004F4DD7"/>
    <w:rsid w:val="005579D1"/>
    <w:rsid w:val="00596513"/>
    <w:rsid w:val="005B15C2"/>
    <w:rsid w:val="005D0514"/>
    <w:rsid w:val="005D461F"/>
    <w:rsid w:val="005E23EC"/>
    <w:rsid w:val="005F0E6A"/>
    <w:rsid w:val="0061210D"/>
    <w:rsid w:val="00617089"/>
    <w:rsid w:val="00625DB3"/>
    <w:rsid w:val="00667C30"/>
    <w:rsid w:val="00671080"/>
    <w:rsid w:val="00672C95"/>
    <w:rsid w:val="00680052"/>
    <w:rsid w:val="006A46DB"/>
    <w:rsid w:val="006A55FE"/>
    <w:rsid w:val="006D04A3"/>
    <w:rsid w:val="00705538"/>
    <w:rsid w:val="00706AFC"/>
    <w:rsid w:val="0071162D"/>
    <w:rsid w:val="00717763"/>
    <w:rsid w:val="00722D9B"/>
    <w:rsid w:val="00742B0E"/>
    <w:rsid w:val="00750C5B"/>
    <w:rsid w:val="00764F75"/>
    <w:rsid w:val="00765360"/>
    <w:rsid w:val="007A2F1C"/>
    <w:rsid w:val="007B08AE"/>
    <w:rsid w:val="007E6842"/>
    <w:rsid w:val="008355A3"/>
    <w:rsid w:val="00836231"/>
    <w:rsid w:val="0084104A"/>
    <w:rsid w:val="0084675E"/>
    <w:rsid w:val="0086522C"/>
    <w:rsid w:val="00866525"/>
    <w:rsid w:val="008743A6"/>
    <w:rsid w:val="008765E6"/>
    <w:rsid w:val="0089007F"/>
    <w:rsid w:val="008A681C"/>
    <w:rsid w:val="008D5BE3"/>
    <w:rsid w:val="00947C38"/>
    <w:rsid w:val="00951DDB"/>
    <w:rsid w:val="0098459E"/>
    <w:rsid w:val="00984811"/>
    <w:rsid w:val="009939BA"/>
    <w:rsid w:val="009C74D2"/>
    <w:rsid w:val="00A00197"/>
    <w:rsid w:val="00A0652C"/>
    <w:rsid w:val="00A222E8"/>
    <w:rsid w:val="00A326B2"/>
    <w:rsid w:val="00A33C4E"/>
    <w:rsid w:val="00A56936"/>
    <w:rsid w:val="00A638F9"/>
    <w:rsid w:val="00AA46D5"/>
    <w:rsid w:val="00AE7ED0"/>
    <w:rsid w:val="00AF41B5"/>
    <w:rsid w:val="00AF6E00"/>
    <w:rsid w:val="00B015A9"/>
    <w:rsid w:val="00B401DD"/>
    <w:rsid w:val="00B41504"/>
    <w:rsid w:val="00B434C0"/>
    <w:rsid w:val="00B90E31"/>
    <w:rsid w:val="00B94C45"/>
    <w:rsid w:val="00B9720E"/>
    <w:rsid w:val="00BD79FD"/>
    <w:rsid w:val="00BF55E4"/>
    <w:rsid w:val="00C2446C"/>
    <w:rsid w:val="00C311E7"/>
    <w:rsid w:val="00C33F0A"/>
    <w:rsid w:val="00C4564C"/>
    <w:rsid w:val="00C633D2"/>
    <w:rsid w:val="00C653AC"/>
    <w:rsid w:val="00C83953"/>
    <w:rsid w:val="00C86931"/>
    <w:rsid w:val="00C925F5"/>
    <w:rsid w:val="00CD2BA0"/>
    <w:rsid w:val="00D15AE3"/>
    <w:rsid w:val="00D237CA"/>
    <w:rsid w:val="00D304D7"/>
    <w:rsid w:val="00D32821"/>
    <w:rsid w:val="00D8242A"/>
    <w:rsid w:val="00DA16CF"/>
    <w:rsid w:val="00DB2C41"/>
    <w:rsid w:val="00DD4DB3"/>
    <w:rsid w:val="00DF420D"/>
    <w:rsid w:val="00E7192C"/>
    <w:rsid w:val="00E74FFE"/>
    <w:rsid w:val="00E802FC"/>
    <w:rsid w:val="00E902B3"/>
    <w:rsid w:val="00EB1160"/>
    <w:rsid w:val="00ED12B8"/>
    <w:rsid w:val="00EE7159"/>
    <w:rsid w:val="00EF47CB"/>
    <w:rsid w:val="00F07147"/>
    <w:rsid w:val="00F20D92"/>
    <w:rsid w:val="00F54D93"/>
    <w:rsid w:val="00F7351F"/>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682D31AF-C312-4264-90C6-CD1637FB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UlyGazWke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37805</TotalTime>
  <Pages>22</Pages>
  <Words>7746</Words>
  <Characters>44153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Sai Pemmaraju</cp:lastModifiedBy>
  <cp:revision>14</cp:revision>
  <dcterms:created xsi:type="dcterms:W3CDTF">2022-07-31T09:12:00Z</dcterms:created>
  <dcterms:modified xsi:type="dcterms:W3CDTF">2023-01-24T03:53:00Z</dcterms:modified>
</cp:coreProperties>
</file>