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7B3A" w14:textId="77777777" w:rsidR="004262DD" w:rsidRPr="004262DD" w:rsidRDefault="004262DD" w:rsidP="004262DD">
      <w:pPr>
        <w:spacing w:after="0" w:line="240" w:lineRule="auto"/>
        <w:jc w:val="center"/>
        <w:rPr>
          <w:rFonts w:ascii="Times New Roman" w:eastAsia="Times New Roman" w:hAnsi="Times New Roman" w:cs="Times New Roman"/>
          <w:sz w:val="24"/>
          <w:szCs w:val="24"/>
          <w:lang w:eastAsia="en-AU"/>
        </w:rPr>
      </w:pPr>
      <w:r w:rsidRPr="004262DD">
        <w:rPr>
          <w:rFonts w:ascii="Calibri" w:eastAsia="Times New Roman" w:hAnsi="Calibri" w:cs="Calibri"/>
          <w:color w:val="000000"/>
          <w:sz w:val="56"/>
          <w:szCs w:val="56"/>
          <w:lang w:eastAsia="en-AU"/>
        </w:rPr>
        <w:t>MSc Research Project Reading Notes</w:t>
      </w:r>
    </w:p>
    <w:p w14:paraId="4C1F30B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i/>
          <w:iCs/>
          <w:color w:val="5A5A5A"/>
          <w:lang w:eastAsia="en-AU"/>
        </w:rPr>
        <w:t>Chapter 1: Background and Motivation</w:t>
      </w:r>
    </w:p>
    <w:p w14:paraId="639BE139"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The Standard Model of Particle Physics #EMPHASISE WEAK DECAYS, AXIONS AND AXION LIKE PARTICLES (ALPS)</w:t>
      </w:r>
    </w:p>
    <w:p w14:paraId="6E1C2943" w14:textId="77777777" w:rsidR="004262DD" w:rsidRPr="004262DD" w:rsidRDefault="004262DD" w:rsidP="004262DD">
      <w:pPr>
        <w:numPr>
          <w:ilvl w:val="0"/>
          <w:numId w:val="1"/>
        </w:numPr>
        <w:spacing w:after="0" w:line="240" w:lineRule="auto"/>
        <w:textAlignment w:val="baseline"/>
        <w:rPr>
          <w:rFonts w:ascii="Calibri" w:eastAsia="Times New Roman" w:hAnsi="Calibri" w:cs="Calibri"/>
          <w:b/>
          <w:bCs/>
          <w:color w:val="000000"/>
          <w:u w:val="single"/>
          <w:lang w:eastAsia="en-AU"/>
        </w:rPr>
      </w:pPr>
      <w:r w:rsidRPr="004262DD">
        <w:rPr>
          <w:rFonts w:ascii="Calibri" w:eastAsia="Times New Roman" w:hAnsi="Calibri" w:cs="Calibri"/>
          <w:color w:val="000000"/>
          <w:lang w:eastAsia="en-AU"/>
        </w:rPr>
        <w:t>Gauge bosons (force mediators), and fermions (make up all matter)</w:t>
      </w:r>
    </w:p>
    <w:p w14:paraId="4967DC36" w14:textId="77777777" w:rsidR="004262DD" w:rsidRPr="004262DD" w:rsidRDefault="004262DD" w:rsidP="004262DD">
      <w:pPr>
        <w:numPr>
          <w:ilvl w:val="0"/>
          <w:numId w:val="1"/>
        </w:numPr>
        <w:spacing w:after="0" w:line="240" w:lineRule="auto"/>
        <w:textAlignment w:val="baseline"/>
        <w:rPr>
          <w:rFonts w:ascii="Calibri" w:eastAsia="Times New Roman" w:hAnsi="Calibri" w:cs="Calibri"/>
          <w:b/>
          <w:bCs/>
          <w:color w:val="000000"/>
          <w:u w:val="single"/>
          <w:lang w:eastAsia="en-AU"/>
        </w:rPr>
      </w:pPr>
      <w:r w:rsidRPr="004262DD">
        <w:rPr>
          <w:rFonts w:ascii="Calibri" w:eastAsia="Times New Roman" w:hAnsi="Calibri" w:cs="Calibri"/>
          <w:color w:val="000000"/>
          <w:lang w:eastAsia="en-AU"/>
        </w:rPr>
        <w:t>Fermions -&gt; Quarks + Leptons </w:t>
      </w:r>
    </w:p>
    <w:p w14:paraId="7E022999" w14:textId="2B9AAE78" w:rsidR="005579D1" w:rsidRDefault="004262DD" w:rsidP="00B434C0">
      <w:pPr>
        <w:numPr>
          <w:ilvl w:val="0"/>
          <w:numId w:val="1"/>
        </w:numPr>
        <w:spacing w:line="240" w:lineRule="auto"/>
        <w:textAlignment w:val="baseline"/>
        <w:rPr>
          <w:rFonts w:ascii="Calibri" w:eastAsia="Times New Roman" w:hAnsi="Calibri" w:cs="Calibri"/>
          <w:b/>
          <w:bCs/>
          <w:color w:val="000000"/>
          <w:u w:val="single"/>
          <w:lang w:eastAsia="en-AU"/>
        </w:rPr>
      </w:pPr>
      <w:r w:rsidRPr="004262DD">
        <w:rPr>
          <w:rFonts w:ascii="Calibri" w:eastAsia="Times New Roman" w:hAnsi="Calibri" w:cs="Calibri"/>
          <w:color w:val="000000"/>
          <w:lang w:eastAsia="en-AU"/>
        </w:rPr>
        <w:t>Four fundamental forces: strong, weak, EM, and gravity, each of which are mediated by the bosons described above</w:t>
      </w:r>
    </w:p>
    <w:p w14:paraId="6823FACC" w14:textId="76BDBDE9" w:rsidR="00B434C0" w:rsidRDefault="00B434C0" w:rsidP="00B434C0">
      <w:pPr>
        <w:spacing w:line="240" w:lineRule="auto"/>
        <w:textAlignment w:val="baseline"/>
        <w:rPr>
          <w:rFonts w:ascii="Calibri" w:eastAsia="Times New Roman" w:hAnsi="Calibri" w:cs="Calibri"/>
          <w:b/>
          <w:bCs/>
          <w:color w:val="000000"/>
          <w:u w:val="single"/>
          <w:lang w:eastAsia="en-AU"/>
        </w:rPr>
      </w:pPr>
      <w:r>
        <w:rPr>
          <w:rFonts w:ascii="Calibri" w:eastAsia="Times New Roman" w:hAnsi="Calibri" w:cs="Calibri"/>
          <w:b/>
          <w:bCs/>
          <w:color w:val="000000"/>
          <w:u w:val="single"/>
          <w:lang w:eastAsia="en-AU"/>
        </w:rPr>
        <w:t>Axions and Axion Like Particles</w:t>
      </w:r>
    </w:p>
    <w:p w14:paraId="682B82FC" w14:textId="77777777" w:rsidR="00B434C0" w:rsidRPr="00B434C0" w:rsidRDefault="00B434C0" w:rsidP="00B434C0">
      <w:pPr>
        <w:spacing w:line="240" w:lineRule="auto"/>
        <w:textAlignment w:val="baseline"/>
        <w:rPr>
          <w:rFonts w:ascii="Calibri" w:eastAsia="Times New Roman" w:hAnsi="Calibri" w:cs="Calibri"/>
          <w:color w:val="000000"/>
          <w:lang w:eastAsia="en-AU"/>
        </w:rPr>
      </w:pPr>
    </w:p>
    <w:p w14:paraId="010A6818" w14:textId="77777777" w:rsidR="004262DD" w:rsidRPr="004262DD" w:rsidRDefault="004262DD" w:rsidP="004262DD">
      <w:pPr>
        <w:spacing w:after="0" w:line="240" w:lineRule="auto"/>
        <w:rPr>
          <w:rFonts w:ascii="Times New Roman" w:eastAsia="Times New Roman" w:hAnsi="Times New Roman" w:cs="Times New Roman"/>
          <w:sz w:val="24"/>
          <w:szCs w:val="24"/>
          <w:lang w:eastAsia="en-AU"/>
        </w:rPr>
      </w:pPr>
    </w:p>
    <w:p w14:paraId="074816E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Weak Interactions</w:t>
      </w:r>
    </w:p>
    <w:p w14:paraId="73A30F2E"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weak interaction, unlike its strong and electromagnetic counterparts, does not possess an associated “charge” (where the strong and EM forces possess colour, and electric charge respectively). There are two types of interactions which are mediated by the charged W bosons, and the neutral Z boson, named charged, and neutral current interactions respectively. Flavour is not conserved in charged weak interactions involving quarks due to the principle of quark confinement (</w:t>
      </w:r>
      <w:proofErr w:type="gramStart"/>
      <w:r w:rsidRPr="004262DD">
        <w:rPr>
          <w:rFonts w:ascii="Calibri" w:eastAsia="Times New Roman" w:hAnsi="Calibri" w:cs="Calibri"/>
          <w:color w:val="000000"/>
          <w:lang w:eastAsia="en-AU"/>
        </w:rPr>
        <w:t>i.e.</w:t>
      </w:r>
      <w:proofErr w:type="gramEnd"/>
      <w:r w:rsidRPr="004262DD">
        <w:rPr>
          <w:rFonts w:ascii="Calibri" w:eastAsia="Times New Roman" w:hAnsi="Calibri" w:cs="Calibri"/>
          <w:color w:val="000000"/>
          <w:lang w:eastAsia="en-AU"/>
        </w:rPr>
        <w:t xml:space="preserve"> quarks are always found in bound states). Quarks are ‘skewed’ for weak interactions (</w:t>
      </w:r>
      <w:proofErr w:type="gramStart"/>
      <w:r w:rsidRPr="004262DD">
        <w:rPr>
          <w:rFonts w:ascii="Calibri" w:eastAsia="Times New Roman" w:hAnsi="Calibri" w:cs="Calibri"/>
          <w:color w:val="000000"/>
          <w:lang w:eastAsia="en-AU"/>
        </w:rPr>
        <w:t>i.e.</w:t>
      </w:r>
      <w:proofErr w:type="gramEnd"/>
      <w:r w:rsidRPr="004262DD">
        <w:rPr>
          <w:rFonts w:ascii="Calibri" w:eastAsia="Times New Roman" w:hAnsi="Calibri" w:cs="Calibri"/>
          <w:color w:val="000000"/>
          <w:lang w:eastAsia="en-AU"/>
        </w:rPr>
        <w:t xml:space="preserve"> the weak force couples the following pairs):</w:t>
      </w:r>
    </w:p>
    <w:p w14:paraId="3CA2F757" w14:textId="77777777" w:rsidR="00DA16CF" w:rsidRDefault="00DA16CF" w:rsidP="00DF420D">
      <w:pPr>
        <w:spacing w:line="240" w:lineRule="auto"/>
        <w:jc w:val="center"/>
        <w:rPr>
          <w:rFonts w:ascii="Calibri" w:eastAsia="Times New Roman" w:hAnsi="Calibri" w:cs="Calibri"/>
          <w:b/>
          <w:bCs/>
          <w:color w:val="000000"/>
          <w:u w:val="single"/>
          <w:lang w:eastAsia="en-AU"/>
        </w:rPr>
      </w:pPr>
      <w:r>
        <w:rPr>
          <w:noProof/>
        </w:rPr>
        <w:drawing>
          <wp:inline distT="0" distB="0" distL="0" distR="0" wp14:anchorId="64A59548" wp14:editId="4FED4A3A">
            <wp:extent cx="3870960" cy="1174669"/>
            <wp:effectExtent l="0" t="0" r="0" b="0"/>
            <wp:docPr id="3" name="Picture 3" descr="Importance for C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e for CP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454" cy="1177854"/>
                    </a:xfrm>
                    <a:prstGeom prst="rect">
                      <a:avLst/>
                    </a:prstGeom>
                    <a:noFill/>
                    <a:ln>
                      <a:noFill/>
                    </a:ln>
                  </pic:spPr>
                </pic:pic>
              </a:graphicData>
            </a:graphic>
          </wp:inline>
        </w:drawing>
      </w:r>
    </w:p>
    <w:p w14:paraId="7F6C99C2" w14:textId="33245485" w:rsidR="00DA16CF" w:rsidRDefault="00DA16CF"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Here, </w:t>
      </w:r>
      <w:r w:rsidR="00DF420D">
        <w:rPr>
          <w:rFonts w:ascii="Calibri" w:eastAsia="Times New Roman" w:hAnsi="Calibri" w:cs="Calibri"/>
          <w:color w:val="000000"/>
          <w:lang w:eastAsia="en-AU"/>
        </w:rPr>
        <w:t>$</w:t>
      </w:r>
      <w:proofErr w:type="spellStart"/>
      <w:r w:rsidR="00DF420D">
        <w:rPr>
          <w:rFonts w:ascii="Calibri" w:eastAsia="Times New Roman" w:hAnsi="Calibri" w:cs="Calibri"/>
          <w:color w:val="000000"/>
          <w:lang w:eastAsia="en-AU"/>
        </w:rPr>
        <w:t>d</w:t>
      </w:r>
      <w:proofErr w:type="gramStart"/>
      <w:r w:rsidR="00DF420D">
        <w:rPr>
          <w:rFonts w:ascii="Calibri" w:eastAsia="Times New Roman" w:hAnsi="Calibri" w:cs="Calibri"/>
          <w:color w:val="000000"/>
          <w:lang w:eastAsia="en-AU"/>
        </w:rPr>
        <w:t>’,s</w:t>
      </w:r>
      <w:proofErr w:type="spellEnd"/>
      <w:proofErr w:type="gramEnd"/>
      <w:r w:rsidR="00DF420D">
        <w:rPr>
          <w:rFonts w:ascii="Calibri" w:eastAsia="Times New Roman" w:hAnsi="Calibri" w:cs="Calibri"/>
          <w:color w:val="000000"/>
          <w:lang w:eastAsia="en-AU"/>
        </w:rPr>
        <w:t>’ and b’$ are linear combinations of $d, s$, and $b$, and $V_{CKM}$ represents the coupling strengths between the quarks ($V_{</w:t>
      </w:r>
      <w:proofErr w:type="spellStart"/>
      <w:r w:rsidR="00DF420D">
        <w:rPr>
          <w:rFonts w:ascii="Calibri" w:eastAsia="Times New Roman" w:hAnsi="Calibri" w:cs="Calibri"/>
          <w:color w:val="000000"/>
          <w:lang w:eastAsia="en-AU"/>
        </w:rPr>
        <w:t>ud</w:t>
      </w:r>
      <w:proofErr w:type="spellEnd"/>
      <w:r w:rsidR="00DF420D">
        <w:rPr>
          <w:rFonts w:ascii="Calibri" w:eastAsia="Times New Roman" w:hAnsi="Calibri" w:cs="Calibri"/>
          <w:color w:val="000000"/>
          <w:lang w:eastAsia="en-AU"/>
        </w:rPr>
        <w:t>}</w:t>
      </w:r>
      <w:r w:rsidR="00764F75">
        <w:rPr>
          <w:rFonts w:ascii="Calibri" w:eastAsia="Times New Roman" w:hAnsi="Calibri" w:cs="Calibri"/>
          <w:color w:val="000000"/>
          <w:lang w:eastAsia="en-AU"/>
        </w:rPr>
        <w:t xml:space="preserve">$ </w:t>
      </w:r>
      <w:r w:rsidR="00DF420D">
        <w:rPr>
          <w:rFonts w:ascii="Calibri" w:eastAsia="Times New Roman" w:hAnsi="Calibri" w:cs="Calibri"/>
          <w:color w:val="000000"/>
          <w:lang w:eastAsia="en-AU"/>
        </w:rPr>
        <w:t>represents the coupling of $u$ to $d$ (</w:t>
      </w:r>
      <w:proofErr w:type="spellStart"/>
      <w:r w:rsidR="00DF420D">
        <w:rPr>
          <w:rFonts w:ascii="Calibri" w:eastAsia="Times New Roman" w:hAnsi="Calibri" w:cs="Calibri"/>
          <w:color w:val="000000"/>
          <w:lang w:eastAsia="en-AU"/>
        </w:rPr>
        <w:t>i.e.$d</w:t>
      </w:r>
      <w:proofErr w:type="spellEnd"/>
      <w:r w:rsidR="00DF420D">
        <w:rPr>
          <w:rFonts w:ascii="Calibri" w:eastAsia="Times New Roman" w:hAnsi="Calibri" w:cs="Calibri"/>
          <w:color w:val="000000"/>
          <w:lang w:eastAsia="en-AU"/>
        </w:rPr>
        <w:t>\</w:t>
      </w:r>
      <w:proofErr w:type="spellStart"/>
      <w:r w:rsidR="00DF420D">
        <w:rPr>
          <w:rFonts w:ascii="Calibri" w:eastAsia="Times New Roman" w:hAnsi="Calibri" w:cs="Calibri"/>
          <w:color w:val="000000"/>
          <w:lang w:eastAsia="en-AU"/>
        </w:rPr>
        <w:t>rightarrow</w:t>
      </w:r>
      <w:proofErr w:type="spellEnd"/>
      <w:r w:rsidR="00DF420D">
        <w:rPr>
          <w:rFonts w:ascii="Calibri" w:eastAsia="Times New Roman" w:hAnsi="Calibri" w:cs="Calibri"/>
          <w:color w:val="000000"/>
          <w:lang w:eastAsia="en-AU"/>
        </w:rPr>
        <w:t xml:space="preserve"> u + W^{-}$). </w:t>
      </w:r>
      <w:r w:rsidR="00DB2C41">
        <w:rPr>
          <w:rFonts w:ascii="Calibri" w:eastAsia="Times New Roman" w:hAnsi="Calibri" w:cs="Calibri"/>
          <w:color w:val="000000"/>
          <w:lang w:eastAsia="en-AU"/>
        </w:rPr>
        <w:t xml:space="preserve">The elements of the CKM matrix have been experimentally measured and are given by: </w:t>
      </w:r>
    </w:p>
    <w:p w14:paraId="1FC108F7" w14:textId="4525687B" w:rsidR="00DB2C41" w:rsidRPr="002451FA" w:rsidRDefault="00000000" w:rsidP="004262DD">
      <w:pPr>
        <w:spacing w:line="240" w:lineRule="auto"/>
        <w:rPr>
          <w:rFonts w:ascii="Calibri" w:eastAsia="Times New Roman" w:hAnsi="Calibri" w:cs="Calibri"/>
          <w:color w:val="000000"/>
          <w:lang w:eastAsia="en-AU"/>
        </w:rPr>
      </w:pPr>
      <m:oMathPara>
        <m:oMath>
          <m:sSub>
            <m:sSubPr>
              <m:ctrlPr>
                <w:rPr>
                  <w:rFonts w:ascii="Cambria Math" w:eastAsia="Times New Roman" w:hAnsi="Cambria Math" w:cs="Calibri"/>
                  <w:i/>
                  <w:color w:val="000000"/>
                  <w:lang w:eastAsia="en-AU"/>
                </w:rPr>
              </m:ctrlPr>
            </m:sSubPr>
            <m:e>
              <m:r>
                <w:rPr>
                  <w:rFonts w:ascii="Cambria Math" w:eastAsia="Times New Roman" w:hAnsi="Cambria Math" w:cs="Calibri"/>
                  <w:color w:val="000000"/>
                  <w:lang w:eastAsia="en-AU"/>
                </w:rPr>
                <m:t>|V</m:t>
              </m:r>
            </m:e>
            <m:sub>
              <m:r>
                <w:rPr>
                  <w:rFonts w:ascii="Cambria Math" w:eastAsia="Times New Roman" w:hAnsi="Cambria Math" w:cs="Calibri"/>
                  <w:color w:val="000000"/>
                  <w:lang w:eastAsia="en-AU"/>
                </w:rPr>
                <m:t>ij</m:t>
              </m:r>
            </m:sub>
          </m:sSub>
          <m:r>
            <w:rPr>
              <w:rFonts w:ascii="Cambria Math" w:eastAsia="Times New Roman" w:hAnsi="Cambria Math" w:cs="Calibri"/>
              <w:color w:val="000000"/>
              <w:lang w:eastAsia="en-AU"/>
            </w:rPr>
            <m:t>|=</m:t>
          </m:r>
          <m:d>
            <m:dPr>
              <m:ctrlPr>
                <w:rPr>
                  <w:rFonts w:ascii="Cambria Math" w:eastAsia="Times New Roman" w:hAnsi="Cambria Math" w:cs="Calibri"/>
                  <w:i/>
                  <w:color w:val="000000"/>
                  <w:lang w:eastAsia="en-AU"/>
                </w:rPr>
              </m:ctrlPr>
            </m:dPr>
            <m:e>
              <m:m>
                <m:mPr>
                  <m:mcs>
                    <m:mc>
                      <m:mcPr>
                        <m:count m:val="3"/>
                        <m:mcJc m:val="center"/>
                      </m:mcPr>
                    </m:mc>
                  </m:mcs>
                  <m:ctrlPr>
                    <w:rPr>
                      <w:rFonts w:ascii="Cambria Math" w:eastAsia="Times New Roman" w:hAnsi="Cambria Math" w:cs="Calibri"/>
                      <w:i/>
                      <w:color w:val="000000"/>
                      <w:lang w:eastAsia="en-AU"/>
                    </w:rPr>
                  </m:ctrlPr>
                </m:mPr>
                <m:mr>
                  <m:e>
                    <m:r>
                      <w:rPr>
                        <w:rFonts w:ascii="Cambria Math" w:eastAsia="Times New Roman" w:hAnsi="Cambria Math" w:cs="Calibri"/>
                        <w:color w:val="000000"/>
                        <w:lang w:eastAsia="en-AU"/>
                      </w:rPr>
                      <m:t>0.9738</m:t>
                    </m:r>
                  </m:e>
                  <m:e>
                    <m:r>
                      <w:rPr>
                        <w:rFonts w:ascii="Cambria Math" w:eastAsia="Times New Roman" w:hAnsi="Cambria Math" w:cs="Calibri"/>
                        <w:color w:val="000000"/>
                        <w:lang w:eastAsia="en-AU"/>
                      </w:rPr>
                      <m:t>0.2272</m:t>
                    </m:r>
                  </m:e>
                  <m:e>
                    <m:r>
                      <w:rPr>
                        <w:rFonts w:ascii="Cambria Math" w:eastAsia="Times New Roman" w:hAnsi="Cambria Math" w:cs="Calibri"/>
                        <w:color w:val="000000"/>
                        <w:lang w:eastAsia="en-AU"/>
                      </w:rPr>
                      <m:t>0.0040</m:t>
                    </m:r>
                  </m:e>
                </m:mr>
                <m:mr>
                  <m:e>
                    <m:r>
                      <w:rPr>
                        <w:rFonts w:ascii="Cambria Math" w:eastAsia="Times New Roman" w:hAnsi="Cambria Math" w:cs="Calibri"/>
                        <w:color w:val="000000"/>
                        <w:lang w:eastAsia="en-AU"/>
                      </w:rPr>
                      <m:t>0.2271</m:t>
                    </m:r>
                  </m:e>
                  <m:e>
                    <m:r>
                      <w:rPr>
                        <w:rFonts w:ascii="Cambria Math" w:eastAsia="Times New Roman" w:hAnsi="Cambria Math" w:cs="Calibri"/>
                        <w:color w:val="000000"/>
                        <w:lang w:eastAsia="en-AU"/>
                      </w:rPr>
                      <m:t>0.9730</m:t>
                    </m:r>
                  </m:e>
                  <m:e>
                    <m:r>
                      <w:rPr>
                        <w:rFonts w:ascii="Cambria Math" w:eastAsia="Times New Roman" w:hAnsi="Cambria Math" w:cs="Calibri"/>
                        <w:color w:val="000000"/>
                        <w:lang w:eastAsia="en-AU"/>
                      </w:rPr>
                      <m:t>0.0422</m:t>
                    </m:r>
                  </m:e>
                </m:mr>
                <m:mr>
                  <m:e>
                    <m:r>
                      <w:rPr>
                        <w:rFonts w:ascii="Cambria Math" w:eastAsia="Times New Roman" w:hAnsi="Cambria Math" w:cs="Calibri"/>
                        <w:color w:val="000000"/>
                        <w:lang w:eastAsia="en-AU"/>
                      </w:rPr>
                      <m:t>0.0081</m:t>
                    </m:r>
                  </m:e>
                  <m:e>
                    <m:r>
                      <w:rPr>
                        <w:rFonts w:ascii="Cambria Math" w:eastAsia="Times New Roman" w:hAnsi="Cambria Math" w:cs="Calibri"/>
                        <w:color w:val="000000"/>
                        <w:lang w:eastAsia="en-AU"/>
                      </w:rPr>
                      <m:t>0.0416</m:t>
                    </m:r>
                  </m:e>
                  <m:e>
                    <m:r>
                      <w:rPr>
                        <w:rFonts w:ascii="Cambria Math" w:eastAsia="Times New Roman" w:hAnsi="Cambria Math" w:cs="Calibri"/>
                        <w:color w:val="000000"/>
                        <w:lang w:eastAsia="en-AU"/>
                      </w:rPr>
                      <m:t>0.9991</m:t>
                    </m:r>
                  </m:e>
                </m:mr>
              </m:m>
            </m:e>
          </m:d>
        </m:oMath>
      </m:oMathPara>
    </w:p>
    <w:p w14:paraId="61E99190" w14:textId="5F39ECEF" w:rsidR="00DB2C41" w:rsidRPr="00DA16CF" w:rsidRDefault="00DB2C41" w:rsidP="004262DD">
      <w:pPr>
        <w:spacing w:line="240" w:lineRule="auto"/>
        <w:rPr>
          <w:rFonts w:ascii="Calibri" w:eastAsia="Times New Roman" w:hAnsi="Calibri" w:cs="Calibri"/>
          <w:color w:val="000000"/>
          <w:lang w:eastAsia="en-AU"/>
        </w:rPr>
      </w:pPr>
      <m:oMathPara>
        <m:oMath>
          <m:r>
            <w:rPr>
              <w:rFonts w:ascii="Cambria Math" w:eastAsia="Times New Roman" w:hAnsi="Cambria Math" w:cs="Calibri"/>
              <w:color w:val="000000"/>
              <w:lang w:eastAsia="en-AU"/>
            </w:rPr>
            <m:t xml:space="preserve"> </m:t>
          </m:r>
        </m:oMath>
      </m:oMathPara>
    </w:p>
    <w:p w14:paraId="4D8ED5CD" w14:textId="52F7971A"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Electroweak Penguin Decays (</w:t>
      </w:r>
      <w:proofErr w:type="spellStart"/>
      <w:r w:rsidRPr="004262DD">
        <w:rPr>
          <w:rFonts w:ascii="Calibri" w:eastAsia="Times New Roman" w:hAnsi="Calibri" w:cs="Calibri"/>
          <w:b/>
          <w:bCs/>
          <w:color w:val="000000"/>
          <w:u w:val="single"/>
          <w:lang w:eastAsia="en-AU"/>
        </w:rPr>
        <w:t>Egede</w:t>
      </w:r>
      <w:proofErr w:type="spellEnd"/>
      <w:r w:rsidRPr="004262DD">
        <w:rPr>
          <w:rFonts w:ascii="Calibri" w:eastAsia="Times New Roman" w:hAnsi="Calibri" w:cs="Calibri"/>
          <w:b/>
          <w:bCs/>
          <w:color w:val="000000"/>
          <w:u w:val="single"/>
          <w:lang w:eastAsia="en-AU"/>
        </w:rPr>
        <w:t xml:space="preserve"> et al.)</w:t>
      </w:r>
    </w:p>
    <w:p w14:paraId="7BACFE8C"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most common decays of $b$ hadrons take place at the quark level through the decay of the $b$ quark via the emission of a virtual W boson. The $b$ quark is unable to decay directly to an $s$ quark as this would require a vertex with a neutral vector boson and a change of flavour. Such a process is known as a </w:t>
      </w:r>
      <w:r w:rsidRPr="004262DD">
        <w:rPr>
          <w:rFonts w:ascii="Calibri" w:eastAsia="Times New Roman" w:hAnsi="Calibri" w:cs="Calibri"/>
          <w:i/>
          <w:iCs/>
          <w:color w:val="000000"/>
          <w:lang w:eastAsia="en-AU"/>
        </w:rPr>
        <w:t xml:space="preserve">Flavour Changing Neutral Current (FCNC) </w:t>
      </w:r>
      <w:r w:rsidRPr="004262DD">
        <w:rPr>
          <w:rFonts w:ascii="Calibri" w:eastAsia="Times New Roman" w:hAnsi="Calibri" w:cs="Calibri"/>
          <w:color w:val="000000"/>
          <w:lang w:eastAsia="en-AU"/>
        </w:rPr>
        <w:t>process and is forbidden in the SM at tree level. However, at one-loop level, the FCNC quark level process like $b\</w:t>
      </w:r>
      <w:proofErr w:type="spellStart"/>
      <w:r w:rsidRPr="004262DD">
        <w:rPr>
          <w:rFonts w:ascii="Calibri" w:eastAsia="Times New Roman" w:hAnsi="Calibri" w:cs="Calibri"/>
          <w:color w:val="000000"/>
          <w:lang w:eastAsia="en-AU"/>
        </w:rPr>
        <w:t>rightarrow</w:t>
      </w:r>
      <w:proofErr w:type="spellEnd"/>
      <w:r w:rsidRPr="004262DD">
        <w:rPr>
          <w:rFonts w:ascii="Calibri" w:eastAsia="Times New Roman" w:hAnsi="Calibri" w:cs="Calibri"/>
          <w:color w:val="000000"/>
          <w:lang w:eastAsia="en-AU"/>
        </w:rPr>
        <w:t xml:space="preserve"> s\gamma$ is permitted. Examples of such decays include $B</w:t>
      </w:r>
      <w:proofErr w:type="gramStart"/>
      <w:r w:rsidRPr="004262DD">
        <w:rPr>
          <w:rFonts w:ascii="Calibri" w:eastAsia="Times New Roman" w:hAnsi="Calibri" w:cs="Calibri"/>
          <w:color w:val="000000"/>
          <w:lang w:eastAsia="en-AU"/>
        </w:rPr>
        <w:t>^{</w:t>
      </w:r>
      <w:proofErr w:type="gramEnd"/>
      <w:r w:rsidRPr="004262DD">
        <w:rPr>
          <w:rFonts w:ascii="Calibri" w:eastAsia="Times New Roman" w:hAnsi="Calibri" w:cs="Calibri"/>
          <w:color w:val="000000"/>
          <w:lang w:eastAsia="en-AU"/>
        </w:rPr>
        <w:t>0}\</w:t>
      </w:r>
      <w:proofErr w:type="spellStart"/>
      <w:r w:rsidRPr="004262DD">
        <w:rPr>
          <w:rFonts w:ascii="Calibri" w:eastAsia="Times New Roman" w:hAnsi="Calibri" w:cs="Calibri"/>
          <w:color w:val="000000"/>
          <w:lang w:eastAsia="en-AU"/>
        </w:rPr>
        <w:t>rightarrow</w:t>
      </w:r>
      <w:proofErr w:type="spellEnd"/>
      <w:r w:rsidRPr="004262DD">
        <w:rPr>
          <w:rFonts w:ascii="Calibri" w:eastAsia="Times New Roman" w:hAnsi="Calibri" w:cs="Calibri"/>
          <w:color w:val="000000"/>
          <w:lang w:eastAsia="en-AU"/>
        </w:rPr>
        <w:t xml:space="preserve"> K^{*0}\gamma$. Such decays which consist of either a lepton or a hard photon in the final state are referred to as </w:t>
      </w:r>
      <w:r w:rsidRPr="004262DD">
        <w:rPr>
          <w:rFonts w:ascii="Calibri" w:eastAsia="Times New Roman" w:hAnsi="Calibri" w:cs="Calibri"/>
          <w:b/>
          <w:bCs/>
          <w:color w:val="000000"/>
          <w:lang w:eastAsia="en-AU"/>
        </w:rPr>
        <w:t>electroweak penguin decays. </w:t>
      </w:r>
    </w:p>
    <w:p w14:paraId="632B281B" w14:textId="09AE7871" w:rsidR="00345F46" w:rsidRDefault="004262DD" w:rsidP="00345F46">
      <w:pPr>
        <w:spacing w:line="240" w:lineRule="auto"/>
        <w:rPr>
          <w:rFonts w:ascii="Calibri" w:eastAsia="Times New Roman" w:hAnsi="Calibri" w:cs="Calibri"/>
          <w:color w:val="000000"/>
          <w:lang w:eastAsia="en-AU"/>
        </w:rPr>
      </w:pPr>
      <w:r w:rsidRPr="004262DD">
        <w:rPr>
          <w:rFonts w:ascii="Calibri" w:eastAsia="Times New Roman" w:hAnsi="Calibri" w:cs="Calibri"/>
          <w:color w:val="000000"/>
          <w:lang w:eastAsia="en-AU"/>
        </w:rPr>
        <w:lastRenderedPageBreak/>
        <w:t xml:space="preserve">Electroweak penguin decays can act as a discovery mode for New Physics (NP). At either tree level or at loop level, there can be particles such as new vector bosons or leptoquarks that mediate the decays. The influence of these particles can be observed as differences with respect to the Standard Model for these decays. The theoretical calculation of the electroweak penguin decays employs an OPE (Operator Product Expansion). By analogy with the Fermi theory of weak decays, one exploits the fact that these decays are only sensitive to the spin, parity and CP properties of couplings involving particles at masses well below the b-hadron mass. For a radiative decay process, such as </w:t>
      </w:r>
    </w:p>
    <w:p w14:paraId="054F385C" w14:textId="4B31C277" w:rsidR="00345F46" w:rsidRPr="00345F46" w:rsidRDefault="00345F46" w:rsidP="00345F46">
      <w:pPr>
        <w:spacing w:line="240" w:lineRule="auto"/>
        <w:rPr>
          <w:rFonts w:eastAsia="Times New Roman" w:cstheme="minorHAnsi"/>
          <w:color w:val="000000"/>
          <w:lang w:eastAsia="en-AU"/>
        </w:rPr>
      </w:pPr>
      <m:oMathPara>
        <m:oMathParaPr>
          <m:jc m:val="left"/>
        </m:oMathParaPr>
        <m:oMath>
          <m:r>
            <m:rPr>
              <m:sty m:val="p"/>
            </m:rPr>
            <w:rPr>
              <w:rFonts w:ascii="Cambria Math" w:eastAsia="Times New Roman" w:hAnsi="Cambria Math" w:cstheme="minorHAnsi"/>
              <w:color w:val="000000"/>
              <w:lang w:eastAsia="en-AU"/>
            </w:rPr>
            <m:t>$b\rightarrow s\gamma$, one can write the following within the OPE:</m:t>
          </m:r>
        </m:oMath>
      </m:oMathPara>
    </w:p>
    <w:p w14:paraId="36AE4256" w14:textId="2B887DDA" w:rsidR="004262DD" w:rsidRPr="0010043D" w:rsidRDefault="00000000" w:rsidP="004262DD">
      <w:pPr>
        <w:spacing w:line="240" w:lineRule="auto"/>
        <w:jc w:val="center"/>
        <w:rPr>
          <w:rFonts w:eastAsia="Times New Roman" w:cstheme="minorHAnsi"/>
          <w:color w:val="000000"/>
          <w:lang w:eastAsia="en-AU"/>
        </w:rPr>
      </w:pPr>
      <m:oMathPara>
        <m:oMath>
          <m:sSub>
            <m:sSubPr>
              <m:ctrlPr>
                <w:rPr>
                  <w:rFonts w:ascii="Cambria Math" w:eastAsia="Times New Roman" w:hAnsi="Cambria Math" w:cs="Times New Roman"/>
                  <w:color w:val="000000"/>
                  <w:lang w:eastAsia="en-AU"/>
                </w:rPr>
              </m:ctrlPr>
            </m:sSubPr>
            <m:e>
              <m:r>
                <m:rPr>
                  <m:scr m:val="script"/>
                  <m:sty m:val="p"/>
                </m:rPr>
                <w:rPr>
                  <w:rFonts w:ascii="Cambria Math" w:eastAsia="Times New Roman" w:hAnsi="Cambria Math" w:cs="Times New Roman"/>
                  <w:color w:val="000000"/>
                  <w:lang w:eastAsia="en-AU"/>
                </w:rPr>
                <m:t>H</m:t>
              </m:r>
            </m:e>
            <m:sub>
              <m:r>
                <m:rPr>
                  <m:scr m:val="script"/>
                  <m:sty m:val="p"/>
                </m:rPr>
                <w:rPr>
                  <w:rFonts w:ascii="Cambria Math" w:eastAsia="Times New Roman" w:hAnsi="Cambria Math" w:cs="Times New Roman"/>
                  <w:color w:val="000000"/>
                  <w:lang w:eastAsia="en-AU"/>
                </w:rPr>
                <m:t>eff</m:t>
              </m:r>
            </m:sub>
          </m:sSub>
          <m:r>
            <m:rPr>
              <m:sty m:val="p"/>
            </m:rPr>
            <w:rPr>
              <w:rFonts w:ascii="Cambria Math" w:eastAsia="Times New Roman" w:hAnsi="Cambria Math" w:cs="Times New Roman"/>
              <w:color w:val="000000"/>
              <w:lang w:eastAsia="en-AU"/>
            </w:rPr>
            <m:t>=</m:t>
          </m:r>
          <m:f>
            <m:fPr>
              <m:ctrlPr>
                <w:rPr>
                  <w:rFonts w:ascii="Cambria Math" w:eastAsia="Times New Roman" w:hAnsi="Cambria Math" w:cs="Times New Roman"/>
                  <w:color w:val="000000"/>
                  <w:lang w:eastAsia="en-AU"/>
                </w:rPr>
              </m:ctrlPr>
            </m:fPr>
            <m:num>
              <m:r>
                <m:rPr>
                  <m:sty m:val="p"/>
                </m:rPr>
                <w:rPr>
                  <w:rFonts w:ascii="Cambria Math" w:eastAsia="Times New Roman" w:hAnsi="Cambria Math" w:cs="Times New Roman"/>
                  <w:color w:val="000000"/>
                  <w:lang w:eastAsia="en-AU"/>
                </w:rPr>
                <m:t>4</m:t>
              </m:r>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G</m:t>
                  </m:r>
                </m:e>
                <m:sub>
                  <m:r>
                    <m:rPr>
                      <m:sty m:val="p"/>
                    </m:rPr>
                    <w:rPr>
                      <w:rFonts w:ascii="Cambria Math" w:eastAsia="Times New Roman" w:hAnsi="Cambria Math" w:cs="Times New Roman"/>
                      <w:color w:val="000000"/>
                      <w:lang w:eastAsia="en-AU"/>
                    </w:rPr>
                    <m:t>F</m:t>
                  </m:r>
                </m:sub>
              </m:sSub>
            </m:num>
            <m:den>
              <m:rad>
                <m:radPr>
                  <m:degHide m:val="1"/>
                  <m:ctrlPr>
                    <w:rPr>
                      <w:rFonts w:ascii="Cambria Math" w:eastAsia="Times New Roman" w:hAnsi="Cambria Math" w:cs="Times New Roman"/>
                      <w:color w:val="000000"/>
                      <w:lang w:eastAsia="en-AU"/>
                    </w:rPr>
                  </m:ctrlPr>
                </m:radPr>
                <m:deg/>
                <m:e>
                  <m:r>
                    <m:rPr>
                      <m:sty m:val="p"/>
                    </m:rPr>
                    <w:rPr>
                      <w:rFonts w:ascii="Cambria Math" w:eastAsia="Times New Roman" w:hAnsi="Cambria Math" w:cs="Times New Roman"/>
                      <w:color w:val="000000"/>
                      <w:lang w:eastAsia="en-AU"/>
                    </w:rPr>
                    <m:t>2</m:t>
                  </m:r>
                </m:e>
              </m:rad>
            </m:den>
          </m:f>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V</m:t>
              </m:r>
            </m:e>
            <m:sub>
              <m:r>
                <m:rPr>
                  <m:sty m:val="p"/>
                </m:rPr>
                <w:rPr>
                  <w:rFonts w:ascii="Cambria Math" w:eastAsia="Times New Roman" w:hAnsi="Cambria Math" w:cs="Times New Roman"/>
                  <w:color w:val="000000"/>
                  <w:lang w:eastAsia="en-AU"/>
                </w:rPr>
                <m:t>tb</m:t>
              </m:r>
            </m:sub>
          </m:sSub>
          <m:sSubSup>
            <m:sSubSupPr>
              <m:ctrlPr>
                <w:rPr>
                  <w:rFonts w:ascii="Cambria Math" w:eastAsia="Times New Roman" w:hAnsi="Cambria Math" w:cs="Times New Roman"/>
                  <w:i/>
                  <w:color w:val="000000"/>
                  <w:lang w:eastAsia="en-AU"/>
                </w:rPr>
              </m:ctrlPr>
            </m:sSubSupPr>
            <m:e>
              <m:r>
                <m:rPr>
                  <m:sty m:val="p"/>
                </m:rPr>
                <w:rPr>
                  <w:rFonts w:ascii="Cambria Math" w:eastAsia="Times New Roman" w:hAnsi="Cambria Math" w:cs="Times New Roman"/>
                  <w:color w:val="000000"/>
                  <w:lang w:eastAsia="en-AU"/>
                </w:rPr>
                <m:t>V</m:t>
              </m:r>
              <m:ctrlPr>
                <w:rPr>
                  <w:rFonts w:ascii="Cambria Math" w:eastAsia="Times New Roman" w:hAnsi="Cambria Math" w:cs="Times New Roman"/>
                  <w:color w:val="000000"/>
                  <w:lang w:eastAsia="en-AU"/>
                </w:rPr>
              </m:ctrlPr>
            </m:e>
            <m:sub>
              <m:r>
                <m:rPr>
                  <m:sty m:val="p"/>
                </m:rPr>
                <w:rPr>
                  <w:rFonts w:ascii="Cambria Math" w:eastAsia="Times New Roman" w:hAnsi="Cambria Math" w:cs="Times New Roman"/>
                  <w:color w:val="000000"/>
                  <w:lang w:eastAsia="en-AU"/>
                </w:rPr>
                <m:t>ts</m:t>
              </m:r>
              <m:ctrlPr>
                <w:rPr>
                  <w:rFonts w:ascii="Cambria Math" w:eastAsia="Times New Roman" w:hAnsi="Cambria Math" w:cs="Times New Roman"/>
                  <w:color w:val="000000"/>
                  <w:lang w:eastAsia="en-AU"/>
                </w:rPr>
              </m:ctrlPr>
            </m:sub>
            <m:sup>
              <m:r>
                <w:rPr>
                  <w:rFonts w:ascii="Cambria Math" w:eastAsia="Times New Roman" w:hAnsi="Cambria Math" w:cs="Times New Roman"/>
                  <w:color w:val="000000"/>
                  <w:lang w:eastAsia="en-AU"/>
                </w:rPr>
                <m:t>*</m:t>
              </m:r>
            </m:sup>
          </m:sSubSup>
          <m:nary>
            <m:naryPr>
              <m:chr m:val="∑"/>
              <m:supHide m:val="1"/>
              <m:ctrlPr>
                <w:rPr>
                  <w:rFonts w:ascii="Cambria Math" w:eastAsia="Times New Roman" w:hAnsi="Cambria Math" w:cs="Times New Roman"/>
                  <w:color w:val="000000"/>
                  <w:lang w:eastAsia="en-AU"/>
                </w:rPr>
              </m:ctrlPr>
            </m:naryPr>
            <m:sub>
              <m:r>
                <m:rPr>
                  <m:sty m:val="p"/>
                </m:rPr>
                <w:rPr>
                  <w:rFonts w:ascii="Cambria Math" w:eastAsia="Times New Roman" w:hAnsi="Cambria Math" w:cs="Times New Roman"/>
                  <w:color w:val="000000"/>
                  <w:lang w:eastAsia="en-AU"/>
                </w:rPr>
                <m:t>i=7,9,10</m:t>
              </m:r>
            </m:sub>
            <m:sup/>
            <m:e/>
          </m:nary>
          <m:d>
            <m:dPr>
              <m:begChr m:val="["/>
              <m:endChr m:val="]"/>
              <m:ctrlPr>
                <w:rPr>
                  <w:rFonts w:ascii="Cambria Math" w:eastAsia="Times New Roman" w:hAnsi="Cambria Math" w:cs="Times New Roman"/>
                  <w:i/>
                  <w:color w:val="000000"/>
                  <w:lang w:eastAsia="en-AU"/>
                </w:rPr>
              </m:ctrlPr>
            </m:dPr>
            <m:e>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C</m:t>
                  </m:r>
                </m:e>
                <m:sub>
                  <m:r>
                    <m:rPr>
                      <m:sty m:val="p"/>
                    </m:rPr>
                    <w:rPr>
                      <w:rFonts w:ascii="Cambria Math" w:eastAsia="Times New Roman" w:hAnsi="Cambria Math" w:cs="Times New Roman"/>
                      <w:color w:val="000000"/>
                      <w:lang w:eastAsia="en-AU"/>
                    </w:rPr>
                    <m:t>i</m:t>
                  </m:r>
                </m:sub>
              </m:sSub>
              <m:sSub>
                <m:sSubPr>
                  <m:ctrlPr>
                    <w:rPr>
                      <w:rFonts w:ascii="Cambria Math" w:eastAsia="Times New Roman" w:hAnsi="Cambria Math" w:cs="Times New Roman"/>
                      <w:color w:val="000000"/>
                      <w:lang w:eastAsia="en-AU"/>
                    </w:rPr>
                  </m:ctrlPr>
                </m:sSubPr>
                <m:e>
                  <m:r>
                    <m:rPr>
                      <m:sty m:val="p"/>
                    </m:rPr>
                    <w:rPr>
                      <w:rFonts w:ascii="Cambria Math" w:eastAsia="Times New Roman" w:hAnsi="Cambria Math" w:cs="Times New Roman"/>
                      <w:color w:val="000000"/>
                      <w:lang w:eastAsia="en-AU"/>
                    </w:rPr>
                    <m:t>O</m:t>
                  </m:r>
                </m:e>
                <m:sub>
                  <m:r>
                    <m:rPr>
                      <m:sty m:val="p"/>
                    </m:rPr>
                    <w:rPr>
                      <w:rFonts w:ascii="Cambria Math" w:eastAsia="Times New Roman" w:hAnsi="Cambria Math" w:cs="Times New Roman"/>
                      <w:color w:val="000000"/>
                      <w:lang w:eastAsia="en-AU"/>
                    </w:rPr>
                    <m:t>i</m:t>
                  </m:r>
                </m:sub>
              </m:sSub>
              <m:r>
                <m:rPr>
                  <m:sty m:val="p"/>
                </m:rPr>
                <w:rPr>
                  <w:rFonts w:ascii="Cambria Math" w:eastAsia="Times New Roman" w:hAnsi="Cambria Math" w:cs="Times New Roman"/>
                  <w:color w:val="000000"/>
                  <w:lang w:eastAsia="en-AU"/>
                </w:rPr>
                <m:t>+</m:t>
              </m:r>
              <m:sSubSup>
                <m:sSubSupPr>
                  <m:ctrlPr>
                    <w:rPr>
                      <w:rFonts w:ascii="Cambria Math" w:eastAsia="Times New Roman" w:hAnsi="Cambria Math" w:cs="Times New Roman"/>
                      <w:color w:val="000000"/>
                      <w:lang w:eastAsia="en-AU"/>
                    </w:rPr>
                  </m:ctrlPr>
                </m:sSubSupPr>
                <m:e>
                  <m:r>
                    <m:rPr>
                      <m:sty m:val="p"/>
                    </m:rPr>
                    <w:rPr>
                      <w:rFonts w:ascii="Cambria Math" w:eastAsia="Times New Roman" w:hAnsi="Cambria Math" w:cs="Times New Roman"/>
                      <w:color w:val="000000"/>
                      <w:lang w:eastAsia="en-AU"/>
                    </w:rPr>
                    <m:t>C</m:t>
                  </m:r>
                </m:e>
                <m:sub>
                  <m:r>
                    <m:rPr>
                      <m:sty m:val="p"/>
                    </m:rPr>
                    <w:rPr>
                      <w:rFonts w:ascii="Cambria Math" w:eastAsia="Times New Roman" w:hAnsi="Cambria Math" w:cs="Times New Roman"/>
                      <w:color w:val="000000"/>
                      <w:lang w:eastAsia="en-AU"/>
                    </w:rPr>
                    <m:t>i</m:t>
                  </m:r>
                </m:sub>
                <m:sup>
                  <m:r>
                    <m:rPr>
                      <m:sty m:val="p"/>
                    </m:rPr>
                    <w:rPr>
                      <w:rFonts w:ascii="Cambria Math" w:eastAsia="Times New Roman" w:hAnsi="Cambria Math" w:cs="Times New Roman"/>
                      <w:color w:val="000000"/>
                      <w:lang w:eastAsia="en-AU"/>
                    </w:rPr>
                    <m:t>'</m:t>
                  </m:r>
                </m:sup>
              </m:sSubSup>
              <m:sSubSup>
                <m:sSubSupPr>
                  <m:ctrlPr>
                    <w:rPr>
                      <w:rFonts w:ascii="Cambria Math" w:eastAsia="Times New Roman" w:hAnsi="Cambria Math" w:cs="Times New Roman"/>
                      <w:color w:val="000000"/>
                      <w:lang w:eastAsia="en-AU"/>
                    </w:rPr>
                  </m:ctrlPr>
                </m:sSubSupPr>
                <m:e>
                  <m:r>
                    <m:rPr>
                      <m:sty m:val="p"/>
                    </m:rPr>
                    <w:rPr>
                      <w:rFonts w:ascii="Cambria Math" w:eastAsia="Times New Roman" w:hAnsi="Cambria Math" w:cs="Times New Roman"/>
                      <w:color w:val="000000"/>
                      <w:lang w:eastAsia="en-AU"/>
                    </w:rPr>
                    <m:t>O</m:t>
                  </m:r>
                </m:e>
                <m:sub>
                  <m:r>
                    <m:rPr>
                      <m:sty m:val="p"/>
                    </m:rPr>
                    <w:rPr>
                      <w:rFonts w:ascii="Cambria Math" w:eastAsia="Times New Roman" w:hAnsi="Cambria Math" w:cs="Times New Roman"/>
                      <w:color w:val="000000"/>
                      <w:lang w:eastAsia="en-AU"/>
                    </w:rPr>
                    <m:t>i</m:t>
                  </m:r>
                </m:sub>
                <m:sup>
                  <m:r>
                    <m:rPr>
                      <m:sty m:val="p"/>
                    </m:rPr>
                    <w:rPr>
                      <w:rFonts w:ascii="Cambria Math" w:eastAsia="Times New Roman" w:hAnsi="Cambria Math" w:cs="Times New Roman"/>
                      <w:color w:val="000000"/>
                      <w:lang w:eastAsia="en-AU"/>
                    </w:rPr>
                    <m:t>'</m:t>
                  </m:r>
                </m:sup>
              </m:sSubSup>
            </m:e>
          </m:d>
          <m:r>
            <m:rPr>
              <m:sty m:val="p"/>
            </m:rPr>
            <w:rPr>
              <w:rFonts w:ascii="Cambria Math" w:eastAsia="Times New Roman" w:hAnsi="Cambria Math" w:cs="Times New Roman"/>
              <w:color w:val="000000"/>
              <w:lang w:eastAsia="en-AU"/>
            </w:rPr>
            <w:br/>
          </m:r>
        </m:oMath>
        <w:sdt>
          <w:sdtPr>
            <w:rPr>
              <w:rFonts w:ascii="Cambria Math" w:eastAsia="Times New Roman" w:hAnsi="Cambria Math" w:cs="Times New Roman"/>
              <w:i/>
              <w:sz w:val="24"/>
              <w:szCs w:val="24"/>
              <w:lang w:eastAsia="en-AU"/>
            </w:rPr>
            <w:id w:val="87665745"/>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m:oMathPara>
    </w:p>
    <w:p w14:paraId="5633B249"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Here, the operators $\</w:t>
      </w:r>
      <w:proofErr w:type="spellStart"/>
      <w:r w:rsidRPr="004262DD">
        <w:rPr>
          <w:rFonts w:ascii="Calibri" w:eastAsia="Times New Roman" w:hAnsi="Calibri" w:cs="Calibri"/>
          <w:color w:val="000000"/>
          <w:lang w:eastAsia="en-AU"/>
        </w:rPr>
        <w:t>mathcal</w:t>
      </w:r>
      <w:proofErr w:type="spellEnd"/>
      <w:r w:rsidRPr="004262DD">
        <w:rPr>
          <w:rFonts w:ascii="Calibri" w:eastAsia="Times New Roman" w:hAnsi="Calibri" w:cs="Calibri"/>
          <w:color w:val="000000"/>
          <w:lang w:eastAsia="en-AU"/>
        </w:rPr>
        <w:t>{O}_{</w:t>
      </w:r>
      <w:proofErr w:type="spellStart"/>
      <w:r w:rsidRPr="004262DD">
        <w:rPr>
          <w:rFonts w:ascii="Calibri" w:eastAsia="Times New Roman" w:hAnsi="Calibri" w:cs="Calibri"/>
          <w:color w:val="000000"/>
          <w:lang w:eastAsia="en-AU"/>
        </w:rPr>
        <w:t>i</w:t>
      </w:r>
      <w:proofErr w:type="spellEnd"/>
      <w:r w:rsidRPr="004262DD">
        <w:rPr>
          <w:rFonts w:ascii="Calibri" w:eastAsia="Times New Roman" w:hAnsi="Calibri" w:cs="Calibri"/>
          <w:color w:val="000000"/>
          <w:lang w:eastAsia="en-AU"/>
        </w:rPr>
        <w:t>}$ encode the low energy behaviour and the complex valued Wilson coefficients $C_{</w:t>
      </w:r>
      <w:proofErr w:type="spellStart"/>
      <w:r w:rsidRPr="004262DD">
        <w:rPr>
          <w:rFonts w:ascii="Calibri" w:eastAsia="Times New Roman" w:hAnsi="Calibri" w:cs="Calibri"/>
          <w:color w:val="000000"/>
          <w:lang w:eastAsia="en-AU"/>
        </w:rPr>
        <w:t>i</w:t>
      </w:r>
      <w:proofErr w:type="spellEnd"/>
      <w:r w:rsidRPr="004262DD">
        <w:rPr>
          <w:rFonts w:ascii="Calibri" w:eastAsia="Times New Roman" w:hAnsi="Calibri" w:cs="Calibri"/>
          <w:color w:val="000000"/>
          <w:lang w:eastAsia="en-AU"/>
        </w:rPr>
        <w:t xml:space="preserve">}$ characterise how these different operators contribute to the overall process. Any new physics will manifest itself through Wilson coefficients that have different values form those expected in the SM or through Wilson coefficients that correspond to completely new operators such as scalar, pseudoscalar or tensor currents. The contributions to the Wilson coefficients from NP depend on both the coupling constants between the NP particles and the SM particles, as well as the masses of the NP particles. The study of electroweak penguin decays cannot therefore </w:t>
      </w:r>
      <w:proofErr w:type="gramStart"/>
      <w:r w:rsidRPr="004262DD">
        <w:rPr>
          <w:rFonts w:ascii="Calibri" w:eastAsia="Times New Roman" w:hAnsi="Calibri" w:cs="Calibri"/>
          <w:color w:val="000000"/>
          <w:lang w:eastAsia="en-AU"/>
        </w:rPr>
        <w:t>determine precisely</w:t>
      </w:r>
      <w:proofErr w:type="gramEnd"/>
      <w:r w:rsidRPr="004262DD">
        <w:rPr>
          <w:rFonts w:ascii="Calibri" w:eastAsia="Times New Roman" w:hAnsi="Calibri" w:cs="Calibri"/>
          <w:color w:val="000000"/>
          <w:lang w:eastAsia="en-AU"/>
        </w:rPr>
        <w:t xml:space="preserve"> the mass of any NP particles. </w:t>
      </w:r>
    </w:p>
    <w:p w14:paraId="184B7A95" w14:textId="77777777" w:rsidR="004262DD" w:rsidRPr="004262DD" w:rsidRDefault="004262DD" w:rsidP="004262DD">
      <w:pPr>
        <w:spacing w:after="0" w:line="240" w:lineRule="auto"/>
        <w:rPr>
          <w:rFonts w:ascii="Times New Roman" w:eastAsia="Times New Roman" w:hAnsi="Times New Roman" w:cs="Times New Roman"/>
          <w:sz w:val="24"/>
          <w:szCs w:val="24"/>
          <w:lang w:eastAsia="en-AU"/>
        </w:rPr>
      </w:pPr>
    </w:p>
    <w:p w14:paraId="22AA545D"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i/>
          <w:iCs/>
          <w:color w:val="5A5A5A"/>
          <w:lang w:eastAsia="en-AU"/>
        </w:rPr>
        <w:t xml:space="preserve">Chapter 2: The </w:t>
      </w:r>
      <w:proofErr w:type="spellStart"/>
      <w:r w:rsidRPr="004262DD">
        <w:rPr>
          <w:rFonts w:ascii="Calibri" w:eastAsia="Times New Roman" w:hAnsi="Calibri" w:cs="Calibri"/>
          <w:b/>
          <w:bCs/>
          <w:i/>
          <w:iCs/>
          <w:color w:val="5A5A5A"/>
          <w:lang w:eastAsia="en-AU"/>
        </w:rPr>
        <w:t>LHCb</w:t>
      </w:r>
      <w:proofErr w:type="spellEnd"/>
      <w:r w:rsidRPr="004262DD">
        <w:rPr>
          <w:rFonts w:ascii="Calibri" w:eastAsia="Times New Roman" w:hAnsi="Calibri" w:cs="Calibri"/>
          <w:b/>
          <w:bCs/>
          <w:i/>
          <w:iCs/>
          <w:color w:val="5A5A5A"/>
          <w:lang w:eastAsia="en-AU"/>
        </w:rPr>
        <w:t xml:space="preserve"> Detector</w:t>
      </w:r>
    </w:p>
    <w:p w14:paraId="7B732A08"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experiment is dedicated to heavy-flavour physics at the LHC. It seeks indirect evidence of new physics in CP violation and rare decays of beauty and charm hadrons. </w:t>
      </w:r>
    </w:p>
    <w:p w14:paraId="0C20623B"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extent of CP violation in the Standard Model weak interaction cannot explain the amount of matter in the universe. As a result, a new source of CP violation beyond the Standard Model is needed to solve the puzzle. The effect of such a source may be evident in heavy flavour physics.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intends to study the phenomenon of CP violation by analysing the higher statistics and various decay modes of the $B_{d}$, $B_{s}$ and $D$ mesons</w:t>
      </w:r>
    </w:p>
    <w:p w14:paraId="51652582"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has a $b\bar{b}$ production cross-section of approximately 500 </w:t>
      </w:r>
      <w:proofErr w:type="spellStart"/>
      <w:r w:rsidRPr="004262DD">
        <w:rPr>
          <w:rFonts w:ascii="Calibri" w:eastAsia="Times New Roman" w:hAnsi="Calibri" w:cs="Calibri"/>
          <w:color w:val="000000"/>
          <w:lang w:eastAsia="en-AU"/>
        </w:rPr>
        <w:t>microbarn</w:t>
      </w:r>
      <w:proofErr w:type="spellEnd"/>
      <w:r w:rsidRPr="004262DD">
        <w:rPr>
          <w:rFonts w:ascii="Calibri" w:eastAsia="Times New Roman" w:hAnsi="Calibri" w:cs="Calibri"/>
          <w:color w:val="000000"/>
          <w:lang w:eastAsia="en-AU"/>
        </w:rPr>
        <w:t xml:space="preserve"> at an energy of 13 </w:t>
      </w:r>
      <w:proofErr w:type="spellStart"/>
      <w:proofErr w:type="gramStart"/>
      <w:r w:rsidRPr="004262DD">
        <w:rPr>
          <w:rFonts w:ascii="Calibri" w:eastAsia="Times New Roman" w:hAnsi="Calibri" w:cs="Calibri"/>
          <w:color w:val="000000"/>
          <w:lang w:eastAsia="en-AU"/>
        </w:rPr>
        <w:t>TeV</w:t>
      </w:r>
      <w:proofErr w:type="spellEnd"/>
      <w:r w:rsidRPr="004262DD">
        <w:rPr>
          <w:rFonts w:ascii="Calibri" w:eastAsia="Times New Roman" w:hAnsi="Calibri" w:cs="Calibri"/>
          <w:color w:val="000000"/>
          <w:lang w:eastAsia="en-AU"/>
        </w:rPr>
        <w:t>, and</w:t>
      </w:r>
      <w:proofErr w:type="gramEnd"/>
      <w:r w:rsidRPr="004262DD">
        <w:rPr>
          <w:rFonts w:ascii="Calibri" w:eastAsia="Times New Roman" w:hAnsi="Calibri" w:cs="Calibri"/>
          <w:color w:val="000000"/>
          <w:lang w:eastAsia="en-AU"/>
        </w:rPr>
        <w:t xml:space="preserve"> is therefore the most abundant source of B mesons in the world. It must therefore be able to exploit the large number of $b$ hadrons. As a result, its trigger must be sensitive to a variety of final states. Displaced vertex and high transverse momentum signatures are exploited </w:t>
      </w:r>
      <w:proofErr w:type="gramStart"/>
      <w:r w:rsidRPr="004262DD">
        <w:rPr>
          <w:rFonts w:ascii="Calibri" w:eastAsia="Times New Roman" w:hAnsi="Calibri" w:cs="Calibri"/>
          <w:color w:val="000000"/>
          <w:lang w:eastAsia="en-AU"/>
        </w:rPr>
        <w:t>in order to</w:t>
      </w:r>
      <w:proofErr w:type="gramEnd"/>
      <w:r w:rsidRPr="004262DD">
        <w:rPr>
          <w:rFonts w:ascii="Calibri" w:eastAsia="Times New Roman" w:hAnsi="Calibri" w:cs="Calibri"/>
          <w:color w:val="000000"/>
          <w:lang w:eastAsia="en-AU"/>
        </w:rPr>
        <w:t xml:space="preserve"> separate the decays of interest from the background. The momentum and invariant mass resolution of the detector is also required to be high </w:t>
      </w:r>
      <w:proofErr w:type="gramStart"/>
      <w:r w:rsidRPr="004262DD">
        <w:rPr>
          <w:rFonts w:ascii="Calibri" w:eastAsia="Times New Roman" w:hAnsi="Calibri" w:cs="Calibri"/>
          <w:color w:val="000000"/>
          <w:lang w:eastAsia="en-AU"/>
        </w:rPr>
        <w:t>in order to</w:t>
      </w:r>
      <w:proofErr w:type="gramEnd"/>
      <w:r w:rsidRPr="004262DD">
        <w:rPr>
          <w:rFonts w:ascii="Calibri" w:eastAsia="Times New Roman" w:hAnsi="Calibri" w:cs="Calibri"/>
          <w:color w:val="000000"/>
          <w:lang w:eastAsia="en-AU"/>
        </w:rPr>
        <w:t xml:space="preserve"> mitigate effects from the combinatorial background. Additionally, the identification of charged particles is essential in flavour physics experiments, </w:t>
      </w:r>
      <w:proofErr w:type="gramStart"/>
      <w:r w:rsidRPr="004262DD">
        <w:rPr>
          <w:rFonts w:ascii="Calibri" w:eastAsia="Times New Roman" w:hAnsi="Calibri" w:cs="Calibri"/>
          <w:color w:val="000000"/>
          <w:lang w:eastAsia="en-AU"/>
        </w:rPr>
        <w:t>in order to</w:t>
      </w:r>
      <w:proofErr w:type="gramEnd"/>
      <w:r w:rsidRPr="004262DD">
        <w:rPr>
          <w:rFonts w:ascii="Calibri" w:eastAsia="Times New Roman" w:hAnsi="Calibri" w:cs="Calibri"/>
          <w:color w:val="000000"/>
          <w:lang w:eastAsia="en-AU"/>
        </w:rPr>
        <w:t>, for instance, isolate suppressed decays and for b-quark flavour tagging. The ability to detect photons and charged particles permits the reconstruction of radiative decays, as well as more common ones such as those containing $\pi</w:t>
      </w:r>
      <w:proofErr w:type="gramStart"/>
      <w:r w:rsidRPr="004262DD">
        <w:rPr>
          <w:rFonts w:ascii="Calibri" w:eastAsia="Times New Roman" w:hAnsi="Calibri" w:cs="Calibri"/>
          <w:color w:val="000000"/>
          <w:lang w:eastAsia="en-AU"/>
        </w:rPr>
        <w:t>^{</w:t>
      </w:r>
      <w:proofErr w:type="gramEnd"/>
      <w:r w:rsidRPr="004262DD">
        <w:rPr>
          <w:rFonts w:ascii="Calibri" w:eastAsia="Times New Roman" w:hAnsi="Calibri" w:cs="Calibri"/>
          <w:color w:val="000000"/>
          <w:lang w:eastAsia="en-AU"/>
        </w:rPr>
        <w:t>0}$ and $\eta$ mesons in the final state. </w:t>
      </w:r>
    </w:p>
    <w:p w14:paraId="305CCF48"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Data taking at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detector is divided into fills and runs. A fill is a single period of collisions delimited by the announcement of stable beam conditions and the dumping of the beam by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a phase which typically lasts approximately 12 hours. A fill is further divided into runs, each of </w:t>
      </w:r>
      <w:proofErr w:type="spellStart"/>
      <w:r w:rsidRPr="004262DD">
        <w:rPr>
          <w:rFonts w:ascii="Calibri" w:eastAsia="Times New Roman" w:hAnsi="Calibri" w:cs="Calibri"/>
          <w:color w:val="000000"/>
          <w:lang w:eastAsia="en-AU"/>
        </w:rPr>
        <w:t>hich</w:t>
      </w:r>
      <w:proofErr w:type="spellEnd"/>
      <w:r w:rsidRPr="004262DD">
        <w:rPr>
          <w:rFonts w:ascii="Calibri" w:eastAsia="Times New Roman" w:hAnsi="Calibri" w:cs="Calibri"/>
          <w:color w:val="000000"/>
          <w:lang w:eastAsia="en-AU"/>
        </w:rPr>
        <w:t xml:space="preserve"> lasts a maximum of one </w:t>
      </w:r>
      <w:proofErr w:type="spellStart"/>
      <w:proofErr w:type="gramStart"/>
      <w:r w:rsidRPr="004262DD">
        <w:rPr>
          <w:rFonts w:ascii="Calibri" w:eastAsia="Times New Roman" w:hAnsi="Calibri" w:cs="Calibri"/>
          <w:color w:val="000000"/>
          <w:lang w:eastAsia="en-AU"/>
        </w:rPr>
        <w:t>hour.In</w:t>
      </w:r>
      <w:proofErr w:type="spellEnd"/>
      <w:proofErr w:type="gramEnd"/>
      <w:r w:rsidRPr="004262DD">
        <w:rPr>
          <w:rFonts w:ascii="Calibri" w:eastAsia="Times New Roman" w:hAnsi="Calibri" w:cs="Calibri"/>
          <w:color w:val="000000"/>
          <w:lang w:eastAsia="en-AU"/>
        </w:rPr>
        <w:t xml:space="preserve"> order to benefit from the high event rate at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a high-bandwidth data acquisition system and a robust, and selective trigger system are essential. This chapter describes the key components of the experimental setup, as well as the processes relating to the acquisition and analysis of data from this experiment. </w:t>
      </w:r>
    </w:p>
    <w:p w14:paraId="7388DBF0" w14:textId="77777777" w:rsidR="004262DD" w:rsidRPr="004262DD" w:rsidRDefault="004262DD" w:rsidP="004262DD">
      <w:pPr>
        <w:spacing w:after="0" w:line="240" w:lineRule="auto"/>
        <w:rPr>
          <w:rFonts w:ascii="Times New Roman" w:eastAsia="Times New Roman" w:hAnsi="Times New Roman" w:cs="Times New Roman"/>
          <w:sz w:val="24"/>
          <w:szCs w:val="24"/>
          <w:lang w:eastAsia="en-AU"/>
        </w:rPr>
      </w:pPr>
    </w:p>
    <w:p w14:paraId="646A7DC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 xml:space="preserve">Structure of the </w:t>
      </w:r>
      <w:proofErr w:type="spellStart"/>
      <w:r w:rsidRPr="004262DD">
        <w:rPr>
          <w:rFonts w:ascii="Calibri" w:eastAsia="Times New Roman" w:hAnsi="Calibri" w:cs="Calibri"/>
          <w:b/>
          <w:bCs/>
          <w:color w:val="000000"/>
          <w:u w:val="single"/>
          <w:lang w:eastAsia="en-AU"/>
        </w:rPr>
        <w:t>LHCb</w:t>
      </w:r>
      <w:proofErr w:type="spellEnd"/>
      <w:r w:rsidRPr="004262DD">
        <w:rPr>
          <w:rFonts w:ascii="Calibri" w:eastAsia="Times New Roman" w:hAnsi="Calibri" w:cs="Calibri"/>
          <w:b/>
          <w:bCs/>
          <w:color w:val="000000"/>
          <w:u w:val="single"/>
          <w:lang w:eastAsia="en-AU"/>
        </w:rPr>
        <w:t xml:space="preserve"> Detector</w:t>
      </w:r>
    </w:p>
    <w:p w14:paraId="6467EADF"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is a single arm spectrometer with a forward angular coverage from approximately 10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to 300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in the bending (non-bending) plane and covering the </w:t>
      </w:r>
      <w:proofErr w:type="spellStart"/>
      <w:r w:rsidRPr="004262DD">
        <w:rPr>
          <w:rFonts w:ascii="Calibri" w:eastAsia="Times New Roman" w:hAnsi="Calibri" w:cs="Calibri"/>
          <w:color w:val="000000"/>
          <w:lang w:eastAsia="en-AU"/>
        </w:rPr>
        <w:t>pseudorapidity</w:t>
      </w:r>
      <w:proofErr w:type="spellEnd"/>
      <w:r w:rsidRPr="004262DD">
        <w:rPr>
          <w:rFonts w:ascii="Calibri" w:eastAsia="Times New Roman" w:hAnsi="Calibri" w:cs="Calibri"/>
          <w:color w:val="000000"/>
          <w:lang w:eastAsia="en-AU"/>
        </w:rPr>
        <w:t xml:space="preserve"> range between 2 and 5. The detector is designed such that the b and $\bar{b}$ hadrons are produced in the same forward or backward cone at high energies, and consists of a high-precision tracking system consisting of the following components:</w:t>
      </w:r>
    </w:p>
    <w:p w14:paraId="01AA53F8" w14:textId="77777777" w:rsidR="004262DD" w:rsidRPr="004262DD" w:rsidRDefault="004262DD" w:rsidP="004262DD">
      <w:pPr>
        <w:numPr>
          <w:ilvl w:val="0"/>
          <w:numId w:val="2"/>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Silicon-strip vertex detector (VELO)</w:t>
      </w:r>
    </w:p>
    <w:p w14:paraId="7E63F43B" w14:textId="77777777" w:rsidR="004262DD" w:rsidRPr="004262DD" w:rsidRDefault="004262DD" w:rsidP="004262DD">
      <w:pPr>
        <w:numPr>
          <w:ilvl w:val="0"/>
          <w:numId w:val="2"/>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Silicon strip detector (TT) detector</w:t>
      </w:r>
    </w:p>
    <w:p w14:paraId="5B9D82E7" w14:textId="77777777" w:rsidR="004262DD" w:rsidRPr="004262DD" w:rsidRDefault="004262DD" w:rsidP="004262DD">
      <w:pPr>
        <w:numPr>
          <w:ilvl w:val="0"/>
          <w:numId w:val="2"/>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Dipole magnet with a bending power of 4 Tm, located downstream from TT detectors</w:t>
      </w:r>
    </w:p>
    <w:p w14:paraId="44B3CCE2" w14:textId="77777777" w:rsidR="004262DD" w:rsidRPr="004262DD" w:rsidRDefault="004262DD" w:rsidP="004262DD">
      <w:pPr>
        <w:numPr>
          <w:ilvl w:val="0"/>
          <w:numId w:val="2"/>
        </w:numPr>
        <w:spacing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Straw drift tubes</w:t>
      </w:r>
    </w:p>
    <w:p w14:paraId="40C7C25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These components are collectively referred to as T-stations. The tracking system provides a measurement of the momentum of charged particles with a relative uncertainty ranging between 0.5% to 1.0% at 200 GeV/c. The other key components that are responsible for measuring the properties of the particles that traverse the detector include the </w:t>
      </w:r>
      <w:proofErr w:type="gramStart"/>
      <w:r w:rsidRPr="004262DD">
        <w:rPr>
          <w:rFonts w:ascii="Calibri" w:eastAsia="Times New Roman" w:hAnsi="Calibri" w:cs="Calibri"/>
          <w:color w:val="000000"/>
          <w:lang w:eastAsia="en-AU"/>
        </w:rPr>
        <w:t>two ring</w:t>
      </w:r>
      <w:proofErr w:type="gramEnd"/>
      <w:r w:rsidRPr="004262DD">
        <w:rPr>
          <w:rFonts w:ascii="Calibri" w:eastAsia="Times New Roman" w:hAnsi="Calibri" w:cs="Calibri"/>
          <w:color w:val="000000"/>
          <w:lang w:eastAsia="en-AU"/>
        </w:rPr>
        <w:t xml:space="preserve"> imaging Cherenkov (RICH) detectors, and a calorimeter system comprising of a scintillating-pad (SPD) and </w:t>
      </w:r>
      <w:proofErr w:type="spellStart"/>
      <w:r w:rsidRPr="004262DD">
        <w:rPr>
          <w:rFonts w:ascii="Calibri" w:eastAsia="Times New Roman" w:hAnsi="Calibri" w:cs="Calibri"/>
          <w:color w:val="000000"/>
          <w:lang w:eastAsia="en-AU"/>
        </w:rPr>
        <w:t>preshower</w:t>
      </w:r>
      <w:proofErr w:type="spellEnd"/>
      <w:r w:rsidRPr="004262DD">
        <w:rPr>
          <w:rFonts w:ascii="Calibri" w:eastAsia="Times New Roman" w:hAnsi="Calibri" w:cs="Calibri"/>
          <w:color w:val="000000"/>
          <w:lang w:eastAsia="en-AU"/>
        </w:rPr>
        <w:t xml:space="preserve"> detectors (PS), as well as electromagnetic and hadronic calorimeters (ECAL and HCAL respectively). A system responsible for detecting muons is also present as part of the experimental setup. Each of the components are described in further detail below</w:t>
      </w:r>
    </w:p>
    <w:p w14:paraId="4A77149D"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Vertex Locator (VELO)</w:t>
      </w:r>
    </w:p>
    <w:p w14:paraId="555EADCA"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VELO is a silicon microstrip detector that surrounds the proton-proton interaction region in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experiment. It provides measurements of track coordinates that enable the identification of the primary interaction and secondary vertices, which are characteristic of b and c-hadron decays. The VELO was designed to optimise the following aspects of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experiment:</w:t>
      </w:r>
    </w:p>
    <w:p w14:paraId="2C3E07A9"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 xml:space="preserve">Angular coverage: </w:t>
      </w:r>
      <w:r w:rsidRPr="004262DD">
        <w:rPr>
          <w:rFonts w:ascii="Calibri" w:eastAsia="Times New Roman" w:hAnsi="Calibri" w:cs="Calibri"/>
          <w:color w:val="000000"/>
          <w:lang w:eastAsia="en-AU"/>
        </w:rPr>
        <w:t xml:space="preserve">The VELO is designed to cover the forward region such that all tracks inside the nominal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acceptance of 15-300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cross at least three VELO stations. In this way, the detector fully reconstructs roughly 27% of $b\bar{b}$ production for 7 </w:t>
      </w:r>
      <w:proofErr w:type="spellStart"/>
      <w:r w:rsidRPr="004262DD">
        <w:rPr>
          <w:rFonts w:ascii="Calibri" w:eastAsia="Times New Roman" w:hAnsi="Calibri" w:cs="Calibri"/>
          <w:color w:val="000000"/>
          <w:lang w:eastAsia="en-AU"/>
        </w:rPr>
        <w:t>TeV</w:t>
      </w:r>
      <w:proofErr w:type="spellEnd"/>
      <w:r w:rsidRPr="004262DD">
        <w:rPr>
          <w:rFonts w:ascii="Calibri" w:eastAsia="Times New Roman" w:hAnsi="Calibri" w:cs="Calibri"/>
          <w:color w:val="000000"/>
          <w:lang w:eastAsia="en-AU"/>
        </w:rPr>
        <w:t xml:space="preserve"> proton-proton centre of mass collisions, while covering just 1.8% of the solid angle. The VELO also reconstructs tracks in the forward and backward directions </w:t>
      </w:r>
      <w:proofErr w:type="spellStart"/>
      <w:r w:rsidRPr="004262DD">
        <w:rPr>
          <w:rFonts w:ascii="Calibri" w:eastAsia="Times New Roman" w:hAnsi="Calibri" w:cs="Calibri"/>
          <w:color w:val="000000"/>
          <w:lang w:eastAsia="en-AU"/>
        </w:rPr>
        <w:t>hich</w:t>
      </w:r>
      <w:proofErr w:type="spellEnd"/>
      <w:r w:rsidRPr="004262DD">
        <w:rPr>
          <w:rFonts w:ascii="Calibri" w:eastAsia="Times New Roman" w:hAnsi="Calibri" w:cs="Calibri"/>
          <w:color w:val="000000"/>
          <w:lang w:eastAsia="en-AU"/>
        </w:rPr>
        <w:t xml:space="preserve"> do not have momentum information, but are useful to improve the primary vertex reconstruction</w:t>
      </w:r>
    </w:p>
    <w:p w14:paraId="62B899BC"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Triggering:</w:t>
      </w:r>
      <w:r w:rsidRPr="004262DD">
        <w:rPr>
          <w:rFonts w:ascii="Calibri" w:eastAsia="Times New Roman" w:hAnsi="Calibri" w:cs="Calibri"/>
          <w:color w:val="000000"/>
          <w:lang w:eastAsia="en-AU"/>
        </w:rPr>
        <w:t xml:space="preserve"> The reconstruction of the primary vertex and displaced secondary decay vertex of a heavy flavour hadron in the VELO is a key ingredient of the </w:t>
      </w:r>
      <w:proofErr w:type="gramStart"/>
      <w:r w:rsidRPr="004262DD">
        <w:rPr>
          <w:rFonts w:ascii="Calibri" w:eastAsia="Times New Roman" w:hAnsi="Calibri" w:cs="Calibri"/>
          <w:color w:val="000000"/>
          <w:lang w:eastAsia="en-AU"/>
        </w:rPr>
        <w:t>high level</w:t>
      </w:r>
      <w:proofErr w:type="gramEnd"/>
      <w:r w:rsidRPr="004262DD">
        <w:rPr>
          <w:rFonts w:ascii="Calibri" w:eastAsia="Times New Roman" w:hAnsi="Calibri" w:cs="Calibri"/>
          <w:color w:val="000000"/>
          <w:lang w:eastAsia="en-AU"/>
        </w:rPr>
        <w:t xml:space="preserve"> trigger which reduces the event rate from a 1 MHz event rate to a few kHz</w:t>
      </w:r>
    </w:p>
    <w:p w14:paraId="5EEEBC1A"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Efficient reconstruction:</w:t>
      </w:r>
      <w:r w:rsidRPr="004262DD">
        <w:rPr>
          <w:rFonts w:ascii="Calibri" w:eastAsia="Times New Roman" w:hAnsi="Calibri" w:cs="Calibri"/>
          <w:color w:val="000000"/>
          <w:lang w:eastAsia="en-AU"/>
        </w:rPr>
        <w:t xml:space="preserv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has studied decay modes with up to six charged tracks in the final state. This relies on the highly efficient cluster reconstruction in the VELO since the track reconstruction efficiency losses are transmitted as the sixth power. The cluster reconstruction efficiency in the VELO is paramount, both for the selection of those tracks, as six measurements per track are required, and for efficient pattern recognition and fake track rejection. </w:t>
      </w:r>
    </w:p>
    <w:p w14:paraId="07B3267D" w14:textId="77777777" w:rsidR="004262DD" w:rsidRPr="004262DD" w:rsidRDefault="004262DD" w:rsidP="004262DD">
      <w:pPr>
        <w:numPr>
          <w:ilvl w:val="0"/>
          <w:numId w:val="3"/>
        </w:numPr>
        <w:spacing w:after="0"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Displaced tracks and vertices:</w:t>
      </w:r>
      <w:r w:rsidRPr="004262DD">
        <w:rPr>
          <w:rFonts w:ascii="Calibri" w:eastAsia="Times New Roman" w:hAnsi="Calibri" w:cs="Calibri"/>
          <w:color w:val="000000"/>
          <w:lang w:eastAsia="en-AU"/>
        </w:rPr>
        <w:t xml:space="preserve"> Excellent vertex resolution is essential to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physics programme. Most analyses rely heavily on selection cuts on the distance with which tracks approach the primary vertex (</w:t>
      </w:r>
      <w:proofErr w:type="gramStart"/>
      <w:r w:rsidRPr="004262DD">
        <w:rPr>
          <w:rFonts w:ascii="Calibri" w:eastAsia="Times New Roman" w:hAnsi="Calibri" w:cs="Calibri"/>
          <w:color w:val="000000"/>
          <w:lang w:eastAsia="en-AU"/>
        </w:rPr>
        <w:t>i.e.</w:t>
      </w:r>
      <w:proofErr w:type="gramEnd"/>
      <w:r w:rsidRPr="004262DD">
        <w:rPr>
          <w:rFonts w:ascii="Calibri" w:eastAsia="Times New Roman" w:hAnsi="Calibri" w:cs="Calibri"/>
          <w:color w:val="000000"/>
          <w:lang w:eastAsia="en-AU"/>
        </w:rPr>
        <w:t xml:space="preserve"> the impact parameter). The impact parameter resolution was optimised by positioning the VELO sensors as close to the LHC beam as permitted by safety consideration, having a small inter-strip pitch at the inside of the sensors, and minimising the amount of material traversed by a particle before the first measured hits in the VELO</w:t>
      </w:r>
    </w:p>
    <w:p w14:paraId="7ED8323E" w14:textId="77777777" w:rsidR="004262DD" w:rsidRPr="004262DD" w:rsidRDefault="004262DD" w:rsidP="004262DD">
      <w:pPr>
        <w:numPr>
          <w:ilvl w:val="0"/>
          <w:numId w:val="3"/>
        </w:numPr>
        <w:spacing w:line="240" w:lineRule="auto"/>
        <w:textAlignment w:val="baseline"/>
        <w:rPr>
          <w:rFonts w:ascii="Calibri" w:eastAsia="Times New Roman" w:hAnsi="Calibri" w:cs="Calibri"/>
          <w:color w:val="000000"/>
          <w:lang w:eastAsia="en-AU"/>
        </w:rPr>
      </w:pPr>
      <w:r w:rsidRPr="004262DD">
        <w:rPr>
          <w:rFonts w:ascii="Calibri" w:eastAsia="Times New Roman" w:hAnsi="Calibri" w:cs="Calibri"/>
          <w:b/>
          <w:bCs/>
          <w:color w:val="000000"/>
          <w:lang w:eastAsia="en-AU"/>
        </w:rPr>
        <w:t>Decay time:</w:t>
      </w:r>
      <w:r w:rsidRPr="004262DD">
        <w:rPr>
          <w:rFonts w:ascii="Calibri" w:eastAsia="Times New Roman" w:hAnsi="Calibri" w:cs="Calibri"/>
          <w:color w:val="000000"/>
          <w:lang w:eastAsia="en-AU"/>
        </w:rPr>
        <w:t xml:space="preserve"> The decay time of a particle is obtained from the measurement of its flight distance in the VELO. This is necessary for lifetime requirements and, critically, for time-dependent measurements in the rapidly oscillating $B_{s}^{0}-B_{s}</w:t>
      </w:r>
      <w:proofErr w:type="gramStart"/>
      <w:r w:rsidRPr="004262DD">
        <w:rPr>
          <w:rFonts w:ascii="Calibri" w:eastAsia="Times New Roman" w:hAnsi="Calibri" w:cs="Calibri"/>
          <w:color w:val="000000"/>
          <w:lang w:eastAsia="en-AU"/>
        </w:rPr>
        <w:t>^{</w:t>
      </w:r>
      <w:proofErr w:type="gramEnd"/>
      <w:r w:rsidRPr="004262DD">
        <w:rPr>
          <w:rFonts w:ascii="Calibri" w:eastAsia="Times New Roman" w:hAnsi="Calibri" w:cs="Calibri"/>
          <w:color w:val="000000"/>
          <w:lang w:eastAsia="en-AU"/>
        </w:rPr>
        <w:t>0}$ bar meson system</w:t>
      </w:r>
    </w:p>
    <w:p w14:paraId="470C7480" w14:textId="77777777" w:rsidR="004262DD" w:rsidRPr="004262DD" w:rsidRDefault="004262DD" w:rsidP="004262DD">
      <w:pPr>
        <w:spacing w:after="0" w:line="240" w:lineRule="auto"/>
        <w:rPr>
          <w:rFonts w:ascii="Times New Roman" w:eastAsia="Times New Roman" w:hAnsi="Times New Roman" w:cs="Times New Roman"/>
          <w:sz w:val="24"/>
          <w:szCs w:val="24"/>
          <w:lang w:eastAsia="en-AU"/>
        </w:rPr>
      </w:pPr>
    </w:p>
    <w:p w14:paraId="43DE35A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RICH Detectors</w:t>
      </w:r>
    </w:p>
    <w:p w14:paraId="3EBC473E"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two Ring Image Cherenkov (RICH) detectors, named RICH1 and RICH2 are responsible for the identification of charged hadrons (</w:t>
      </w:r>
      <w:proofErr w:type="gramStart"/>
      <w:r w:rsidRPr="004262DD">
        <w:rPr>
          <w:rFonts w:ascii="Calibri" w:eastAsia="Times New Roman" w:hAnsi="Calibri" w:cs="Calibri"/>
          <w:color w:val="000000"/>
          <w:lang w:eastAsia="en-AU"/>
        </w:rPr>
        <w:t>e.g.</w:t>
      </w:r>
      <w:proofErr w:type="gramEnd"/>
      <w:r w:rsidRPr="004262DD">
        <w:rPr>
          <w:rFonts w:ascii="Calibri" w:eastAsia="Times New Roman" w:hAnsi="Calibri" w:cs="Calibri"/>
          <w:color w:val="000000"/>
          <w:lang w:eastAsia="en-AU"/>
        </w:rPr>
        <w:t xml:space="preserve"> pions, kaons, and protons). RICH1 covers the low and intermediate momentum region (</w:t>
      </w:r>
      <w:proofErr w:type="gramStart"/>
      <w:r w:rsidRPr="004262DD">
        <w:rPr>
          <w:rFonts w:ascii="Calibri" w:eastAsia="Times New Roman" w:hAnsi="Calibri" w:cs="Calibri"/>
          <w:color w:val="000000"/>
          <w:lang w:eastAsia="en-AU"/>
        </w:rPr>
        <w:t>i.e.</w:t>
      </w:r>
      <w:proofErr w:type="gramEnd"/>
      <w:r w:rsidRPr="004262DD">
        <w:rPr>
          <w:rFonts w:ascii="Calibri" w:eastAsia="Times New Roman" w:hAnsi="Calibri" w:cs="Calibri"/>
          <w:color w:val="000000"/>
          <w:lang w:eastAsia="en-AU"/>
        </w:rPr>
        <w:t xml:space="preserve"> 2-40 GeV/c) over the full spectrometer angular acceptance of 25-300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while RICH2 covers the high-momentum region 15-100 GeV/c over the angular range 15-120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w:t>
      </w:r>
    </w:p>
    <w:p w14:paraId="5805E2A0"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In order to limit its overall volume, RICH 1 is placed as close as possible to the interaction </w:t>
      </w:r>
      <w:proofErr w:type="gramStart"/>
      <w:r w:rsidRPr="004262DD">
        <w:rPr>
          <w:rFonts w:ascii="Calibri" w:eastAsia="Times New Roman" w:hAnsi="Calibri" w:cs="Calibri"/>
          <w:color w:val="000000"/>
          <w:lang w:eastAsia="en-AU"/>
        </w:rPr>
        <w:t>region, and</w:t>
      </w:r>
      <w:proofErr w:type="gramEnd"/>
      <w:r w:rsidRPr="004262DD">
        <w:rPr>
          <w:rFonts w:ascii="Calibri" w:eastAsia="Times New Roman" w:hAnsi="Calibri" w:cs="Calibri"/>
          <w:color w:val="000000"/>
          <w:lang w:eastAsia="en-AU"/>
        </w:rPr>
        <w:t xml:space="preserve"> is located immediately downstream of the VELO described above. RICH 2 on the other hand, is placed downstream of the </w:t>
      </w:r>
      <w:proofErr w:type="gramStart"/>
      <w:r w:rsidRPr="004262DD">
        <w:rPr>
          <w:rFonts w:ascii="Calibri" w:eastAsia="Times New Roman" w:hAnsi="Calibri" w:cs="Calibri"/>
          <w:color w:val="000000"/>
          <w:lang w:eastAsia="en-AU"/>
        </w:rPr>
        <w:t>magnet, since</w:t>
      </w:r>
      <w:proofErr w:type="gramEnd"/>
      <w:r w:rsidRPr="004262DD">
        <w:rPr>
          <w:rFonts w:ascii="Calibri" w:eastAsia="Times New Roman" w:hAnsi="Calibri" w:cs="Calibri"/>
          <w:color w:val="000000"/>
          <w:lang w:eastAsia="en-AU"/>
        </w:rPr>
        <w:t xml:space="preserve"> the high momentum tracks that it measures are less influenced by the magnetic field. Both detectors consist of entrance and exit windows that serve as links to the VELO and magnet respectively. These windows form a foam sandwich </w:t>
      </w:r>
      <w:proofErr w:type="gramStart"/>
      <w:r w:rsidRPr="004262DD">
        <w:rPr>
          <w:rFonts w:ascii="Calibri" w:eastAsia="Times New Roman" w:hAnsi="Calibri" w:cs="Calibri"/>
          <w:color w:val="000000"/>
          <w:lang w:eastAsia="en-AU"/>
        </w:rPr>
        <w:t>construction, and</w:t>
      </w:r>
      <w:proofErr w:type="gramEnd"/>
      <w:r w:rsidRPr="004262DD">
        <w:rPr>
          <w:rFonts w:ascii="Calibri" w:eastAsia="Times New Roman" w:hAnsi="Calibri" w:cs="Calibri"/>
          <w:color w:val="000000"/>
          <w:lang w:eastAsia="en-AU"/>
        </w:rPr>
        <w:t xml:space="preserve"> are skinned with carbon fibre and aluminium respectively. (LINK TO RICH PAPER FOR MORE INFORMATION)</w:t>
      </w:r>
    </w:p>
    <w:p w14:paraId="74D3EA7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Calorimeters</w:t>
      </w:r>
      <w:r w:rsidRPr="004262DD">
        <w:rPr>
          <w:rFonts w:ascii="Calibri" w:eastAsia="Times New Roman" w:hAnsi="Calibri" w:cs="Calibri"/>
          <w:color w:val="000000"/>
          <w:lang w:eastAsia="en-AU"/>
        </w:rPr>
        <w:t> </w:t>
      </w:r>
    </w:p>
    <w:p w14:paraId="00D5D47C"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calorimeters are assembled in to two halves (A and C sides) which can be moved out horizontally for assembly and maintenance purposes, as well as to provide access to the beam pipe. The SPD, PS, ECAL and HCAL are segmented in the plane perpendicular to the beam axis into square cells. </w:t>
      </w:r>
    </w:p>
    <w:p w14:paraId="26454E06"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At the LHC, the density of the particles incident on the calorimeters varies by two orders of magnitude over the calorimeter surface, the inner part being subject to the highest density. The calorimeters are divided into regions with cells of different sizes in accordance with these variations. There are three regions for the SPD, PS, and ECAL, and two regions for the HCAL</w:t>
      </w:r>
    </w:p>
    <w:p w14:paraId="4BCEFFC4"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All four sub-detectors (SPD, PS, ECAL and HCAL) consist of successions of lead, or iron absorbers, and scintillator plates. The scintillation light resulting from the showers of the particles going through the detector is collected by the wavelength-shifting (WLS) fibres. The fibres transport the light to photomultiplier tubes (PMT) or multi-anode photomultiplier tubes (MA-PMT) that convert the light into electrical signals, which are readout by electronic Front-End-Boards (FEB).</w:t>
      </w:r>
    </w:p>
    <w:p w14:paraId="5F36E166"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Each cell of the ECAL and HCAL is equipped with a </w:t>
      </w:r>
      <w:proofErr w:type="gramStart"/>
      <w:r w:rsidRPr="004262DD">
        <w:rPr>
          <w:rFonts w:ascii="Calibri" w:eastAsia="Times New Roman" w:hAnsi="Calibri" w:cs="Calibri"/>
          <w:color w:val="000000"/>
          <w:lang w:eastAsia="en-AU"/>
        </w:rPr>
        <w:t>PMT</w:t>
      </w:r>
      <w:proofErr w:type="gramEnd"/>
      <w:r w:rsidRPr="004262DD">
        <w:rPr>
          <w:rFonts w:ascii="Calibri" w:eastAsia="Times New Roman" w:hAnsi="Calibri" w:cs="Calibri"/>
          <w:color w:val="000000"/>
          <w:lang w:eastAsia="en-AU"/>
        </w:rPr>
        <w:t xml:space="preserve"> and the corresponding FEB converts the signal to an energy value E, in order to obtain a constant dynamic range in transverse energy over the calorimeter plane. The transverse energy, $E_{T}$ is defined as $E_{T} = E\sin(\</w:t>
      </w:r>
      <w:proofErr w:type="gramStart"/>
      <w:r w:rsidRPr="004262DD">
        <w:rPr>
          <w:rFonts w:ascii="Calibri" w:eastAsia="Times New Roman" w:hAnsi="Calibri" w:cs="Calibri"/>
          <w:color w:val="000000"/>
          <w:lang w:eastAsia="en-AU"/>
        </w:rPr>
        <w:t>theta)$</w:t>
      </w:r>
      <w:proofErr w:type="gramEnd"/>
      <w:r w:rsidRPr="004262DD">
        <w:rPr>
          <w:rFonts w:ascii="Calibri" w:eastAsia="Times New Roman" w:hAnsi="Calibri" w:cs="Calibri"/>
          <w:color w:val="000000"/>
          <w:lang w:eastAsia="en-AU"/>
        </w:rPr>
        <w:t xml:space="preserve"> where $\theta$ is the angle between the beam axis and a line from the interaction point to the centre of the cell. </w:t>
      </w:r>
    </w:p>
    <w:p w14:paraId="5771EA7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SPD and PS provide information for particle identification of electrons and photons, which are used by the L0 trigger. The PS information is used to separate electrons, photons, and pions, while the SPD measurements contribute to the separation of neutral particles from charged ones. Additionally, the overall SPD hit multiplicity provides an estimation of the charged particles multiplicity in each beam crossing. This information can be used to veto complex events that would be difficult to analyse offline</w:t>
      </w:r>
    </w:p>
    <w:p w14:paraId="483C73A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ECAL measures the transverse energy of electrons, </w:t>
      </w:r>
      <w:proofErr w:type="gramStart"/>
      <w:r w:rsidRPr="004262DD">
        <w:rPr>
          <w:rFonts w:ascii="Calibri" w:eastAsia="Times New Roman" w:hAnsi="Calibri" w:cs="Calibri"/>
          <w:color w:val="000000"/>
          <w:lang w:eastAsia="en-AU"/>
        </w:rPr>
        <w:t>photons</w:t>
      </w:r>
      <w:proofErr w:type="gramEnd"/>
      <w:r w:rsidRPr="004262DD">
        <w:rPr>
          <w:rFonts w:ascii="Calibri" w:eastAsia="Times New Roman" w:hAnsi="Calibri" w:cs="Calibri"/>
          <w:color w:val="000000"/>
          <w:lang w:eastAsia="en-AU"/>
        </w:rPr>
        <w:t xml:space="preserve"> and neutral pions for the L0 trigger, which is relevant to select B decays with an electron or photon in the final state The offline reconstruction and energy computation of neutral pions, electrons and photons also make use of the information from the PS detector. The HCAL provides a measurement of the transverse energy of hadrons for the L0 trigger in order to select a large variety of D and B decays with a charged hadron (</w:t>
      </w:r>
      <w:proofErr w:type="gramStart"/>
      <w:r w:rsidRPr="004262DD">
        <w:rPr>
          <w:rFonts w:ascii="Calibri" w:eastAsia="Times New Roman" w:hAnsi="Calibri" w:cs="Calibri"/>
          <w:color w:val="000000"/>
          <w:lang w:eastAsia="en-AU"/>
        </w:rPr>
        <w:t>e.g.</w:t>
      </w:r>
      <w:proofErr w:type="gramEnd"/>
      <w:r w:rsidRPr="004262DD">
        <w:rPr>
          <w:rFonts w:ascii="Calibri" w:eastAsia="Times New Roman" w:hAnsi="Calibri" w:cs="Calibri"/>
          <w:color w:val="000000"/>
          <w:lang w:eastAsia="en-AU"/>
        </w:rPr>
        <w:t xml:space="preserve"> a kaon, pion, or proton) in the final state. The SPD, PS, ECAL and HCAL are all used for offline particle identification</w:t>
      </w:r>
    </w:p>
    <w:p w14:paraId="522CBB42"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Calorimeter L0 Trigger</w:t>
      </w:r>
    </w:p>
    <w:p w14:paraId="06120ECF" w14:textId="77777777" w:rsidR="00DA16CF" w:rsidRDefault="004262DD" w:rsidP="00DA16CF">
      <w:pPr>
        <w:spacing w:line="240" w:lineRule="auto"/>
        <w:rPr>
          <w:rFonts w:ascii="Cambria Math" w:eastAsia="Times New Roman" w:hAnsi="Cambria Math" w:cs="Times New Roman"/>
          <w:color w:val="000000"/>
          <w:lang w:eastAsia="en-AU"/>
        </w:rPr>
      </w:pPr>
      <w:r w:rsidRPr="004262DD">
        <w:rPr>
          <w:rFonts w:ascii="Calibri" w:eastAsia="Times New Roman" w:hAnsi="Calibri" w:cs="Calibri"/>
          <w:color w:val="000000"/>
          <w:lang w:eastAsia="en-AU"/>
        </w:rPr>
        <w:t>The calorimeter part of the L0-trigger computes the transverse energy deposited in clusters of 2 x 2 cells of the same size (or equivalently of the same region). Three different types of clusters or “trigger candidates” are built up by the L0-Calorimeter. The information from the different calorimeter sub-detectors allows to build through a trigger validation system. The first type is a “hadron” candidate, which is a HCAL cluster, with the transverse energy equal to:</w:t>
      </w:r>
      <w:r w:rsidRPr="004262DD">
        <w:rPr>
          <w:rFonts w:ascii="Calibri" w:eastAsia="Times New Roman" w:hAnsi="Calibri" w:cs="Calibri"/>
          <w:color w:val="000000"/>
          <w:lang w:eastAsia="en-AU"/>
        </w:rPr>
        <w:br/>
      </w:r>
    </w:p>
    <w:p w14:paraId="1918AFAA" w14:textId="1D2D7289" w:rsidR="004262DD" w:rsidRPr="004262DD" w:rsidRDefault="00000000" w:rsidP="00DA16CF">
      <w:pPr>
        <w:spacing w:line="240" w:lineRule="auto"/>
        <w:jc w:val="center"/>
        <w:rPr>
          <w:rFonts w:ascii="Times New Roman" w:eastAsia="Times New Roman" w:hAnsi="Times New Roman" w:cs="Times New Roman"/>
          <w:sz w:val="24"/>
          <w:szCs w:val="24"/>
          <w:lang w:eastAsia="en-AU"/>
        </w:rPr>
      </w:pPr>
      <m:oMathPara>
        <m:oMath>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E</m:t>
              </m:r>
            </m:e>
            <m:sub>
              <m:r>
                <w:rPr>
                  <w:rFonts w:ascii="Cambria Math" w:eastAsia="Times New Roman" w:hAnsi="Cambria Math" w:cs="Times New Roman"/>
                  <w:color w:val="000000"/>
                  <w:lang w:eastAsia="en-AU"/>
                </w:rPr>
                <m:t>hadron</m:t>
              </m:r>
            </m:sub>
          </m:sSub>
          <m:r>
            <w:rPr>
              <w:rFonts w:ascii="Cambria Math" w:eastAsia="Times New Roman" w:hAnsi="Cambria Math" w:cs="Times New Roman"/>
              <w:color w:val="000000"/>
              <w:lang w:eastAsia="en-AU"/>
            </w:rPr>
            <m:t>=</m:t>
          </m:r>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E</m:t>
              </m:r>
            </m:e>
            <m:sub>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T</m:t>
                  </m:r>
                </m:e>
                <m:sub>
                  <m:r>
                    <w:rPr>
                      <w:rFonts w:ascii="Cambria Math" w:eastAsia="Times New Roman" w:hAnsi="Cambria Math" w:cs="Times New Roman"/>
                      <w:color w:val="000000"/>
                      <w:lang w:eastAsia="en-AU"/>
                    </w:rPr>
                    <m:t>HCAL</m:t>
                  </m:r>
                </m:sub>
              </m:sSub>
            </m:sub>
          </m:sSub>
          <m:r>
            <w:rPr>
              <w:rFonts w:ascii="Cambria Math" w:eastAsia="Times New Roman" w:hAnsi="Cambria Math" w:cs="Times New Roman"/>
              <w:color w:val="000000"/>
              <w:lang w:eastAsia="en-AU"/>
            </w:rPr>
            <m:t>+</m:t>
          </m:r>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E</m:t>
              </m:r>
            </m:e>
            <m:sub>
              <m:sSub>
                <m:sSubPr>
                  <m:ctrlPr>
                    <w:rPr>
                      <w:rFonts w:ascii="Cambria Math" w:eastAsia="Times New Roman" w:hAnsi="Cambria Math" w:cs="Times New Roman"/>
                      <w:i/>
                      <w:color w:val="000000"/>
                      <w:lang w:eastAsia="en-AU"/>
                    </w:rPr>
                  </m:ctrlPr>
                </m:sSubPr>
                <m:e>
                  <m:r>
                    <w:rPr>
                      <w:rFonts w:ascii="Cambria Math" w:eastAsia="Times New Roman" w:hAnsi="Cambria Math" w:cs="Times New Roman"/>
                      <w:color w:val="000000"/>
                      <w:lang w:eastAsia="en-AU"/>
                    </w:rPr>
                    <m:t>T</m:t>
                  </m:r>
                </m:e>
                <m:sub>
                  <m:r>
                    <w:rPr>
                      <w:rFonts w:ascii="Cambria Math" w:eastAsia="Times New Roman" w:hAnsi="Cambria Math" w:cs="Times New Roman"/>
                      <w:color w:val="000000"/>
                      <w:lang w:eastAsia="en-AU"/>
                    </w:rPr>
                    <m:t>ECAL</m:t>
                  </m:r>
                </m:sub>
              </m:sSub>
            </m:sub>
          </m:sSub>
        </m:oMath>
      </m:oMathPara>
    </w:p>
    <w:p w14:paraId="6317DAAE" w14:textId="70D16C10"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second type is the “photon candidate” which is an ECAL cluster with 1 or 2 PS cells hit in front of the ECAL cluster with no hit in the SPD cells corresponding to the PS ones. In the central zone of the ECAL, due to the higher multiplicity, an ECAL cluster with 3 or 4 PS cells hit in front of it is also defined as a photon, </w:t>
      </w:r>
      <w:r w:rsidR="0010043D" w:rsidRPr="004262DD">
        <w:rPr>
          <w:rFonts w:ascii="Calibri" w:eastAsia="Times New Roman" w:hAnsi="Calibri" w:cs="Calibri"/>
          <w:color w:val="000000"/>
          <w:lang w:eastAsia="en-AU"/>
        </w:rPr>
        <w:t>to</w:t>
      </w:r>
      <w:r w:rsidRPr="004262DD">
        <w:rPr>
          <w:rFonts w:ascii="Calibri" w:eastAsia="Times New Roman" w:hAnsi="Calibri" w:cs="Calibri"/>
          <w:color w:val="000000"/>
          <w:lang w:eastAsia="en-AU"/>
        </w:rPr>
        <w:t xml:space="preserve"> increase the trigger efficiency. </w:t>
      </w:r>
    </w:p>
    <w:p w14:paraId="252D41D2"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third type of candidate is the “electron candidate” which is built with the same requirements concerning the PS hits as the photon candidate requiring in addition at least one SPD cell hit in front of the PS ones. The transverse energy of the photon and electron candidates is the transverse energy of the ECAL cluster. The transverse energy of these candidates is compared to a fixed threshold (3.5 GeV for hadrons, and 2.5 GeV for electrons and photons, in Run 1). Only events containing at least one candidate above these thresholds are sent to the software trigger for further processing. </w:t>
      </w:r>
    </w:p>
    <w:p w14:paraId="5442CB63" w14:textId="6B055CAC" w:rsidR="004262DD" w:rsidRPr="004262DD" w:rsidRDefault="004262DD" w:rsidP="004262DD">
      <w:pPr>
        <w:spacing w:line="240" w:lineRule="auto"/>
        <w:jc w:val="center"/>
        <w:rPr>
          <w:rFonts w:ascii="Times New Roman" w:eastAsia="Times New Roman" w:hAnsi="Times New Roman" w:cs="Times New Roman"/>
          <w:sz w:val="24"/>
          <w:szCs w:val="24"/>
          <w:lang w:eastAsia="en-AU"/>
        </w:rPr>
      </w:pPr>
      <w:r w:rsidRPr="004262DD">
        <w:rPr>
          <w:rFonts w:ascii="Calibri" w:eastAsia="Times New Roman" w:hAnsi="Calibri" w:cs="Calibri"/>
          <w:noProof/>
          <w:color w:val="000000"/>
          <w:bdr w:val="none" w:sz="0" w:space="0" w:color="auto" w:frame="1"/>
          <w:lang w:eastAsia="en-AU"/>
        </w:rPr>
        <w:drawing>
          <wp:inline distT="0" distB="0" distL="0" distR="0" wp14:anchorId="54334F51" wp14:editId="23220422">
            <wp:extent cx="477774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40" cy="2865120"/>
                    </a:xfrm>
                    <a:prstGeom prst="rect">
                      <a:avLst/>
                    </a:prstGeom>
                    <a:noFill/>
                    <a:ln>
                      <a:noFill/>
                    </a:ln>
                  </pic:spPr>
                </pic:pic>
              </a:graphicData>
            </a:graphic>
          </wp:inline>
        </w:drawing>
      </w:r>
    </w:p>
    <w:p w14:paraId="2181745A"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SPD and PS</w:t>
      </w:r>
    </w:p>
    <w:p w14:paraId="7E595CEF"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SPD and PS are walls of scintillator pads (cells) with a WLS fibre coil grooved inside for better light collection. The two walls are separated by a lead curtain with a thickness corresponding to 2.5 radiation lengths. The SPD and PS have in total 6016 cells each. Their readout is multi-anode photomultipliers (MA-PMT) of type “Hamamatsu 5900 M64”. </w:t>
      </w:r>
    </w:p>
    <w:p w14:paraId="454F3E86"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SPD delivers a binary information per cell, depending on the comparison of the energy deposited in the cell with a threshold. This is used to distinguish charged particles from neutral ones and, in association with the energy measured in the corresponding PS cells, helps photon and electron identification</w:t>
      </w:r>
    </w:p>
    <w:p w14:paraId="0C1E84B5"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ECAL</w:t>
      </w:r>
    </w:p>
    <w:p w14:paraId="09D5C80F"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ECAL thickness is of 25 radiation lengths to ensure the full containment of the high energy electromagnetic showers and to get an optimal energy resolution. The ECAL cells have a ‘shashlik’ structure, with scintillator (4 mm), and lead (2 mm) layers. The scintillation light readout is performed by Hamamatsu R7899-20 photomultipliers. The total number of cells is 6016</w:t>
      </w:r>
    </w:p>
    <w:p w14:paraId="6BD015FE" w14:textId="6951E5C6" w:rsidR="004262DD" w:rsidRDefault="004262DD" w:rsidP="00DA16CF">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Three regions have been labelled in the diagram below (inner, </w:t>
      </w:r>
      <w:proofErr w:type="gramStart"/>
      <w:r w:rsidRPr="004262DD">
        <w:rPr>
          <w:rFonts w:ascii="Calibri" w:eastAsia="Times New Roman" w:hAnsi="Calibri" w:cs="Calibri"/>
          <w:color w:val="000000"/>
          <w:lang w:eastAsia="en-AU"/>
        </w:rPr>
        <w:t>middle</w:t>
      </w:r>
      <w:proofErr w:type="gramEnd"/>
      <w:r w:rsidRPr="004262DD">
        <w:rPr>
          <w:rFonts w:ascii="Calibri" w:eastAsia="Times New Roman" w:hAnsi="Calibri" w:cs="Calibri"/>
          <w:color w:val="000000"/>
          <w:lang w:eastAsia="en-AU"/>
        </w:rPr>
        <w:t xml:space="preserve"> and outer), depending on the distance of the cells to the beam-pipe. The cell size is such that the SPD-PS-ECAL system is projective, as seen from the interaction point. In addition, the outer dimensions of the ECAL match </w:t>
      </w:r>
      <w:proofErr w:type="spellStart"/>
      <w:r w:rsidRPr="004262DD">
        <w:rPr>
          <w:rFonts w:ascii="Calibri" w:eastAsia="Times New Roman" w:hAnsi="Calibri" w:cs="Calibri"/>
          <w:color w:val="000000"/>
          <w:lang w:eastAsia="en-AU"/>
        </w:rPr>
        <w:t>projectively</w:t>
      </w:r>
      <w:proofErr w:type="spellEnd"/>
      <w:r w:rsidRPr="004262DD">
        <w:rPr>
          <w:rFonts w:ascii="Calibri" w:eastAsia="Times New Roman" w:hAnsi="Calibri" w:cs="Calibri"/>
          <w:color w:val="000000"/>
          <w:lang w:eastAsia="en-AU"/>
        </w:rPr>
        <w:t xml:space="preserve"> with those of the tracking system $\theta_{x} &lt; 300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and $\theta_{y} &lt; 250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while the inner angular acceptance of ECAL is limited to $\theta_{</w:t>
      </w:r>
      <w:proofErr w:type="spellStart"/>
      <w:r w:rsidRPr="004262DD">
        <w:rPr>
          <w:rFonts w:ascii="Calibri" w:eastAsia="Times New Roman" w:hAnsi="Calibri" w:cs="Calibri"/>
          <w:color w:val="000000"/>
          <w:lang w:eastAsia="en-AU"/>
        </w:rPr>
        <w:t>x,y</w:t>
      </w:r>
      <w:proofErr w:type="spellEnd"/>
      <w:r w:rsidRPr="004262DD">
        <w:rPr>
          <w:rFonts w:ascii="Calibri" w:eastAsia="Times New Roman" w:hAnsi="Calibri" w:cs="Calibri"/>
          <w:color w:val="000000"/>
          <w:lang w:eastAsia="en-AU"/>
        </w:rPr>
        <w:t xml:space="preserve">} &gt; 25 </w:t>
      </w:r>
      <w:proofErr w:type="spellStart"/>
      <w:r w:rsidRPr="004262DD">
        <w:rPr>
          <w:rFonts w:ascii="Calibri" w:eastAsia="Times New Roman" w:hAnsi="Calibri" w:cs="Calibri"/>
          <w:color w:val="000000"/>
          <w:lang w:eastAsia="en-AU"/>
        </w:rPr>
        <w:t>mrad</w:t>
      </w:r>
      <w:proofErr w:type="spellEnd"/>
      <w:r w:rsidRPr="004262DD">
        <w:rPr>
          <w:rFonts w:ascii="Calibri" w:eastAsia="Times New Roman" w:hAnsi="Calibri" w:cs="Calibri"/>
          <w:color w:val="000000"/>
          <w:lang w:eastAsia="en-AU"/>
        </w:rPr>
        <w:t xml:space="preserve">$ around the beam pipe, where $\theta_{x}$ and $\theta_{y}$ are the polar angles in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frame in which (</w:t>
      </w:r>
      <w:proofErr w:type="spellStart"/>
      <w:r w:rsidRPr="004262DD">
        <w:rPr>
          <w:rFonts w:ascii="Calibri" w:eastAsia="Times New Roman" w:hAnsi="Calibri" w:cs="Calibri"/>
          <w:color w:val="000000"/>
          <w:lang w:eastAsia="en-AU"/>
        </w:rPr>
        <w:t>x,y</w:t>
      </w:r>
      <w:proofErr w:type="spellEnd"/>
      <w:r w:rsidRPr="004262DD">
        <w:rPr>
          <w:rFonts w:ascii="Calibri" w:eastAsia="Times New Roman" w:hAnsi="Calibri" w:cs="Calibri"/>
          <w:color w:val="000000"/>
          <w:lang w:eastAsia="en-AU"/>
        </w:rPr>
        <w:t>) is the plane perpendicular to the beam axis. The ECAL front surface is located approximately 12.5 m from the interaction point.  The energy resolution of the ECAL for a given cell, measured with test-beam electrons is parameterised as:</w:t>
      </w:r>
    </w:p>
    <w:p w14:paraId="05E8C190" w14:textId="77777777" w:rsidR="00DA16CF" w:rsidRPr="004262DD" w:rsidRDefault="00DA16CF" w:rsidP="00DA16CF">
      <w:pPr>
        <w:spacing w:line="240" w:lineRule="auto"/>
        <w:rPr>
          <w:rFonts w:ascii="Times New Roman" w:eastAsia="Times New Roman" w:hAnsi="Times New Roman" w:cs="Times New Roman"/>
          <w:sz w:val="24"/>
          <w:szCs w:val="24"/>
          <w:lang w:eastAsia="en-AU"/>
        </w:rPr>
      </w:pPr>
    </w:p>
    <w:p w14:paraId="28E8A9FC"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Here, $E$ is the particle energy in GeV, $\theta$ is the angle between the beam axis and a line from the </w:t>
      </w:r>
      <w:proofErr w:type="spellStart"/>
      <w:r w:rsidRPr="004262DD">
        <w:rPr>
          <w:rFonts w:ascii="Calibri" w:eastAsia="Times New Roman" w:hAnsi="Calibri" w:cs="Calibri"/>
          <w:color w:val="000000"/>
          <w:lang w:eastAsia="en-AU"/>
        </w:rPr>
        <w:t>LHCb</w:t>
      </w:r>
      <w:proofErr w:type="spellEnd"/>
      <w:r w:rsidRPr="004262DD">
        <w:rPr>
          <w:rFonts w:ascii="Calibri" w:eastAsia="Times New Roman" w:hAnsi="Calibri" w:cs="Calibri"/>
          <w:color w:val="000000"/>
          <w:lang w:eastAsia="en-AU"/>
        </w:rPr>
        <w:t xml:space="preserve"> interaction point and the centre of the ECAL cell. The second contribution is the constant term (corresponding to mis-calibration, non-linearities, leakage, etc.) while the third one is due to the noise of the electronics, which is evaluated on average to 1.2 </w:t>
      </w:r>
      <w:r w:rsidRPr="004262DD">
        <w:rPr>
          <w:rFonts w:ascii="Calibri" w:eastAsia="Times New Roman" w:hAnsi="Calibri" w:cs="Calibri"/>
          <w:b/>
          <w:bCs/>
          <w:color w:val="000000"/>
          <w:lang w:eastAsia="en-AU"/>
        </w:rPr>
        <w:t>ADC counts</w:t>
      </w:r>
    </w:p>
    <w:p w14:paraId="00CDF401"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b/>
          <w:bCs/>
          <w:color w:val="000000"/>
          <w:u w:val="single"/>
          <w:lang w:eastAsia="en-AU"/>
        </w:rPr>
        <w:t>HCAL</w:t>
      </w:r>
    </w:p>
    <w:p w14:paraId="78167A77"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 xml:space="preserve">The HCAL thickness is 5.6 interaction lengths due to space limitations. A sampling structure was chosen, made from iron and scintillating tiles, as absorber and active material, respectively. The special feature of this sampling structure is the orientation of the scintillating tiles that are placed parallel to the beam axis, thereby enhancing the light collection compared to a perpendicular orientation of the scintillating tiles. The same photomultiplier type as in ECAL (Hamamatsu R7899-20) is used for the readout. The HCAL has in total 1488 cells </w:t>
      </w:r>
      <w:proofErr w:type="gramStart"/>
      <w:r w:rsidRPr="004262DD">
        <w:rPr>
          <w:rFonts w:ascii="Calibri" w:eastAsia="Times New Roman" w:hAnsi="Calibri" w:cs="Calibri"/>
          <w:color w:val="000000"/>
          <w:lang w:eastAsia="en-AU"/>
        </w:rPr>
        <w:t>all of</w:t>
      </w:r>
      <w:proofErr w:type="gramEnd"/>
      <w:r w:rsidRPr="004262DD">
        <w:rPr>
          <w:rFonts w:ascii="Calibri" w:eastAsia="Times New Roman" w:hAnsi="Calibri" w:cs="Calibri"/>
          <w:color w:val="000000"/>
          <w:lang w:eastAsia="en-AU"/>
        </w:rPr>
        <w:t xml:space="preserve"> the same dimension located in two regions (inner and outer), depending on the distance to the beam pipe. </w:t>
      </w:r>
    </w:p>
    <w:p w14:paraId="1165189A"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The energy resolution, measured in test beams, with pions is:</w:t>
      </w:r>
    </w:p>
    <w:p w14:paraId="6E6D8437" w14:textId="77777777" w:rsidR="004262DD" w:rsidRPr="004262DD" w:rsidRDefault="004262DD" w:rsidP="004262DD">
      <w:pPr>
        <w:spacing w:line="240" w:lineRule="auto"/>
        <w:jc w:val="center"/>
        <w:rPr>
          <w:rFonts w:ascii="Times New Roman" w:eastAsia="Times New Roman" w:hAnsi="Times New Roman" w:cs="Times New Roman"/>
          <w:sz w:val="24"/>
          <w:szCs w:val="24"/>
          <w:lang w:eastAsia="en-AU"/>
        </w:rPr>
      </w:pPr>
      <w:r w:rsidRPr="004262DD">
        <w:rPr>
          <w:rFonts w:ascii="Cambria Math" w:eastAsia="Times New Roman" w:hAnsi="Cambria Math" w:cs="Times New Roman"/>
          <w:color w:val="000000"/>
          <w:lang w:eastAsia="en-AU"/>
        </w:rPr>
        <w:t>EE=675%E92%</w:t>
      </w:r>
    </w:p>
    <w:p w14:paraId="7A761BA0" w14:textId="77777777" w:rsidR="004262DD" w:rsidRPr="004262DD" w:rsidRDefault="004262DD" w:rsidP="004262DD">
      <w:pPr>
        <w:spacing w:line="240" w:lineRule="auto"/>
        <w:rPr>
          <w:rFonts w:ascii="Times New Roman" w:eastAsia="Times New Roman" w:hAnsi="Times New Roman" w:cs="Times New Roman"/>
          <w:sz w:val="24"/>
          <w:szCs w:val="24"/>
          <w:lang w:eastAsia="en-AU"/>
        </w:rPr>
      </w:pPr>
      <w:r w:rsidRPr="004262DD">
        <w:rPr>
          <w:rFonts w:ascii="Calibri" w:eastAsia="Times New Roman" w:hAnsi="Calibri" w:cs="Calibri"/>
          <w:color w:val="000000"/>
          <w:lang w:eastAsia="en-AU"/>
        </w:rPr>
        <w:t>Here, $E$ is the deposited energy in GeV</w:t>
      </w:r>
    </w:p>
    <w:p w14:paraId="200ECDD3" w14:textId="7DDE5793" w:rsidR="004262DD" w:rsidRPr="004262DD" w:rsidRDefault="004262DD" w:rsidP="004262DD">
      <w:pPr>
        <w:spacing w:line="240" w:lineRule="auto"/>
        <w:jc w:val="center"/>
        <w:rPr>
          <w:rFonts w:ascii="Times New Roman" w:eastAsia="Times New Roman" w:hAnsi="Times New Roman" w:cs="Times New Roman"/>
          <w:sz w:val="24"/>
          <w:szCs w:val="24"/>
          <w:lang w:eastAsia="en-AU"/>
        </w:rPr>
      </w:pPr>
      <w:r w:rsidRPr="004262DD">
        <w:rPr>
          <w:rFonts w:ascii="Calibri" w:eastAsia="Times New Roman" w:hAnsi="Calibri" w:cs="Calibri"/>
          <w:noProof/>
          <w:color w:val="000000"/>
          <w:bdr w:val="none" w:sz="0" w:space="0" w:color="auto" w:frame="1"/>
          <w:lang w:eastAsia="en-AU"/>
        </w:rPr>
        <w:drawing>
          <wp:inline distT="0" distB="0" distL="0" distR="0" wp14:anchorId="4F76BDAD" wp14:editId="317F5EDB">
            <wp:extent cx="3864408" cy="260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874" cy="2608378"/>
                    </a:xfrm>
                    <a:prstGeom prst="rect">
                      <a:avLst/>
                    </a:prstGeom>
                    <a:noFill/>
                    <a:ln>
                      <a:noFill/>
                    </a:ln>
                  </pic:spPr>
                </pic:pic>
              </a:graphicData>
            </a:graphic>
          </wp:inline>
        </w:drawing>
      </w:r>
    </w:p>
    <w:p w14:paraId="72FAE580" w14:textId="4852D539" w:rsidR="004262DD" w:rsidRDefault="004262DD" w:rsidP="004262DD">
      <w:pPr>
        <w:spacing w:line="240" w:lineRule="auto"/>
        <w:rPr>
          <w:rFonts w:ascii="Calibri" w:eastAsia="Times New Roman" w:hAnsi="Calibri" w:cs="Calibri"/>
          <w:b/>
          <w:bCs/>
          <w:color w:val="000000"/>
          <w:u w:val="single"/>
          <w:lang w:eastAsia="en-AU"/>
        </w:rPr>
      </w:pPr>
      <w:r w:rsidRPr="004262DD">
        <w:rPr>
          <w:rFonts w:ascii="Calibri" w:eastAsia="Times New Roman" w:hAnsi="Calibri" w:cs="Calibri"/>
          <w:b/>
          <w:bCs/>
          <w:color w:val="000000"/>
          <w:u w:val="single"/>
          <w:lang w:eastAsia="en-AU"/>
        </w:rPr>
        <w:t>Magnet</w:t>
      </w:r>
    </w:p>
    <w:p w14:paraId="2CCAD7AE" w14:textId="0016AA3F" w:rsidR="00CD2BA0" w:rsidRDefault="00CD2BA0"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The </w:t>
      </w:r>
      <w:proofErr w:type="spellStart"/>
      <w:r>
        <w:rPr>
          <w:rFonts w:ascii="Calibri" w:eastAsia="Times New Roman" w:hAnsi="Calibri" w:cs="Calibri"/>
          <w:color w:val="000000"/>
          <w:lang w:eastAsia="en-AU"/>
        </w:rPr>
        <w:t>LHCb</w:t>
      </w:r>
      <w:proofErr w:type="spellEnd"/>
      <w:r>
        <w:rPr>
          <w:rFonts w:ascii="Calibri" w:eastAsia="Times New Roman" w:hAnsi="Calibri" w:cs="Calibri"/>
          <w:color w:val="000000"/>
          <w:lang w:eastAsia="en-AU"/>
        </w:rPr>
        <w:t xml:space="preserve"> dipole magnet is a </w:t>
      </w:r>
      <w:r>
        <w:rPr>
          <w:rFonts w:ascii="Calibri" w:eastAsia="Times New Roman" w:hAnsi="Calibri" w:cs="Calibri"/>
          <w:b/>
          <w:bCs/>
          <w:color w:val="000000"/>
          <w:lang w:eastAsia="en-AU"/>
        </w:rPr>
        <w:t xml:space="preserve">warm magnet </w:t>
      </w:r>
      <w:r>
        <w:rPr>
          <w:rFonts w:ascii="Calibri" w:eastAsia="Times New Roman" w:hAnsi="Calibri" w:cs="Calibri"/>
          <w:color w:val="000000"/>
          <w:lang w:eastAsia="en-AU"/>
        </w:rPr>
        <w:t>(</w:t>
      </w:r>
      <w:proofErr w:type="gramStart"/>
      <w:r>
        <w:rPr>
          <w:rFonts w:ascii="Calibri" w:eastAsia="Times New Roman" w:hAnsi="Calibri" w:cs="Calibri"/>
          <w:color w:val="000000"/>
          <w:lang w:eastAsia="en-AU"/>
        </w:rPr>
        <w:t>i.e.</w:t>
      </w:r>
      <w:proofErr w:type="gramEnd"/>
      <w:r>
        <w:rPr>
          <w:rFonts w:ascii="Calibri" w:eastAsia="Times New Roman" w:hAnsi="Calibri" w:cs="Calibri"/>
          <w:color w:val="000000"/>
          <w:lang w:eastAsia="en-AU"/>
        </w:rPr>
        <w:t xml:space="preserve"> it does not require cryogenic cooling) that consists of two trapezoidal coils bent at 45 degrees on the two transverse sides, arranged inside an iron yoke of window-frame configuration. It is responsible for the production of magnetic fields for momentum measurements</w:t>
      </w:r>
      <w:r w:rsidR="002F7F35">
        <w:rPr>
          <w:rFonts w:ascii="Calibri" w:eastAsia="Times New Roman" w:hAnsi="Calibri" w:cs="Calibri"/>
          <w:color w:val="000000"/>
          <w:lang w:eastAsia="en-AU"/>
        </w:rPr>
        <w:t xml:space="preserve"> of charged particles</w:t>
      </w:r>
      <w:r>
        <w:rPr>
          <w:rFonts w:ascii="Calibri" w:eastAsia="Times New Roman" w:hAnsi="Calibri" w:cs="Calibri"/>
          <w:color w:val="000000"/>
          <w:lang w:eastAsia="en-AU"/>
        </w:rPr>
        <w:t xml:space="preserve">. </w:t>
      </w:r>
      <w:r w:rsidR="002F7F35">
        <w:rPr>
          <w:rFonts w:ascii="Calibri" w:eastAsia="Times New Roman" w:hAnsi="Calibri" w:cs="Calibri"/>
          <w:color w:val="000000"/>
          <w:lang w:eastAsia="en-AU"/>
        </w:rPr>
        <w:t xml:space="preserve">The measurements cover the forward acceptance of $\pm 250$ </w:t>
      </w:r>
      <w:proofErr w:type="spellStart"/>
      <w:r w:rsidR="002F7F35">
        <w:rPr>
          <w:rFonts w:ascii="Calibri" w:eastAsia="Times New Roman" w:hAnsi="Calibri" w:cs="Calibri"/>
          <w:color w:val="000000"/>
          <w:lang w:eastAsia="en-AU"/>
        </w:rPr>
        <w:t>mrad</w:t>
      </w:r>
      <w:proofErr w:type="spellEnd"/>
      <w:r w:rsidR="002F7F35">
        <w:rPr>
          <w:rFonts w:ascii="Calibri" w:eastAsia="Times New Roman" w:hAnsi="Calibri" w:cs="Calibri"/>
          <w:color w:val="000000"/>
          <w:lang w:eastAsia="en-AU"/>
        </w:rPr>
        <w:t xml:space="preserve"> vertically and of $\pm 300 $ </w:t>
      </w:r>
      <w:proofErr w:type="spellStart"/>
      <w:r w:rsidR="002F7F35">
        <w:rPr>
          <w:rFonts w:ascii="Calibri" w:eastAsia="Times New Roman" w:hAnsi="Calibri" w:cs="Calibri"/>
          <w:color w:val="000000"/>
          <w:lang w:eastAsia="en-AU"/>
        </w:rPr>
        <w:t>mrad</w:t>
      </w:r>
      <w:proofErr w:type="spellEnd"/>
      <w:r w:rsidR="002F7F35">
        <w:rPr>
          <w:rFonts w:ascii="Calibri" w:eastAsia="Times New Roman" w:hAnsi="Calibri" w:cs="Calibri"/>
          <w:color w:val="000000"/>
          <w:lang w:eastAsia="en-AU"/>
        </w:rPr>
        <w:t xml:space="preserve"> horizontally. The magnet consists of saddle-shaped coils in a window-frame yoke with sloping poles in order to match the required detector </w:t>
      </w:r>
      <w:proofErr w:type="gramStart"/>
      <w:r w:rsidR="002F7F35">
        <w:rPr>
          <w:rFonts w:ascii="Calibri" w:eastAsia="Times New Roman" w:hAnsi="Calibri" w:cs="Calibri"/>
          <w:color w:val="000000"/>
          <w:lang w:eastAsia="en-AU"/>
        </w:rPr>
        <w:t>acceptance, and</w:t>
      </w:r>
      <w:proofErr w:type="gramEnd"/>
      <w:r w:rsidR="002F7F35">
        <w:rPr>
          <w:rFonts w:ascii="Calibri" w:eastAsia="Times New Roman" w:hAnsi="Calibri" w:cs="Calibri"/>
          <w:color w:val="000000"/>
          <w:lang w:eastAsia="en-AU"/>
        </w:rPr>
        <w:t xml:space="preserve"> has an integrated field of 4 Tm for tracks of 10 m length. This</w:t>
      </w:r>
      <w:r w:rsidR="006A46DB">
        <w:rPr>
          <w:rFonts w:ascii="Calibri" w:eastAsia="Times New Roman" w:hAnsi="Calibri" w:cs="Calibri"/>
          <w:color w:val="000000"/>
          <w:lang w:eastAsia="en-AU"/>
        </w:rPr>
        <w:t xml:space="preserve"> choice has been made to accommodate for the contrasting needs for a field level inside the RICHs envelope less than 2mT and a field as high as possible in the regions between the vertex locator and the Trigger Tracker tracking station. The external (top and bottom) parts of the magnet yoke were made up of laminated low carbon steel plates, of thickness 100 mm, and a maximum weight of 25 tons The magnet yoke weighs 1500 tons and </w:t>
      </w:r>
      <w:r w:rsidR="000C4914">
        <w:rPr>
          <w:rFonts w:ascii="Calibri" w:eastAsia="Times New Roman" w:hAnsi="Calibri" w:cs="Calibri"/>
          <w:color w:val="000000"/>
          <w:lang w:eastAsia="en-AU"/>
        </w:rPr>
        <w:t xml:space="preserve">contains two identical coils of conical saddle shape, weighing 54 tons, that are placed symmetrically to each other. Each coil consists of 15 pancakes arranged in five triplets and produced of pure Al-99.7 hollow conductor in an annealed state with a central cooling tunnel of 25 mm diameter. Cast aluminium clamps are used to hold together the triplets making up the coils, and to support and centre the coils with respect to the measured mechanical axis of the iron poles with tolerances of several </w:t>
      </w:r>
      <w:proofErr w:type="spellStart"/>
      <w:r w:rsidR="000C4914">
        <w:rPr>
          <w:rFonts w:ascii="Calibri" w:eastAsia="Times New Roman" w:hAnsi="Calibri" w:cs="Calibri"/>
          <w:color w:val="000000"/>
          <w:lang w:eastAsia="en-AU"/>
        </w:rPr>
        <w:t>millimeters</w:t>
      </w:r>
      <w:proofErr w:type="spellEnd"/>
      <w:r w:rsidR="000C4914">
        <w:rPr>
          <w:rFonts w:ascii="Calibri" w:eastAsia="Times New Roman" w:hAnsi="Calibri" w:cs="Calibri"/>
          <w:color w:val="000000"/>
          <w:lang w:eastAsia="en-AU"/>
        </w:rPr>
        <w:t xml:space="preserve">. </w:t>
      </w:r>
    </w:p>
    <w:p w14:paraId="008DE146" w14:textId="100544BF" w:rsidR="000C4914" w:rsidRPr="00CD2BA0" w:rsidRDefault="000C4914" w:rsidP="004262DD">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The magnet is operated via the Magnet Control System, which controls the power supply and monitors a number of operational parameters (</w:t>
      </w:r>
      <w:proofErr w:type="gramStart"/>
      <w:r>
        <w:rPr>
          <w:rFonts w:ascii="Calibri" w:eastAsia="Times New Roman" w:hAnsi="Calibri" w:cs="Calibri"/>
          <w:color w:val="000000"/>
          <w:lang w:eastAsia="en-AU"/>
        </w:rPr>
        <w:t>e.g.</w:t>
      </w:r>
      <w:proofErr w:type="gramEnd"/>
      <w:r>
        <w:rPr>
          <w:rFonts w:ascii="Calibri" w:eastAsia="Times New Roman" w:hAnsi="Calibri" w:cs="Calibri"/>
          <w:color w:val="000000"/>
          <w:lang w:eastAsia="en-AU"/>
        </w:rPr>
        <w:t xml:space="preserve"> temperatures, voltages, water flow, mechanical</w:t>
      </w:r>
      <w:r w:rsidR="00672C95">
        <w:rPr>
          <w:rFonts w:ascii="Calibri" w:eastAsia="Times New Roman" w:hAnsi="Calibri" w:cs="Calibri"/>
          <w:color w:val="000000"/>
          <w:lang w:eastAsia="en-AU"/>
        </w:rPr>
        <w:t xml:space="preserve"> movements, etc.). A second, fully independent system, the Magnet Safety System (MSS) ensures the safe operation and acts autonomously by enforcing a discharge of the magnet if critical parameters are outside the operating range</w:t>
      </w:r>
    </w:p>
    <w:p w14:paraId="1C45FFFB" w14:textId="77777777" w:rsidR="002451FA" w:rsidRPr="004262DD" w:rsidRDefault="002451FA" w:rsidP="004262DD">
      <w:pPr>
        <w:spacing w:line="240" w:lineRule="auto"/>
        <w:rPr>
          <w:rFonts w:ascii="Times New Roman" w:eastAsia="Times New Roman" w:hAnsi="Times New Roman" w:cs="Times New Roman"/>
          <w:sz w:val="24"/>
          <w:szCs w:val="24"/>
          <w:lang w:eastAsia="en-AU"/>
        </w:rPr>
      </w:pPr>
    </w:p>
    <w:p w14:paraId="50701C17" w14:textId="6A4C4F1C" w:rsidR="00ED12B8" w:rsidRDefault="004262DD" w:rsidP="002F7F35">
      <w:pPr>
        <w:jc w:val="center"/>
      </w:pPr>
      <w:r w:rsidRPr="004262DD">
        <w:rPr>
          <w:rFonts w:ascii="Times New Roman" w:eastAsia="Times New Roman" w:hAnsi="Times New Roman" w:cs="Times New Roman"/>
          <w:sz w:val="24"/>
          <w:szCs w:val="24"/>
          <w:lang w:eastAsia="en-AU"/>
        </w:rPr>
        <w:br/>
      </w:r>
      <w:r w:rsidR="002F7F35" w:rsidRPr="002F7F35">
        <w:rPr>
          <w:rFonts w:ascii="Times New Roman" w:eastAsia="Times New Roman" w:hAnsi="Times New Roman" w:cs="Times New Roman"/>
          <w:noProof/>
          <w:sz w:val="24"/>
          <w:szCs w:val="24"/>
          <w:lang w:eastAsia="en-AU"/>
        </w:rPr>
        <w:drawing>
          <wp:inline distT="0" distB="0" distL="0" distR="0" wp14:anchorId="3B3AF7D8" wp14:editId="72CE95D8">
            <wp:extent cx="3604260" cy="302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148" cy="3035545"/>
                    </a:xfrm>
                    <a:prstGeom prst="rect">
                      <a:avLst/>
                    </a:prstGeom>
                  </pic:spPr>
                </pic:pic>
              </a:graphicData>
            </a:graphic>
          </wp:inline>
        </w:drawing>
      </w:r>
    </w:p>
    <w:p w14:paraId="24271EDF" w14:textId="77777777" w:rsidR="005579D1" w:rsidRDefault="005579D1" w:rsidP="00B434C0"/>
    <w:sectPr w:rsidR="00557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F60"/>
    <w:multiLevelType w:val="multilevel"/>
    <w:tmpl w:val="F35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60C5F"/>
    <w:multiLevelType w:val="multilevel"/>
    <w:tmpl w:val="821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96E60"/>
    <w:multiLevelType w:val="multilevel"/>
    <w:tmpl w:val="62AA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79275">
    <w:abstractNumId w:val="2"/>
  </w:num>
  <w:num w:numId="2" w16cid:durableId="1830945112">
    <w:abstractNumId w:val="1"/>
  </w:num>
  <w:num w:numId="3" w16cid:durableId="122960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262DD"/>
    <w:rsid w:val="000C4914"/>
    <w:rsid w:val="0010043D"/>
    <w:rsid w:val="001D7ED4"/>
    <w:rsid w:val="002451FA"/>
    <w:rsid w:val="002F7F35"/>
    <w:rsid w:val="00345F46"/>
    <w:rsid w:val="004262DD"/>
    <w:rsid w:val="004E6226"/>
    <w:rsid w:val="005579D1"/>
    <w:rsid w:val="00672C95"/>
    <w:rsid w:val="006A46DB"/>
    <w:rsid w:val="00750C5B"/>
    <w:rsid w:val="00764F75"/>
    <w:rsid w:val="00B434C0"/>
    <w:rsid w:val="00CD2BA0"/>
    <w:rsid w:val="00DA16CF"/>
    <w:rsid w:val="00DB2C41"/>
    <w:rsid w:val="00DF420D"/>
    <w:rsid w:val="00ED12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7B09"/>
  <w15:chartTrackingRefBased/>
  <w15:docId w15:val="{EADD6010-656C-465A-B80A-5B6E30B7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2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DA16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6042F30A-D5CE-4DDA-99CF-51140FF0AC43}"/>
      </w:docPartPr>
      <w:docPartBody>
        <w:p w:rsidR="00B40A87" w:rsidRDefault="004D3736">
          <w:r w:rsidRPr="0007267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6"/>
    <w:rsid w:val="001B06F4"/>
    <w:rsid w:val="004C1703"/>
    <w:rsid w:val="004D3736"/>
    <w:rsid w:val="00B40A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37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Pemmaraju</dc:creator>
  <cp:keywords/>
  <dc:description/>
  <cp:lastModifiedBy>Subrahmanya Pemmaraju</cp:lastModifiedBy>
  <cp:revision>6</cp:revision>
  <dcterms:created xsi:type="dcterms:W3CDTF">2022-07-31T09:12:00Z</dcterms:created>
  <dcterms:modified xsi:type="dcterms:W3CDTF">2022-08-09T12:58:00Z</dcterms:modified>
</cp:coreProperties>
</file>