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(i.e. quarks are always found in bound states). Quarks are ‘skewed’ for weak interactions (i.e.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$d’,s’ and b’$ are linear combinations of $d, s$, and $b$, and $V_{CKM}$ represents the coupling strengths between the quarks ($V_{ud}</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 xml:space="preserve">represents the coupling of $u$ to $d$ (i.e.$d\rightarrow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2D4889"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(Egede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 xml:space="preserve">process and is forbidden in the SM at tree level. However, at one-loop level, the FCNC quark level process like $b\rightarrow s\gamma$ is permitted. Examples of such decays include $B^{0}\rightarrow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2D4889"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Here, the operators $\mathcal{O}_{i}$ encode the low energy behaviour and the complex valued Wilson coefficients $C_{i}$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is: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(i.e.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theory, but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QCD Lagrangian</w:t>
      </w:r>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2D4889"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Lagrangian possesses a U(3)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2D4889"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SU(3)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2D4889"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 xml:space="preserve">$c$ is a constant, $\Lambda$ represents a QCD scale and $\delta_{ff’}$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$SU(3)_{V}$).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xml:space="preserve">. The ninth boson appears to be missing, the only candidate for which at this stage is the $\eta’$ (with a mass of 958 MeV). For a relativistic field theory for scalars, the relevant mass parameter is $m^{2}$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2D4889"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2D4889"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$m\rightarrow 0$ (i.e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2D4889"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$F_{\mu\nu}$ represents the QCD field strength and $\tilde{F} = \frac{1}{2}\epsilon_{\mu\nu\rho\sigma}F^{\rho\sigma}$</w:t>
      </w:r>
      <w:r w:rsidR="00E74FFE">
        <w:rPr>
          <w:rFonts w:ascii="Calibri" w:eastAsia="Times New Roman" w:hAnsi="Calibri" w:cs="Calibri"/>
          <w:color w:val="000000"/>
          <w:lang w:eastAsia="en-AU"/>
        </w:rPr>
        <w:t xml:space="preserve">. F and its dual are related by an exchange of $\vec{E}$ and $\vec{B}$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An additional term containing depending on an angle $\theta$ can be added to the QCD Lagrangian,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 xml:space="preserve">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(i.e. leptons and quarks). </w:t>
      </w:r>
      <w:r w:rsidR="00446344">
        <w:rPr>
          <w:rFonts w:ascii="Calibri" w:eastAsia="Times New Roman" w:hAnsi="Calibri" w:cs="Calibri"/>
          <w:color w:val="000000"/>
          <w:lang w:eastAsia="en-AU"/>
        </w:rPr>
        <w:t xml:space="preserve">The interactions of ALPs with these SM particles preserves a global shift symmetry $a\rightarrow a+c$,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$g_{aW}$ to the SU(2)_{W} gauge-boson field strengths, $W^{b}_{\mu\nu}$, and Lagrangian:</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 xml:space="preserve">$\tilde{W}^{b\mu\nu}$ is the dual field-strength tensor. This coupling leads to the production of ALPs at one-loop level in the process $B\rightarrow K^{*}a$, where the ALP is emitted from an internal $W^{\pm}$ boson. Electroweak symmetry breaking and the resulting gauge boson mixing generates an ALP coupling to a pair of photons, and the branching fraction for $a\rightarrow\gamma\gamma$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$B\rightarrow K*A, A\rightarrow\gamma\gamma$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(Tongyan, Lin, Shuve paper)</w:t>
      </w:r>
      <w:r w:rsidR="00706AFC">
        <w:rPr>
          <w:rFonts w:ascii="Calibri" w:eastAsia="Times New Roman" w:hAnsi="Calibri" w:cs="Calibri"/>
          <w:color w:val="000000"/>
          <w:lang w:eastAsia="en-AU"/>
        </w:rPr>
        <w:t>, and thereby exploit the coupling of ALPs to W+- bosons, which can give rise to observable signatures. This ALP model possesses a zero coupling with gluons. The effective Lagrangian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\epsilon^{\mu\nu\alpha\beta}W_{\alpha\beta}/2$)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level, but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to pairs of gauge bosons (specifically photons), the following decay channels were deemed to be promising for the detection of ALPs at the LHCb:</w:t>
      </w:r>
    </w:p>
    <w:p w14:paraId="69B5ACBC" w14:textId="1ECC124A" w:rsidR="00617089" w:rsidRPr="00617089" w:rsidRDefault="002D4889"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2: The LHCb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LHCb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has a $b\bar{b}$ production cross-section of approximately 500 microbarn at an energy of 13 TeV, and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Data taking at the LHCb detector is divided into fills and runs. A fill is a single period of collisions delimited by the announcement of stable beam conditions and the dumping of the beam by the LHCb; a phase which typically lasts approximately 12 hours. A fill is further divided into runs, each of hich lasts a maximum of one hour.In order to benefit from the high event rate at the LHCb,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Structure of the LHCb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is a single arm spectrometer with a forward angular coverage from approximately 10 mrad to 300 mrad in the bending (non-bending) plane and covering the pseudorapidity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preshower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VELO is a silicon microstrip detector that surrounds the proton-proton interaction region in the LHCb experiment. It provides measurements of track coordinates that enable the identification of the primary interaction and secondary vertices, which are characteristic of b and c-hadron decays. The VELO was designed to optimise the following aspects of the LHCb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The VELO is designed to cover the forward region such that all tracks inside the nominal LHCb acceptance of 15-300 mrad cross at least three VELO stations. In this way, the detector fully reconstructs roughly 27% of $b\bar{b}$ production for 7 TeV proton-proton centre of mass collisions, while covering just 1.8% of the solid angle. The VELO also reconstructs tracks in the forward and backward directions hich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LHCb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LHCb physics programme. Most analyses rely heavily on selection cuts on the distance with which tracks approach the primary vertex (i.e.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two Ring Image Cherenkov (RICH) detectors, named RICH1 and RICH2 are responsible for the identification of charged hadrons (e.g. pions, kaons, and protons). RICH1 covers the low and intermediate momentum region (i.e. 2-40 GeV/c) over the full spectrometer angular acceptance of 25-300 mrad, while RICH2 covers the high-momentum region 15-100 GeV/c over the angular range 15-120 mrad.</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region, and is located immediately downstream of the VELO described above. RICH 2 on the other hand, is placed downstream of the magnet, since the high momentum tracks that it measures are less influenced by the magnetic field. Both detectors consist of entrance and exit windows that serve as links to the VELO and magnet respectively. These windows form a foam sandwich construction, and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Each cell of the ECAL and HCAL is equipped with a PMT and the corresponding FEB converts the signal to an energy value E, in order to obtain a constant dynamic range in transverse energy over the calorimeter plane. The transverse energy, $E_{T}$ is defined as $E_{T} = E\sin(\theta)$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measures the transverse energy of electrons, photons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(e.g.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2D4889"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Three regions have been labelled in the diagram below (inner, middle and outer), depending on the distance of the cells to the beam-pipe. The cell size is such that the SPD-PS-ECAL system is projective, as seen from the interaction point. In addition, the outer dimensions of the ECAL match projectively with those of the tracking system $\theta_{x} &lt; 300 mrad$ and $\theta_{y} &lt; 250 mrad$ while the inner angular acceptance of ECAL is limited to $\theta_{x,y} &gt; 25 mrad$ around the beam pipe, where $\theta_{x}$ and $\theta_{y}$ are the polar angles in the LHCb frame in which (x,y)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LHCb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LHCb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(i.e.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The measurements cover the forward acceptance of $\pm 250$ mrad vertically and of $\pm 300 $ mrad horizontally. The magnet consists of saddle-shaped coils in a window-frame yoke with sloping poles in order to match the required detector acceptance, and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millimeters.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(e.g.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The LHCb Data Flow</w:t>
      </w:r>
    </w:p>
    <w:p w14:paraId="36187CD9" w14:textId="60BB1F5F" w:rsidR="00742B0E" w:rsidRDefault="00304F74" w:rsidP="00373ADC">
      <w:pPr>
        <w:rPr>
          <w:lang w:eastAsia="en-AU"/>
        </w:rPr>
      </w:pPr>
      <w:r>
        <w:rPr>
          <w:lang w:eastAsia="en-AU"/>
        </w:rPr>
        <w:t>The LHCb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LHCb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analysis, but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(LHCb default) and POWHEG, and for controlling EvtGen and Geant4.</w:t>
      </w:r>
      <w:r w:rsidR="00B401DD">
        <w:rPr>
          <w:lang w:eastAsia="en-AU"/>
        </w:rPr>
        <w:t xml:space="preserve"> EvtGen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(i.e.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(i.e. alignment) and generally have a lifetime that corresponds to the processing of many events</w:t>
      </w:r>
      <w:r w:rsidR="0084675E">
        <w:t xml:space="preserve">. The Transient Histogram Store contains statistical data, which typically have a lifetime corresponding to the data processed in a complete job. Although the stores behave slightly differently, particularly with respect to the data lifetime (e.g.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 xml:space="preserve">The organisation of the data within the transient data stores is “tree-like”, similar to a Unix file system, thereby allowing data items that are logically related (e.g.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detectors and fueled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uni-directional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The Pythia program is a standard tool for the generation of high-energy collisions, comprising a coherent set of physics models for the evolution from a few-body hard process to a complex multihadronic final state. It contains a library of hard processes and models for initial and final-state parton showers, multiple parton-parton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The hard processes, parton showers, multiple interactions, beam remnants, and hadronization (i.e.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Only a very small set of partons/particles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The generation of all subsequent activity on the partonic level, involving initial and final-state radiation, multiple parton-parton interactions and the structure of beam remnants. Much of the phenomena are under an (approximate) perturbative control., but nonperturbative physics aspects are also important. At the conclusion of this step, a realistic partonic structure has been obtained (e.g.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parton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The three subdivisions of tasks are not rigid- parton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The most important piece of information is that of the event record, which is represented by the ‘Event’ class, of which there are two objects, namely process (which only covers the few partons of the “hard” process of point 1), and another called event, which covers the full story from the incoming beams to the final hadrons. A small Info class keeps track of useful, unique information, such as the kinematic variables fo the hard process</w:t>
      </w:r>
    </w:p>
    <w:p w14:paraId="06AF4204" w14:textId="43DFBA84" w:rsidR="003313E8" w:rsidRDefault="003313E8" w:rsidP="00B401DD">
      <w:pPr>
        <w:rPr>
          <w:lang w:eastAsia="en-AU"/>
        </w:rPr>
      </w:pPr>
      <w:r>
        <w:rPr>
          <w:lang w:eastAsia="en-AU"/>
        </w:rPr>
        <w:t>There are also two incoming BeamParticles that keep track of the partonic content left in the beams after several interactions and initial-state radiations, and rescales parton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integer, double, </w:t>
      </w:r>
      <w:r w:rsidR="002C1514">
        <w:rPr>
          <w:lang w:eastAsia="en-AU"/>
        </w:rPr>
        <w:t>b</w:t>
      </w:r>
      <w:r>
        <w:rPr>
          <w:lang w:eastAsia="en-AU"/>
        </w:rPr>
        <w:t>oolean, and string variabes that can be changed by the user to steer the performance of Pythia, except that ParticleDataTable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r>
        <w:rPr>
          <w:b/>
          <w:bCs/>
          <w:u w:val="single"/>
          <w:lang w:eastAsia="en-AU"/>
        </w:rPr>
        <w:t>EvtGen</w:t>
      </w:r>
    </w:p>
    <w:p w14:paraId="331502C9" w14:textId="3E4A12CB" w:rsidR="00FE7EFD" w:rsidRDefault="00FE7EFD" w:rsidP="00B401DD">
      <w:pPr>
        <w:rPr>
          <w:lang w:eastAsia="en-AU"/>
        </w:rPr>
      </w:pPr>
      <w:r>
        <w:rPr>
          <w:lang w:eastAsia="en-AU"/>
        </w:rPr>
        <w:t xml:space="preserve">The EvtGen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rate, and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As with the other decays, kinematics are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EvtGen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2D4889"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Various decay models are implemented in the EvtGen package, including those for specific CP violating channels, Dalitz decay models, mixing and semileptonic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transversity amplitudes are specified</w:t>
      </w:r>
    </w:p>
    <w:p w14:paraId="7548A32A" w14:textId="3E92BB08" w:rsidR="004668A2" w:rsidRPr="004668A2" w:rsidRDefault="004668A2" w:rsidP="004668A2">
      <w:pPr>
        <w:ind w:left="360"/>
        <w:rPr>
          <w:rFonts w:eastAsiaTheme="minorEastAsia"/>
          <w:lang w:eastAsia="en-AU"/>
        </w:rPr>
      </w:pPr>
      <w:r>
        <w:rPr>
          <w:rFonts w:eastAsiaTheme="minorEastAsia"/>
          <w:lang w:eastAsia="en-AU"/>
        </w:rPr>
        <w:t xml:space="preserve">Semileptonic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EvtGen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The LHCb simulation framework Gauss is built, as all the other LHCb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o control the generation of collisions (in most cases, proton-proton collisions) with Pythia, where a specific LHCb configuration is used. Gauss then makes use of EvtGen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24DD1E74" w:rsidR="00A56936"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51E5FFBD" w14:textId="4323C745" w:rsidR="00716D59" w:rsidRDefault="00716D59" w:rsidP="00716D59">
      <w:pPr>
        <w:pStyle w:val="Subtitle"/>
        <w:rPr>
          <w:b/>
          <w:bCs/>
          <w:i/>
          <w:iCs/>
          <w:lang w:eastAsia="en-AU"/>
        </w:rPr>
      </w:pPr>
      <w:r>
        <w:rPr>
          <w:b/>
          <w:bCs/>
          <w:i/>
          <w:iCs/>
          <w:lang w:eastAsia="en-AU"/>
        </w:rPr>
        <w:t>Chapter Three: Experimental Methods and Analysis</w:t>
      </w:r>
    </w:p>
    <w:p w14:paraId="06B8CA78" w14:textId="11F30212" w:rsidR="00E7762F" w:rsidRPr="00D8526F" w:rsidRDefault="00D8526F" w:rsidP="00E7762F">
      <w:pPr>
        <w:pStyle w:val="ListParagraph"/>
        <w:numPr>
          <w:ilvl w:val="0"/>
          <w:numId w:val="21"/>
        </w:numPr>
        <w:rPr>
          <w:lang w:eastAsia="en-AU"/>
        </w:rPr>
      </w:pPr>
      <w:r>
        <w:rPr>
          <w:lang w:eastAsia="en-AU"/>
        </w:rPr>
        <w:t>Commence with a preliminary analysis that is intended to describe the viability of the search for ALPs within the decay mode described above. This involves setting an upper bound on the branching fraction of the decay mode of interest and comparing this to the limits</w:t>
      </w:r>
      <w:r w:rsidR="00E7762F">
        <w:rPr>
          <w:lang w:eastAsia="en-AU"/>
        </w:rPr>
        <w:t xml:space="preserve"> set by other collider searches to determine whether these can be improved upon</w:t>
      </w:r>
    </w:p>
    <w:p w14:paraId="703C880C" w14:textId="6CBB067E" w:rsidR="00716D59" w:rsidRDefault="00716D59" w:rsidP="00716D59">
      <w:pPr>
        <w:pStyle w:val="ListParagraph"/>
        <w:numPr>
          <w:ilvl w:val="0"/>
          <w:numId w:val="20"/>
        </w:numPr>
        <w:rPr>
          <w:lang w:eastAsia="en-AU"/>
        </w:rPr>
      </w:pPr>
      <w:r>
        <w:rPr>
          <w:lang w:eastAsia="en-AU"/>
        </w:rPr>
        <w:t>In general, the analysis is based on a search for resonance structures in the diphoton invariant mass spectrum. This is done with events that have been selected on the basis of specific topologies and kinematic constraints</w:t>
      </w:r>
    </w:p>
    <w:p w14:paraId="4D62AA3F" w14:textId="77777777" w:rsidR="00716D59" w:rsidRPr="00716D59" w:rsidRDefault="00716D59" w:rsidP="00716D59">
      <w:pPr>
        <w:pStyle w:val="ListParagraph"/>
        <w:numPr>
          <w:ilvl w:val="0"/>
          <w:numId w:val="20"/>
        </w:numPr>
        <w:rPr>
          <w:rFonts w:eastAsiaTheme="minorEastAsia"/>
          <w:lang w:eastAsia="en-AU"/>
        </w:rPr>
      </w:pPr>
      <w:r>
        <w:rPr>
          <w:lang w:eastAsia="en-AU"/>
        </w:rPr>
        <w:t>The maximal mass of ALPs searched for in this way must not exceed:</w:t>
      </w:r>
      <w:r>
        <w:rPr>
          <w:lang w:eastAsia="en-AU"/>
        </w:rPr>
        <w:br/>
      </w:r>
      <m:oMathPara>
        <m:oMath>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A</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B</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K</m:t>
              </m:r>
            </m:sub>
          </m:sSub>
          <m:r>
            <w:rPr>
              <w:rFonts w:ascii="Cambria Math" w:hAnsi="Cambria Math"/>
              <w:lang w:eastAsia="en-AU"/>
            </w:rPr>
            <m:t xml:space="preserve"> = 4785.58 MeV</m:t>
          </m:r>
          <m:r>
            <m:rPr>
              <m:lit/>
            </m:rPr>
            <w:rPr>
              <w:rFonts w:ascii="Cambria Math" w:hAnsi="Cambria Math"/>
              <w:lang w:eastAsia="en-AU"/>
            </w:rPr>
            <m:t>/</m:t>
          </m:r>
          <m:r>
            <w:rPr>
              <w:rFonts w:ascii="Cambria Math" w:hAnsi="Cambria Math"/>
              <w:lang w:eastAsia="en-AU"/>
            </w:rPr>
            <m:t>c</m:t>
          </m:r>
        </m:oMath>
      </m:oMathPara>
    </w:p>
    <w:p w14:paraId="5DF50C14" w14:textId="34B67849" w:rsidR="00716D59" w:rsidRPr="00716D59" w:rsidRDefault="00716D59" w:rsidP="00716D59">
      <w:pPr>
        <w:pStyle w:val="ListParagraph"/>
        <w:numPr>
          <w:ilvl w:val="0"/>
          <w:numId w:val="20"/>
        </w:numPr>
        <w:rPr>
          <w:rFonts w:eastAsiaTheme="minorEastAsia"/>
          <w:lang w:eastAsia="en-AU"/>
        </w:rPr>
      </w:pPr>
      <w:r>
        <w:rPr>
          <w:rFonts w:eastAsiaTheme="minorEastAsia"/>
          <w:lang w:eastAsia="en-AU"/>
        </w:rPr>
        <w:t xml:space="preserve">First step = event selection, where events can be distinguished on the basis of various kinematic and shape variables. This step is first performed on data that has been simulated at the generator level (using the software tools described in Chapter 2) </w:t>
      </w:r>
    </w:p>
    <w:p w14:paraId="2D719FA6" w14:textId="61223E10" w:rsidR="00716D59" w:rsidRDefault="00716D59" w:rsidP="00716D59">
      <w:pPr>
        <w:pStyle w:val="ListParagraph"/>
        <w:numPr>
          <w:ilvl w:val="0"/>
          <w:numId w:val="20"/>
        </w:numPr>
        <w:rPr>
          <w:rFonts w:eastAsiaTheme="minorEastAsia"/>
          <w:lang w:eastAsia="en-AU"/>
        </w:rPr>
      </w:pPr>
      <w:r>
        <w:rPr>
          <w:rFonts w:eastAsiaTheme="minorEastAsia"/>
          <w:lang w:eastAsia="en-AU"/>
        </w:rPr>
        <w:t>This optimised event selection algorithm is then checked for consi</w:t>
      </w:r>
      <w:r w:rsidR="00EE0420">
        <w:rPr>
          <w:rFonts w:eastAsiaTheme="minorEastAsia"/>
          <w:lang w:eastAsia="en-AU"/>
        </w:rPr>
        <w:t>/</w:t>
      </w:r>
      <w:r>
        <w:rPr>
          <w:rFonts w:eastAsiaTheme="minorEastAsia"/>
          <w:lang w:eastAsia="en-AU"/>
        </w:rPr>
        <w:t>stency using a real data controlled sample, in order to validate that the MC simulation accurately models the data</w:t>
      </w:r>
    </w:p>
    <w:p w14:paraId="12CEF268" w14:textId="5BADFC9F" w:rsidR="00716D59" w:rsidRDefault="00716D59" w:rsidP="00716D59">
      <w:pPr>
        <w:pStyle w:val="ListParagraph"/>
        <w:numPr>
          <w:ilvl w:val="0"/>
          <w:numId w:val="20"/>
        </w:numPr>
        <w:rPr>
          <w:rFonts w:eastAsiaTheme="minorEastAsia"/>
          <w:lang w:eastAsia="en-AU"/>
        </w:rPr>
      </w:pPr>
      <w:r>
        <w:rPr>
          <w:rFonts w:eastAsiaTheme="minorEastAsia"/>
          <w:lang w:eastAsia="en-AU"/>
        </w:rPr>
        <w:t xml:space="preserve">One can then deduce an appropriate Probability Density Function (PDF) that models the background and the signal. The signal PDF is obtained from MC samples, while the background is modelled by the real data from the control sample. </w:t>
      </w:r>
    </w:p>
    <w:p w14:paraId="5D352A8B" w14:textId="47CCCD76" w:rsidR="00D86CAC" w:rsidRDefault="00D86CAC" w:rsidP="00716D59">
      <w:pPr>
        <w:pStyle w:val="ListParagraph"/>
        <w:numPr>
          <w:ilvl w:val="0"/>
          <w:numId w:val="20"/>
        </w:numPr>
        <w:rPr>
          <w:rFonts w:eastAsiaTheme="minorEastAsia"/>
          <w:lang w:eastAsia="en-AU"/>
        </w:rPr>
      </w:pPr>
      <w:r>
        <w:rPr>
          <w:rFonts w:eastAsiaTheme="minorEastAsia"/>
          <w:lang w:eastAsia="en-AU"/>
        </w:rPr>
        <w:t>The signal yield can then be extracted by performing a fit to the data, following numerous checks of the credibility of the background model</w:t>
      </w:r>
      <w:r w:rsidR="00D8526F">
        <w:rPr>
          <w:rFonts w:eastAsiaTheme="minorEastAsia"/>
          <w:lang w:eastAsia="en-AU"/>
        </w:rPr>
        <w:t xml:space="preserve"> and the consistency of the signal and background fit </w:t>
      </w:r>
      <w:r w:rsidR="00E7762F">
        <w:rPr>
          <w:rFonts w:eastAsiaTheme="minorEastAsia"/>
          <w:lang w:eastAsia="en-AU"/>
        </w:rPr>
        <w:t>procedures.</w:t>
      </w:r>
    </w:p>
    <w:p w14:paraId="2959F69B" w14:textId="32A31B99" w:rsidR="00716D59" w:rsidRDefault="00D8526F" w:rsidP="00D8526F">
      <w:pPr>
        <w:pStyle w:val="ListParagraph"/>
        <w:numPr>
          <w:ilvl w:val="0"/>
          <w:numId w:val="20"/>
        </w:numPr>
        <w:rPr>
          <w:rFonts w:eastAsiaTheme="minorEastAsia"/>
          <w:lang w:eastAsia="en-AU"/>
        </w:rPr>
      </w:pPr>
      <w:r>
        <w:rPr>
          <w:rFonts w:eastAsiaTheme="minorEastAsia"/>
          <w:lang w:eastAsia="en-AU"/>
        </w:rPr>
        <w:t xml:space="preserve">The final step is to estimate systematic </w:t>
      </w:r>
      <w:r w:rsidR="00E7762F">
        <w:rPr>
          <w:rFonts w:eastAsiaTheme="minorEastAsia"/>
          <w:lang w:eastAsia="en-AU"/>
        </w:rPr>
        <w:t>errors.</w:t>
      </w:r>
    </w:p>
    <w:p w14:paraId="366689C2" w14:textId="0161305C" w:rsidR="00E7762F" w:rsidRDefault="00E7762F" w:rsidP="00E7762F">
      <w:pPr>
        <w:rPr>
          <w:rFonts w:eastAsiaTheme="minorEastAsia"/>
          <w:b/>
          <w:bCs/>
          <w:u w:val="single"/>
          <w:lang w:eastAsia="en-AU"/>
        </w:rPr>
      </w:pPr>
      <w:r>
        <w:rPr>
          <w:rFonts w:eastAsiaTheme="minorEastAsia"/>
          <w:b/>
          <w:bCs/>
          <w:u w:val="single"/>
          <w:lang w:eastAsia="en-AU"/>
        </w:rPr>
        <w:t>Preliminary Analysis</w:t>
      </w:r>
    </w:p>
    <w:p w14:paraId="5B039CCC" w14:textId="4A555468" w:rsidR="00E7762F" w:rsidRPr="00372AE0" w:rsidRDefault="00E7762F" w:rsidP="00372AE0">
      <w:pPr>
        <w:pStyle w:val="ListParagraph"/>
        <w:numPr>
          <w:ilvl w:val="0"/>
          <w:numId w:val="22"/>
        </w:numPr>
        <w:rPr>
          <w:rFonts w:eastAsiaTheme="minorEastAsia"/>
          <w:b/>
          <w:bCs/>
          <w:u w:val="single"/>
          <w:lang w:eastAsia="en-AU"/>
        </w:rPr>
      </w:pPr>
      <w:r>
        <w:rPr>
          <w:rFonts w:eastAsiaTheme="minorEastAsia"/>
          <w:lang w:eastAsia="en-AU"/>
        </w:rPr>
        <w:t>Used the similar radiative decay mode which has already been studied, namely B -&gt; K^*\gamma as a reference</w:t>
      </w:r>
    </w:p>
    <w:p w14:paraId="49EC7BDA" w14:textId="2ECCD461" w:rsidR="00372AE0" w:rsidRPr="00372AE0" w:rsidRDefault="00372AE0" w:rsidP="00372AE0">
      <w:pPr>
        <w:pStyle w:val="ListParagraph"/>
        <w:numPr>
          <w:ilvl w:val="0"/>
          <w:numId w:val="22"/>
        </w:numPr>
        <w:rPr>
          <w:rFonts w:eastAsiaTheme="minorEastAsia"/>
          <w:b/>
          <w:bCs/>
          <w:u w:val="single"/>
          <w:lang w:eastAsia="en-AU"/>
        </w:rPr>
      </w:pPr>
      <w:r>
        <w:rPr>
          <w:rFonts w:eastAsiaTheme="minorEastAsia"/>
          <w:lang w:eastAsia="en-AU"/>
        </w:rPr>
        <w:t>Used the relationship:</w:t>
      </w:r>
    </w:p>
    <w:p w14:paraId="457F14F0" w14:textId="0A283C7B" w:rsidR="00372AE0" w:rsidRDefault="002D4889" w:rsidP="00372AE0">
      <w:pPr>
        <w:pStyle w:val="ListParagraph"/>
        <w:jc w:val="center"/>
        <w:rPr>
          <w:rFonts w:eastAsiaTheme="minorEastAsia"/>
          <w:iCs/>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372AE0" w:rsidRPr="00372AE0">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372AE0" w:rsidRPr="00372AE0">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372AE0" w:rsidRPr="00372AE0">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44A4F966" w14:textId="216786B8" w:rsidR="00372AE0" w:rsidRDefault="00372AE0" w:rsidP="00372AE0">
      <w:pPr>
        <w:pStyle w:val="ListParagraph"/>
        <w:rPr>
          <w:lang w:eastAsia="en-AU"/>
        </w:rPr>
      </w:pPr>
      <w:r>
        <w:rPr>
          <w:lang w:eastAsia="en-AU"/>
        </w:rPr>
        <w:t xml:space="preserve"> To obtain an idea of how many signal candidates we can expect for the diphoton decay mode, and also to deduce an upper bound for the decay mode of interest to determine whether the analysis is viable</w:t>
      </w:r>
    </w:p>
    <w:p w14:paraId="13066BE5" w14:textId="49FC190B" w:rsidR="005D00A0" w:rsidRDefault="00372AE0" w:rsidP="005D00A0">
      <w:pPr>
        <w:pStyle w:val="ListParagraph"/>
        <w:numPr>
          <w:ilvl w:val="0"/>
          <w:numId w:val="22"/>
        </w:numPr>
        <w:rPr>
          <w:lang w:eastAsia="en-AU"/>
        </w:rPr>
      </w:pPr>
      <w:r>
        <w:rPr>
          <w:lang w:eastAsia="en-AU"/>
        </w:rPr>
        <w:t xml:space="preserve">These are </w:t>
      </w:r>
      <w:r>
        <w:rPr>
          <w:b/>
          <w:bCs/>
          <w:lang w:eastAsia="en-AU"/>
        </w:rPr>
        <w:t xml:space="preserve">generator-level simulations </w:t>
      </w:r>
      <w:r>
        <w:rPr>
          <w:lang w:eastAsia="en-AU"/>
        </w:rPr>
        <w:t>(i.e. only the particle simulation (Gauss), stripping (DaVinci), and the Analysis and Ntuple making (ROOT/DaVinci)) steps are executed in the above set of steps in the LHCb data flow). The full simulation is time consuming but far more detailed</w:t>
      </w:r>
      <w:r w:rsidR="005D00A0">
        <w:rPr>
          <w:lang w:eastAsia="en-AU"/>
        </w:rPr>
        <w:t>. Hence, one cannot yet deduce the value of the ratio of the reconstruction efficiencies in the above expression. In addition to this, the selection efficiency ratio has been assumed to be in the ideal situation (i.e. where this ratio is = 1). Hence why this can be assumed to be an upper bound on the number of diphoton events that one can expect to observe.</w:t>
      </w:r>
    </w:p>
    <w:p w14:paraId="3B2E598C" w14:textId="773FF08C" w:rsidR="005D00A0" w:rsidRDefault="005D00A0" w:rsidP="005D00A0">
      <w:pPr>
        <w:pStyle w:val="ListParagraph"/>
        <w:numPr>
          <w:ilvl w:val="0"/>
          <w:numId w:val="22"/>
        </w:numPr>
        <w:rPr>
          <w:lang w:eastAsia="en-AU"/>
        </w:rPr>
      </w:pPr>
      <w:r>
        <w:rPr>
          <w:lang w:eastAsia="en-AU"/>
        </w:rPr>
        <w:t>2000 generator-level MC events for each decay mode had been simulated to determine the ratio of geometric efficiencies. These values are obtained from the simulation logs of the respective decay modes (explain what each of the efficiencies mean)</w:t>
      </w:r>
    </w:p>
    <w:p w14:paraId="6AFC15B4" w14:textId="5E651EBE" w:rsidR="005D00A0" w:rsidRDefault="005D00A0" w:rsidP="005D00A0">
      <w:pPr>
        <w:pStyle w:val="ListParagraph"/>
        <w:numPr>
          <w:ilvl w:val="0"/>
          <w:numId w:val="22"/>
        </w:numPr>
        <w:rPr>
          <w:lang w:eastAsia="en-AU"/>
        </w:rPr>
      </w:pPr>
      <w:r>
        <w:rPr>
          <w:lang w:eastAsia="en-AU"/>
        </w:rPr>
        <w:t xml:space="preserve">Trigger efficiency was determined by </w:t>
      </w:r>
      <w:r w:rsidR="002957D6">
        <w:rPr>
          <w:lang w:eastAsia="en-AU"/>
        </w:rPr>
        <w:t>constructing plots of the minimum and maximum transverse energy of the diphoton spectrum (trigger threshold on a SINGLE photon = 2.6 GeV)</w:t>
      </w:r>
    </w:p>
    <w:p w14:paraId="6859381C" w14:textId="296BDB1E" w:rsidR="002957D6" w:rsidRDefault="002957D6" w:rsidP="005D00A0">
      <w:pPr>
        <w:pStyle w:val="ListParagraph"/>
        <w:numPr>
          <w:ilvl w:val="0"/>
          <w:numId w:val="22"/>
        </w:numPr>
        <w:rPr>
          <w:lang w:eastAsia="en-AU"/>
        </w:rPr>
      </w:pPr>
      <w:r>
        <w:rPr>
          <w:lang w:eastAsia="en-AU"/>
        </w:rPr>
        <w:t>Sought to investigate how this efficiency varies with different ALP masses, and also looked for how the proportion of photons above the threshold of 2.6 GeV varied as a function o</w:t>
      </w:r>
      <w:r w:rsidR="00157556">
        <w:rPr>
          <w:lang w:eastAsia="en-AU"/>
        </w:rPr>
        <w:t xml:space="preserve">f </w:t>
      </w:r>
      <w:r>
        <w:rPr>
          <w:lang w:eastAsia="en-AU"/>
        </w:rPr>
        <w:t>ALP mass</w:t>
      </w:r>
      <w:r w:rsidR="00157556" w:rsidRPr="00157556">
        <w:rPr>
          <w:noProof/>
          <w:lang w:eastAsia="en-AU"/>
        </w:rPr>
        <w:drawing>
          <wp:inline distT="0" distB="0" distL="0" distR="0" wp14:anchorId="27AA1663" wp14:editId="13E1A1C5">
            <wp:extent cx="4863100" cy="2370667"/>
            <wp:effectExtent l="0" t="0" r="0" b="0"/>
            <wp:docPr id="22" name="Picture 22">
              <a:extLst xmlns:a="http://schemas.openxmlformats.org/drawingml/2006/main">
                <a:ext uri="{FF2B5EF4-FFF2-40B4-BE49-F238E27FC236}">
                  <a16:creationId xmlns:a16="http://schemas.microsoft.com/office/drawing/2014/main" id="{C4BB4827-0EE9-141E-AE03-D000DC334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FF2B5EF4-FFF2-40B4-BE49-F238E27FC236}">
                          <a16:creationId xmlns:a16="http://schemas.microsoft.com/office/drawing/2014/main" id="{C4BB4827-0EE9-141E-AE03-D000DC334CE2}"/>
                        </a:ext>
                      </a:extLst>
                    </pic:cNvPr>
                    <pic:cNvPicPr>
                      <a:picLocks noChangeAspect="1"/>
                    </pic:cNvPicPr>
                  </pic:nvPicPr>
                  <pic:blipFill>
                    <a:blip r:embed="rId24"/>
                    <a:stretch>
                      <a:fillRect/>
                    </a:stretch>
                  </pic:blipFill>
                  <pic:spPr>
                    <a:xfrm>
                      <a:off x="0" y="0"/>
                      <a:ext cx="4881591" cy="2379681"/>
                    </a:xfrm>
                    <a:prstGeom prst="rect">
                      <a:avLst/>
                    </a:prstGeom>
                  </pic:spPr>
                </pic:pic>
              </a:graphicData>
            </a:graphic>
          </wp:inline>
        </w:drawing>
      </w:r>
    </w:p>
    <w:p w14:paraId="7E7141B1" w14:textId="70ED0E5C" w:rsidR="005D00A0" w:rsidRDefault="005D00A0" w:rsidP="005D00A0">
      <w:pPr>
        <w:ind w:left="360"/>
        <w:rPr>
          <w:lang w:eastAsia="en-AU"/>
        </w:rPr>
      </w:pPr>
    </w:p>
    <w:p w14:paraId="68EEFA55" w14:textId="623DF7D2" w:rsidR="005D00A0" w:rsidRDefault="00157556" w:rsidP="005D00A0">
      <w:pPr>
        <w:rPr>
          <w:lang w:eastAsia="en-AU"/>
        </w:rPr>
      </w:pPr>
      <w:r w:rsidRPr="00157556">
        <w:rPr>
          <w:noProof/>
          <w:lang w:eastAsia="en-AU"/>
        </w:rPr>
        <w:drawing>
          <wp:inline distT="0" distB="0" distL="0" distR="0" wp14:anchorId="7E591F8F" wp14:editId="12B11E6A">
            <wp:extent cx="5731510" cy="2840355"/>
            <wp:effectExtent l="0" t="0" r="0" b="0"/>
            <wp:docPr id="23" name="Picture 23" descr="Chart, scatter chart&#10;&#10;Description automatically generated">
              <a:extLst xmlns:a="http://schemas.openxmlformats.org/drawingml/2006/main">
                <a:ext uri="{FF2B5EF4-FFF2-40B4-BE49-F238E27FC236}">
                  <a16:creationId xmlns:a16="http://schemas.microsoft.com/office/drawing/2014/main" id="{C1D74302-6C4F-A043-1723-675A007FA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a:extLst>
                        <a:ext uri="{FF2B5EF4-FFF2-40B4-BE49-F238E27FC236}">
                          <a16:creationId xmlns:a16="http://schemas.microsoft.com/office/drawing/2014/main" id="{C1D74302-6C4F-A043-1723-675A007FA00D}"/>
                        </a:ext>
                      </a:extLst>
                    </pic:cNvPr>
                    <pic:cNvPicPr>
                      <a:picLocks noGrp="1" noChangeAspect="1"/>
                    </pic:cNvPicPr>
                  </pic:nvPicPr>
                  <pic:blipFill>
                    <a:blip r:embed="rId25"/>
                    <a:stretch>
                      <a:fillRect/>
                    </a:stretch>
                  </pic:blipFill>
                  <pic:spPr>
                    <a:xfrm>
                      <a:off x="0" y="0"/>
                      <a:ext cx="5731510" cy="2840355"/>
                    </a:xfrm>
                    <a:prstGeom prst="rect">
                      <a:avLst/>
                    </a:prstGeom>
                  </pic:spPr>
                </pic:pic>
              </a:graphicData>
            </a:graphic>
          </wp:inline>
        </w:drawing>
      </w:r>
    </w:p>
    <w:p w14:paraId="182D0CF3" w14:textId="77777777" w:rsidR="00372AE0" w:rsidRPr="00372AE0" w:rsidRDefault="00372AE0" w:rsidP="00372AE0">
      <w:pPr>
        <w:pStyle w:val="ListParagraph"/>
        <w:rPr>
          <w:lang w:eastAsia="en-AU"/>
        </w:rPr>
      </w:pPr>
    </w:p>
    <w:p w14:paraId="02FC5E2A" w14:textId="77777777" w:rsidR="00372AE0" w:rsidRPr="00157556" w:rsidRDefault="00372AE0" w:rsidP="00372AE0">
      <w:pPr>
        <w:rPr>
          <w:rFonts w:eastAsiaTheme="minorEastAsia"/>
          <w:b/>
          <w:bCs/>
          <w:lang w:eastAsia="en-AU"/>
        </w:rPr>
      </w:pPr>
    </w:p>
    <w:p w14:paraId="6B285C58" w14:textId="7F23525B" w:rsidR="00157556" w:rsidRPr="00157556" w:rsidRDefault="00157556" w:rsidP="00157556">
      <w:pPr>
        <w:pStyle w:val="ListParagraph"/>
        <w:numPr>
          <w:ilvl w:val="0"/>
          <w:numId w:val="23"/>
        </w:numPr>
        <w:rPr>
          <w:rFonts w:eastAsiaTheme="minorEastAsia"/>
          <w:b/>
          <w:bCs/>
          <w:i/>
          <w:iCs/>
        </w:rPr>
      </w:pPr>
      <w:r w:rsidRPr="00157556">
        <w:rPr>
          <w:rFonts w:eastAsiaTheme="minorEastAsia"/>
          <w:lang w:eastAsia="en-AU"/>
        </w:rPr>
        <w:t>Deduced a relationship between BR of two photon decay mode, coupling strength of ALP to W, and the mass of the ALP to obtain:</w:t>
      </w:r>
      <w:r w:rsidRPr="00157556">
        <w:rPr>
          <w:rFonts w:eastAsiaTheme="minorEastAsia"/>
          <w:lang w:eastAsia="en-AU"/>
        </w:rPr>
        <w:br/>
      </w:r>
      <m:oMathPara>
        <m:oMathParaPr>
          <m:jc m:val="centerGroup"/>
        </m:oMathParaPr>
        <m:oMath>
          <m:r>
            <m:rPr>
              <m:sty m:val="bi"/>
            </m:rPr>
            <w:rPr>
              <w:rFonts w:ascii="Cambria Math" w:hAnsi="Cambria Math"/>
            </w:rPr>
            <m:t>BR</m:t>
          </m:r>
          <m:d>
            <m:dPr>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B</m:t>
                  </m:r>
                </m:e>
                <m:sup>
                  <m:r>
                    <m:rPr>
                      <m:sty m:val="bi"/>
                    </m:rPr>
                    <w:rPr>
                      <w:rFonts w:ascii="Cambria Math" w:hAnsi="Cambria Math"/>
                    </w:rPr>
                    <m:t>0</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→γγ</m:t>
              </m:r>
            </m:e>
          </m:d>
          <m:r>
            <m:rPr>
              <m:sty m:val="bi"/>
            </m:rPr>
            <w:rPr>
              <w:rFonts w:ascii="Cambria Math" w:hAnsi="Cambria Math"/>
            </w:rPr>
            <m:t>= </m:t>
          </m:r>
          <m:d>
            <m:dPr>
              <m:ctrlPr>
                <w:rPr>
                  <w:rFonts w:ascii="Cambria Math" w:hAnsi="Cambria Math"/>
                  <w:b/>
                  <w:bCs/>
                  <w:i/>
                  <w:iCs/>
                </w:rPr>
              </m:ctrlPr>
            </m:dPr>
            <m:e>
              <m:f>
                <m:fPr>
                  <m:ctrlPr>
                    <w:rPr>
                      <w:rFonts w:ascii="Cambria Math" w:hAnsi="Cambria Math"/>
                      <w:b/>
                      <w:bCs/>
                      <w:i/>
                      <w:iCs/>
                    </w:rPr>
                  </m:ctrlPr>
                </m:fPr>
                <m:num>
                  <m:sSubSup>
                    <m:sSubSupPr>
                      <m:ctrlPr>
                        <w:rPr>
                          <w:rFonts w:ascii="Cambria Math" w:hAnsi="Cambria Math"/>
                          <w:b/>
                          <w:bCs/>
                          <w:i/>
                          <w:iCs/>
                        </w:rPr>
                      </m:ctrlPr>
                    </m:sSubSupPr>
                    <m:e>
                      <m:r>
                        <m:rPr>
                          <m:sty m:val="bi"/>
                        </m:rPr>
                        <w:rPr>
                          <w:rFonts w:ascii="Cambria Math" w:hAnsi="Cambria Math"/>
                        </w:rPr>
                        <m:t>M</m:t>
                      </m:r>
                    </m:e>
                    <m:sub>
                      <m:r>
                        <m:rPr>
                          <m:sty m:val="bi"/>
                        </m:rPr>
                        <w:rPr>
                          <w:rFonts w:ascii="Cambria Math" w:hAnsi="Cambria Math"/>
                        </w:rPr>
                        <m:t>B</m:t>
                      </m:r>
                    </m:sub>
                    <m:sup>
                      <m:r>
                        <m:rPr>
                          <m:sty m:val="bi"/>
                        </m:rPr>
                        <w:rPr>
                          <w:rFonts w:ascii="Cambria Math" w:hAnsi="Cambria Math"/>
                        </w:rPr>
                        <m:t>3</m:t>
                      </m:r>
                    </m:sup>
                  </m:sSubSup>
                </m:num>
                <m:den>
                  <m:r>
                    <m:rPr>
                      <m:sty m:val="bi"/>
                    </m:rPr>
                    <w:rPr>
                      <w:rFonts w:ascii="Cambria Math" w:hAnsi="Cambria Math"/>
                    </w:rPr>
                    <m:t>16</m:t>
                  </m:r>
                </m:den>
              </m:f>
              <m:sSup>
                <m:sSupPr>
                  <m:ctrlPr>
                    <w:rPr>
                      <w:rFonts w:ascii="Cambria Math" w:hAnsi="Cambria Math"/>
                      <w:b/>
                      <w:bCs/>
                      <w:i/>
                      <w:iCs/>
                    </w:rPr>
                  </m:ctrlPr>
                </m:sSupPr>
                <m:e>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abs</m:t>
                          </m:r>
                        </m:sub>
                      </m:sSub>
                    </m:e>
                  </m:d>
                </m:e>
                <m:sup>
                  <m:r>
                    <m:rPr>
                      <m:sty m:val="bi"/>
                    </m:rPr>
                    <w:rPr>
                      <w:rFonts w:ascii="Cambria Math" w:hAnsi="Cambria Math"/>
                    </w:rPr>
                    <m:t>2</m:t>
                  </m:r>
                </m:sup>
              </m:sSup>
              <m:sSubSup>
                <m:sSubSupPr>
                  <m:ctrlPr>
                    <w:rPr>
                      <w:rFonts w:ascii="Cambria Math" w:hAnsi="Cambria Math"/>
                      <w:b/>
                      <w:bCs/>
                      <w:i/>
                      <w:iCs/>
                    </w:rPr>
                  </m:ctrlPr>
                </m:sSubSupPr>
                <m:e>
                  <m:r>
                    <m:rPr>
                      <m:sty m:val="bi"/>
                    </m:rPr>
                    <w:rPr>
                      <w:rFonts w:ascii="Cambria Math" w:hAnsi="Cambria Math"/>
                    </w:rPr>
                    <m:t>A</m:t>
                  </m:r>
                </m:e>
                <m:sub>
                  <m:r>
                    <m:rPr>
                      <m:sty m:val="bi"/>
                    </m:rPr>
                    <w:rPr>
                      <w:rFonts w:ascii="Cambria Math" w:hAnsi="Cambria Math"/>
                    </w:rPr>
                    <m:t>0</m:t>
                  </m:r>
                </m:sub>
                <m:sup>
                  <m:r>
                    <m:rPr>
                      <m:sty m:val="bi"/>
                    </m:rPr>
                    <w:rPr>
                      <w:rFonts w:ascii="Cambria Math" w:hAnsi="Cambria Math"/>
                    </w:rPr>
                    <m:t>2</m:t>
                  </m:r>
                </m:sup>
              </m:sSubSup>
              <m:d>
                <m:dPr>
                  <m:ctrlPr>
                    <w:rPr>
                      <w:rFonts w:ascii="Cambria Math" w:hAnsi="Cambria Math"/>
                      <w:b/>
                      <w:bCs/>
                      <w:i/>
                      <w:iCs/>
                    </w:rPr>
                  </m:ctrlPr>
                </m:dPr>
                <m:e>
                  <m:sSubSup>
                    <m:sSubSupPr>
                      <m:ctrlPr>
                        <w:rPr>
                          <w:rFonts w:ascii="Cambria Math" w:hAnsi="Cambria Math"/>
                          <w:b/>
                          <w:bCs/>
                          <w:i/>
                          <w:iCs/>
                        </w:rPr>
                      </m:ctrlPr>
                    </m:sSubSupPr>
                    <m:e>
                      <m:r>
                        <m:rPr>
                          <m:sty m:val="bi"/>
                        </m:rPr>
                        <w:rPr>
                          <w:rFonts w:ascii="Cambria Math" w:hAnsi="Cambria Math"/>
                        </w:rPr>
                        <m:t>M</m:t>
                      </m:r>
                    </m:e>
                    <m:sub>
                      <m:r>
                        <m:rPr>
                          <m:sty m:val="bi"/>
                        </m:rPr>
                        <w:rPr>
                          <w:rFonts w:ascii="Cambria Math" w:hAnsi="Cambria Math"/>
                        </w:rPr>
                        <m:t>a</m:t>
                      </m:r>
                    </m:sub>
                    <m:sup>
                      <m:r>
                        <m:rPr>
                          <m:sty m:val="bi"/>
                        </m:rPr>
                        <w:rPr>
                          <w:rFonts w:ascii="Cambria Math" w:hAnsi="Cambria Math"/>
                        </w:rPr>
                        <m:t>2</m:t>
                      </m:r>
                    </m:sup>
                  </m:sSubSup>
                </m:e>
              </m:d>
              <m:sSubSup>
                <m:sSubSupPr>
                  <m:ctrlPr>
                    <w:rPr>
                      <w:rFonts w:ascii="Cambria Math" w:hAnsi="Cambria Math"/>
                      <w:b/>
                      <w:bCs/>
                      <w:i/>
                      <w:iCs/>
                    </w:rPr>
                  </m:ctrlPr>
                </m:sSubSupPr>
                <m:e>
                  <m:r>
                    <m:rPr>
                      <m:sty m:val="bi"/>
                    </m:rPr>
                    <w:rPr>
                      <w:rFonts w:ascii="Cambria Math" w:hAnsi="Cambria Math"/>
                    </w:rPr>
                    <m:t>λ</m:t>
                  </m:r>
                </m:e>
                <m:sub>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r>
                    <m:rPr>
                      <m:sty m:val="bi"/>
                    </m:rPr>
                    <w:rPr>
                      <w:rFonts w:ascii="Cambria Math" w:hAnsi="Cambria Math"/>
                    </w:rPr>
                    <m:t>a</m:t>
                  </m:r>
                </m:sub>
                <m:sup>
                  <m:f>
                    <m:fPr>
                      <m:ctrlPr>
                        <w:rPr>
                          <w:rFonts w:ascii="Cambria Math" w:hAnsi="Cambria Math"/>
                          <w:b/>
                          <w:bCs/>
                          <w:i/>
                          <w:iCs/>
                        </w:rPr>
                      </m:ctrlPr>
                    </m:fPr>
                    <m:num>
                      <m:r>
                        <m:rPr>
                          <m:sty m:val="bi"/>
                        </m:rPr>
                        <w:rPr>
                          <w:rFonts w:ascii="Cambria Math" w:hAnsi="Cambria Math"/>
                        </w:rPr>
                        <m:t>3</m:t>
                      </m:r>
                    </m:num>
                    <m:den>
                      <m:r>
                        <m:rPr>
                          <m:sty m:val="bi"/>
                        </m:rPr>
                        <w:rPr>
                          <w:rFonts w:ascii="Cambria Math" w:hAnsi="Cambria Math"/>
                        </w:rPr>
                        <m:t>2</m:t>
                      </m:r>
                    </m:den>
                  </m:f>
                </m:sup>
              </m:sSubSup>
            </m:e>
          </m:d>
          <m:sSub>
            <m:sSubPr>
              <m:ctrlPr>
                <w:rPr>
                  <w:rFonts w:ascii="Cambria Math" w:hAnsi="Cambria Math"/>
                  <w:b/>
                  <w:bCs/>
                  <w:i/>
                  <w:iCs/>
                </w:rPr>
              </m:ctrlPr>
            </m:sSubPr>
            <m:e>
              <m:r>
                <m:rPr>
                  <m:sty m:val="bi"/>
                </m:rPr>
                <w:rPr>
                  <w:rFonts w:ascii="Cambria Math" w:hAnsi="Cambria Math"/>
                </w:rPr>
                <m:t>τ</m:t>
              </m:r>
            </m:e>
            <m:sub>
              <m:sSup>
                <m:sSupPr>
                  <m:ctrlPr>
                    <w:rPr>
                      <w:rFonts w:ascii="Cambria Math" w:hAnsi="Cambria Math"/>
                      <w:b/>
                      <w:bCs/>
                      <w:i/>
                      <w:iCs/>
                    </w:rPr>
                  </m:ctrlPr>
                </m:sSupPr>
                <m:e>
                  <m:r>
                    <m:rPr>
                      <m:sty m:val="bi"/>
                    </m:rPr>
                    <w:rPr>
                      <w:rFonts w:ascii="Cambria Math" w:hAnsi="Cambria Math"/>
                    </w:rPr>
                    <m:t>B</m:t>
                  </m:r>
                </m:e>
                <m:sup>
                  <m:r>
                    <m:rPr>
                      <m:sty m:val="bi"/>
                    </m:rPr>
                    <w:rPr>
                      <w:rFonts w:ascii="Cambria Math" w:hAnsi="Cambria Math"/>
                    </w:rPr>
                    <m:t>0</m:t>
                  </m:r>
                </m:sup>
              </m:sSup>
            </m:sub>
          </m:sSub>
          <m:d>
            <m:dPr>
              <m:ctrlPr>
                <w:rPr>
                  <w:rFonts w:ascii="Cambria Math" w:hAnsi="Cambria Math"/>
                  <w:b/>
                  <w:bCs/>
                  <w:i/>
                  <w:iCs/>
                </w:rPr>
              </m:ctrlPr>
            </m:dPr>
            <m:e>
              <m:f>
                <m:fPr>
                  <m:ctrlPr>
                    <w:rPr>
                      <w:rFonts w:ascii="Cambria Math" w:hAnsi="Cambria Math"/>
                      <w:b/>
                      <w:bCs/>
                      <w:i/>
                      <w:iCs/>
                    </w:rPr>
                  </m:ctrlPr>
                </m:fPr>
                <m:num>
                  <m:sSubSup>
                    <m:sSubSupPr>
                      <m:ctrlPr>
                        <w:rPr>
                          <w:rFonts w:ascii="Cambria Math" w:hAnsi="Cambria Math"/>
                          <w:b/>
                          <w:bCs/>
                          <w:i/>
                          <w:iCs/>
                        </w:rPr>
                      </m:ctrlPr>
                    </m:sSubSupPr>
                    <m:e>
                      <m:r>
                        <m:rPr>
                          <m:sty m:val="bi"/>
                        </m:rPr>
                        <w:rPr>
                          <w:rFonts w:ascii="Cambria Math" w:hAnsi="Cambria Math"/>
                        </w:rPr>
                        <m:t>M</m:t>
                      </m:r>
                    </m:e>
                    <m:sub>
                      <m:r>
                        <m:rPr>
                          <m:sty m:val="bi"/>
                        </m:rPr>
                        <w:rPr>
                          <w:rFonts w:ascii="Cambria Math" w:hAnsi="Cambria Math"/>
                        </w:rPr>
                        <m:t>a</m:t>
                      </m:r>
                    </m:sub>
                    <m:sup>
                      <m:r>
                        <m:rPr>
                          <m:sty m:val="bi"/>
                        </m:rPr>
                        <w:rPr>
                          <w:rFonts w:ascii="Cambria Math" w:hAnsi="Cambria Math"/>
                        </w:rPr>
                        <m:t>3</m:t>
                      </m:r>
                    </m:sup>
                  </m:sSubSup>
                  <m:r>
                    <m:rPr>
                      <m:sty m:val="bi"/>
                    </m:rPr>
                    <w:rPr>
                      <w:rFonts w:ascii="Cambria Math" w:hAnsi="Cambria Math"/>
                    </w:rPr>
                    <m:t>α</m:t>
                  </m:r>
                </m:num>
                <m:den>
                  <m:sSup>
                    <m:sSupPr>
                      <m:ctrlPr>
                        <w:rPr>
                          <w:rFonts w:ascii="Cambria Math" w:hAnsi="Cambria Math"/>
                          <w:b/>
                          <w:bCs/>
                          <w:i/>
                          <w:iCs/>
                        </w:rPr>
                      </m:ctrlPr>
                    </m:sSupPr>
                    <m:e>
                      <m:r>
                        <m:rPr>
                          <m:sty m:val="bi"/>
                        </m:rPr>
                        <w:rPr>
                          <w:rFonts w:ascii="Cambria Math" w:hAnsi="Cambria Math"/>
                        </w:rPr>
                        <m:t>Λ</m:t>
                      </m:r>
                    </m:e>
                    <m:sup>
                      <m:r>
                        <m:rPr>
                          <m:sty m:val="bi"/>
                        </m:rPr>
                        <w:rPr>
                          <w:rFonts w:ascii="Cambria Math" w:hAnsi="Cambria Math"/>
                        </w:rPr>
                        <m:t>2</m:t>
                      </m:r>
                    </m:sup>
                  </m:sSup>
                </m:den>
              </m:f>
              <m:sSup>
                <m:sSupPr>
                  <m:ctrlPr>
                    <w:rPr>
                      <w:rFonts w:ascii="Cambria Math" w:hAnsi="Cambria Math"/>
                      <w:b/>
                      <w:bCs/>
                      <w:i/>
                      <w:iCs/>
                    </w:rPr>
                  </m:ctrlPr>
                </m:sSupPr>
                <m:e>
                  <m:d>
                    <m:dPr>
                      <m:begChr m:val="|"/>
                      <m:endChr m:val="|"/>
                      <m:ctrlPr>
                        <w:rPr>
                          <w:rFonts w:ascii="Cambria Math" w:hAnsi="Cambria Math"/>
                          <w:b/>
                          <w:bCs/>
                          <w:i/>
                          <w:iCs/>
                        </w:rPr>
                      </m:ctrlPr>
                    </m:dPr>
                    <m:e>
                      <m:sSubSup>
                        <m:sSubSupPr>
                          <m:ctrlPr>
                            <w:rPr>
                              <w:rFonts w:ascii="Cambria Math" w:hAnsi="Cambria Math"/>
                              <w:b/>
                              <w:bCs/>
                              <w:i/>
                              <w:iCs/>
                            </w:rPr>
                          </m:ctrlPr>
                        </m:sSubSupPr>
                        <m:e>
                          <m:r>
                            <m:rPr>
                              <m:sty m:val="bi"/>
                            </m:rPr>
                            <w:rPr>
                              <w:rFonts w:ascii="Cambria Math" w:hAnsi="Cambria Math"/>
                            </w:rPr>
                            <m:t>C</m:t>
                          </m:r>
                        </m:e>
                        <m:sub>
                          <m:r>
                            <m:rPr>
                              <m:sty m:val="bi"/>
                            </m:rPr>
                            <w:rPr>
                              <w:rFonts w:ascii="Cambria Math" w:hAnsi="Cambria Math"/>
                            </w:rPr>
                            <m:t>eff</m:t>
                          </m:r>
                        </m:sub>
                        <m:sup>
                          <m:r>
                            <m:rPr>
                              <m:sty m:val="bi"/>
                            </m:rPr>
                            <w:rPr>
                              <w:rFonts w:ascii="Cambria Math" w:hAnsi="Cambria Math"/>
                            </w:rPr>
                            <m:t>γγ</m:t>
                          </m:r>
                        </m:sup>
                      </m:sSubSup>
                    </m:e>
                  </m:d>
                </m:e>
                <m:sup>
                  <m:r>
                    <m:rPr>
                      <m:sty m:val="bi"/>
                    </m:rPr>
                    <w:rPr>
                      <w:rFonts w:ascii="Cambria Math" w:hAnsi="Cambria Math"/>
                    </w:rPr>
                    <m:t>2</m:t>
                  </m:r>
                </m:sup>
              </m:sSup>
            </m:e>
          </m:d>
          <m:sSub>
            <m:sSubPr>
              <m:ctrlPr>
                <w:rPr>
                  <w:rFonts w:ascii="Cambria Math" w:hAnsi="Cambria Math"/>
                  <w:b/>
                  <w:bCs/>
                  <w:i/>
                  <w:iCs/>
                </w:rPr>
              </m:ctrlPr>
            </m:sSubPr>
            <m:e>
              <m:r>
                <m:rPr>
                  <m:sty m:val="bi"/>
                </m:rPr>
                <w:rPr>
                  <w:rFonts w:ascii="Cambria Math" w:hAnsi="Cambria Math"/>
                </w:rPr>
                <m:t>τ</m:t>
              </m:r>
            </m:e>
            <m:sub>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0</m:t>
                  </m:r>
                </m:sub>
              </m:sSub>
            </m:sub>
          </m:sSub>
        </m:oMath>
      </m:oMathPara>
    </w:p>
    <w:p w14:paraId="03AF3D4E" w14:textId="7E1F66F2" w:rsidR="005116B1" w:rsidRPr="005116B1" w:rsidRDefault="00157556" w:rsidP="005116B1">
      <w:pPr>
        <w:pStyle w:val="ListParagraph"/>
        <w:numPr>
          <w:ilvl w:val="0"/>
          <w:numId w:val="23"/>
        </w:numPr>
        <w:rPr>
          <w:rFonts w:eastAsiaTheme="minorEastAsia"/>
          <w:b/>
          <w:bCs/>
          <w:i/>
          <w:iCs/>
          <w:u w:val="single"/>
          <w:lang w:eastAsia="en-AU"/>
        </w:rPr>
      </w:pPr>
      <w:r>
        <w:rPr>
          <w:rFonts w:eastAsiaTheme="minorEastAsia"/>
          <w:lang w:eastAsia="en-AU"/>
        </w:rPr>
        <w:t>Generated a plot of th</w:t>
      </w:r>
      <w:r w:rsidR="005116B1">
        <w:rPr>
          <w:rFonts w:eastAsiaTheme="minorEastAsia"/>
          <w:lang w:eastAsia="en-AU"/>
        </w:rPr>
        <w:t>is as a function of M_a</w:t>
      </w:r>
    </w:p>
    <w:p w14:paraId="58EDA710" w14:textId="2DFFE481" w:rsidR="005116B1" w:rsidRPr="00800D47" w:rsidRDefault="005116B1" w:rsidP="005116B1">
      <w:pPr>
        <w:pStyle w:val="ListParagraph"/>
        <w:numPr>
          <w:ilvl w:val="0"/>
          <w:numId w:val="23"/>
        </w:numPr>
        <w:rPr>
          <w:rFonts w:eastAsiaTheme="minorEastAsia"/>
          <w:b/>
          <w:bCs/>
          <w:i/>
          <w:iCs/>
          <w:u w:val="single"/>
          <w:lang w:eastAsia="en-AU"/>
        </w:rPr>
      </w:pPr>
      <w:r>
        <w:rPr>
          <w:rFonts w:eastAsiaTheme="minorEastAsia"/>
          <w:lang w:eastAsia="en-AU"/>
        </w:rPr>
        <w:t>From here it is evident that the branching ratio would be of the order of 10^-7 (i.e. able to be probed by the LHCb experiment)</w:t>
      </w:r>
    </w:p>
    <w:p w14:paraId="27CB9731" w14:textId="21D47DC7" w:rsidR="00800D47" w:rsidRDefault="00800D47" w:rsidP="00800D47">
      <w:pPr>
        <w:ind w:left="360"/>
        <w:rPr>
          <w:rFonts w:eastAsiaTheme="minorEastAsia"/>
          <w:b/>
          <w:bCs/>
          <w:i/>
          <w:iCs/>
          <w:u w:val="single"/>
          <w:lang w:eastAsia="en-AU"/>
        </w:rPr>
      </w:pPr>
      <w:r w:rsidRPr="00800D47">
        <w:rPr>
          <w:rFonts w:eastAsiaTheme="minorEastAsia"/>
          <w:b/>
          <w:bCs/>
          <w:i/>
          <w:iCs/>
          <w:noProof/>
          <w:u w:val="single"/>
          <w:lang w:eastAsia="en-AU"/>
        </w:rPr>
        <w:drawing>
          <wp:inline distT="0" distB="0" distL="0" distR="0" wp14:anchorId="0E89EFA0" wp14:editId="4F3720D3">
            <wp:extent cx="4177466" cy="2731135"/>
            <wp:effectExtent l="0" t="0" r="0" b="0"/>
            <wp:docPr id="25" name="Picture 25" descr="Chart&#10;&#10;Description automatically generated">
              <a:extLst xmlns:a="http://schemas.openxmlformats.org/drawingml/2006/main">
                <a:ext uri="{FF2B5EF4-FFF2-40B4-BE49-F238E27FC236}">
                  <a16:creationId xmlns:a16="http://schemas.microsoft.com/office/drawing/2014/main" id="{BF817E8D-ACAA-8107-236B-DA97AF7BFA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a:extLst>
                        <a:ext uri="{FF2B5EF4-FFF2-40B4-BE49-F238E27FC236}">
                          <a16:creationId xmlns:a16="http://schemas.microsoft.com/office/drawing/2014/main" id="{BF817E8D-ACAA-8107-236B-DA97AF7BFA08}"/>
                        </a:ext>
                      </a:extLst>
                    </pic:cNvPr>
                    <pic:cNvPicPr>
                      <a:picLocks noGrp="1" noChangeAspect="1"/>
                    </pic:cNvPicPr>
                  </pic:nvPicPr>
                  <pic:blipFill>
                    <a:blip r:embed="rId26"/>
                    <a:stretch>
                      <a:fillRect/>
                    </a:stretch>
                  </pic:blipFill>
                  <pic:spPr>
                    <a:xfrm>
                      <a:off x="0" y="0"/>
                      <a:ext cx="4181008" cy="2733451"/>
                    </a:xfrm>
                    <a:prstGeom prst="rect">
                      <a:avLst/>
                    </a:prstGeom>
                  </pic:spPr>
                </pic:pic>
              </a:graphicData>
            </a:graphic>
          </wp:inline>
        </w:drawing>
      </w:r>
    </w:p>
    <w:p w14:paraId="6FE9F8CE" w14:textId="73132D30" w:rsidR="00800D47" w:rsidRDefault="00800D47" w:rsidP="00800D47">
      <w:pPr>
        <w:pStyle w:val="Subtitle"/>
        <w:rPr>
          <w:b/>
          <w:bCs/>
          <w:i/>
          <w:iCs/>
          <w:lang w:eastAsia="en-AU"/>
        </w:rPr>
      </w:pPr>
      <w:r w:rsidRPr="00800D47">
        <w:rPr>
          <w:b/>
          <w:bCs/>
          <w:i/>
          <w:iCs/>
          <w:lang w:eastAsia="en-AU"/>
        </w:rPr>
        <w:t>Chapter Four: Future Work</w:t>
      </w:r>
    </w:p>
    <w:p w14:paraId="41B97450" w14:textId="77777777" w:rsidR="00800D47" w:rsidRPr="00800D47" w:rsidRDefault="00800D47" w:rsidP="00800D47">
      <w:pPr>
        <w:rPr>
          <w:lang w:eastAsia="en-AU"/>
        </w:rPr>
      </w:pPr>
    </w:p>
    <w:p w14:paraId="2B76A33D" w14:textId="337DDBDC" w:rsidR="00E7762F" w:rsidRPr="00800D47" w:rsidRDefault="00E7762F" w:rsidP="00800D47">
      <w:pPr>
        <w:rPr>
          <w:rFonts w:eastAsiaTheme="minorEastAsia"/>
          <w:b/>
          <w:bCs/>
          <w:u w:val="single"/>
          <w:lang w:eastAsia="en-AU"/>
        </w:rPr>
      </w:pPr>
    </w:p>
    <w:p w14:paraId="00E57D99" w14:textId="77777777" w:rsidR="00800D47" w:rsidRDefault="00800D47" w:rsidP="00716D59">
      <w:pPr>
        <w:rPr>
          <w:b/>
          <w:bCs/>
          <w:u w:val="single"/>
          <w:lang w:eastAsia="en-AU"/>
        </w:rPr>
      </w:pPr>
    </w:p>
    <w:p w14:paraId="20CA76F6" w14:textId="7E684329" w:rsidR="00716D59" w:rsidRDefault="00716D59" w:rsidP="00716D59">
      <w:pPr>
        <w:rPr>
          <w:b/>
          <w:bCs/>
          <w:u w:val="single"/>
          <w:lang w:eastAsia="en-AU"/>
        </w:rPr>
      </w:pPr>
      <w:r>
        <w:rPr>
          <w:b/>
          <w:bCs/>
          <w:u w:val="single"/>
          <w:lang w:eastAsia="en-AU"/>
        </w:rPr>
        <w:t>Radiative B decays at LHCb (Violaine Bellee 2016)</w:t>
      </w:r>
    </w:p>
    <w:p w14:paraId="0B5A2BB0" w14:textId="60CA49EB" w:rsidR="00716D59" w:rsidRPr="00716D59" w:rsidRDefault="00716D59" w:rsidP="00716D59">
      <w:pPr>
        <w:pStyle w:val="ListParagraph"/>
        <w:numPr>
          <w:ilvl w:val="0"/>
          <w:numId w:val="19"/>
        </w:numPr>
        <w:rPr>
          <w:b/>
          <w:bCs/>
          <w:u w:val="single"/>
          <w:lang w:eastAsia="en-AU"/>
        </w:rPr>
      </w:pPr>
      <w:r>
        <w:rPr>
          <w:lang w:eastAsia="en-AU"/>
        </w:rPr>
        <w:t>Photon polarisation parameter has been constrained by studies of radiative decays</w:t>
      </w:r>
    </w:p>
    <w:p w14:paraId="4B82B06F" w14:textId="6CF64C72" w:rsidR="00716D59" w:rsidRPr="00716D59" w:rsidRDefault="00716D59" w:rsidP="00716D59">
      <w:pPr>
        <w:pStyle w:val="ListParagraph"/>
        <w:numPr>
          <w:ilvl w:val="0"/>
          <w:numId w:val="19"/>
        </w:numPr>
        <w:rPr>
          <w:b/>
          <w:bCs/>
          <w:u w:val="single"/>
          <w:lang w:eastAsia="en-AU"/>
        </w:rPr>
      </w:pPr>
      <w:r>
        <w:rPr>
          <w:lang w:eastAsia="en-AU"/>
        </w:rPr>
        <w:t>Photons are expected to be predominantly left handed in the SM</w:t>
      </w:r>
    </w:p>
    <w:p w14:paraId="3FDF9CDD" w14:textId="791735D4" w:rsidR="00716D59" w:rsidRPr="00716D59" w:rsidRDefault="00716D59" w:rsidP="00716D59">
      <w:pPr>
        <w:pStyle w:val="ListParagraph"/>
        <w:numPr>
          <w:ilvl w:val="0"/>
          <w:numId w:val="19"/>
        </w:numPr>
        <w:rPr>
          <w:b/>
          <w:bCs/>
          <w:u w:val="single"/>
          <w:lang w:eastAsia="en-AU"/>
        </w:rPr>
      </w:pPr>
      <w:r>
        <w:rPr>
          <w:lang w:eastAsia="en-AU"/>
        </w:rPr>
        <w:t>NP components could introduce a significant RH component to the photon polarisation. The photon polarisation parameter is defined as the asymmetry between the right and left handed components</w:t>
      </w:r>
    </w:p>
    <w:p w14:paraId="0A7906D2" w14:textId="1E8E5147" w:rsidR="00716D59" w:rsidRPr="00716D59" w:rsidRDefault="00716D59" w:rsidP="00716D59">
      <w:pPr>
        <w:pStyle w:val="ListParagraph"/>
        <w:numPr>
          <w:ilvl w:val="0"/>
          <w:numId w:val="19"/>
        </w:numPr>
        <w:rPr>
          <w:rFonts w:eastAsiaTheme="minorEastAsia"/>
          <w:b/>
          <w:bCs/>
          <w:u w:val="single"/>
          <w:lang w:eastAsia="en-AU"/>
        </w:rPr>
      </w:pPr>
      <w:r>
        <w:rPr>
          <w:lang w:eastAsia="en-AU"/>
        </w:rPr>
        <w:t xml:space="preserve">The measurement of radiative B decays at LHCb is allowed by the good quality of the tracking system with a momentum resolution of </w:t>
      </w:r>
      <m:oMath>
        <m:r>
          <m:rPr>
            <m:sty m:val="p"/>
          </m:rPr>
          <w:rPr>
            <w:rFonts w:ascii="Cambria Math" w:hAnsi="Cambria Math"/>
            <w:lang w:eastAsia="en-AU"/>
          </w:rPr>
          <m:t>δ</m:t>
        </m:r>
        <m:r>
          <w:rPr>
            <w:rFonts w:ascii="Cambria Math" w:eastAsiaTheme="minorEastAsia" w:hAnsi="Cambria Math"/>
            <w:lang w:eastAsia="en-AU"/>
          </w:rPr>
          <m:t xml:space="preserve">p/p </m:t>
        </m:r>
      </m:oMath>
      <w:r>
        <w:rPr>
          <w:rFonts w:eastAsiaTheme="minorEastAsia"/>
          <w:lang w:eastAsia="en-AU"/>
        </w:rPr>
        <w:t xml:space="preserve">of 0.5 to 1% in the full momentum range, a time resolution of  45 fs, and a resolution of the impact parameter of 20 microns for high pT tracks. </w:t>
      </w:r>
    </w:p>
    <w:p w14:paraId="0E3B3613" w14:textId="77777777" w:rsidR="00716D59" w:rsidRPr="00716D59" w:rsidRDefault="00716D59" w:rsidP="00716D59">
      <w:pPr>
        <w:pStyle w:val="ListParagraph"/>
        <w:numPr>
          <w:ilvl w:val="0"/>
          <w:numId w:val="19"/>
        </w:numPr>
        <w:rPr>
          <w:rFonts w:eastAsiaTheme="minorEastAsia"/>
          <w:b/>
          <w:bCs/>
          <w:u w:val="single"/>
          <w:lang w:eastAsia="en-AU"/>
        </w:rPr>
      </w:pPr>
      <w:r>
        <w:rPr>
          <w:rFonts w:eastAsiaTheme="minorEastAsia"/>
          <w:lang w:eastAsia="en-AU"/>
        </w:rPr>
        <w:t>Studies of radiative decays at LHCb face three main challenges:</w:t>
      </w:r>
    </w:p>
    <w:p w14:paraId="3A75515B" w14:textId="77777777" w:rsidR="00716D59" w:rsidRPr="00716D59" w:rsidRDefault="00716D59" w:rsidP="00716D59">
      <w:pPr>
        <w:pStyle w:val="ListParagraph"/>
        <w:numPr>
          <w:ilvl w:val="1"/>
          <w:numId w:val="19"/>
        </w:numPr>
        <w:rPr>
          <w:rFonts w:eastAsiaTheme="minorEastAsia"/>
          <w:b/>
          <w:bCs/>
          <w:u w:val="single"/>
          <w:lang w:eastAsia="en-AU"/>
        </w:rPr>
      </w:pPr>
      <w:r>
        <w:rPr>
          <w:rFonts w:eastAsiaTheme="minorEastAsia"/>
          <w:b/>
          <w:bCs/>
          <w:lang w:eastAsia="en-AU"/>
        </w:rPr>
        <w:t>Use of pp collisions which generates high levels of background</w:t>
      </w:r>
    </w:p>
    <w:p w14:paraId="7AE2F2E5" w14:textId="77777777" w:rsidR="00716D59" w:rsidRPr="00716D59" w:rsidRDefault="00716D59" w:rsidP="00716D59">
      <w:pPr>
        <w:pStyle w:val="ListParagraph"/>
        <w:numPr>
          <w:ilvl w:val="1"/>
          <w:numId w:val="19"/>
        </w:numPr>
        <w:rPr>
          <w:rFonts w:eastAsiaTheme="minorEastAsia"/>
          <w:b/>
          <w:bCs/>
          <w:u w:val="single"/>
          <w:lang w:eastAsia="en-AU"/>
        </w:rPr>
      </w:pPr>
      <w:r>
        <w:rPr>
          <w:rFonts w:eastAsiaTheme="minorEastAsia"/>
          <w:b/>
          <w:bCs/>
          <w:lang w:eastAsia="en-AU"/>
        </w:rPr>
        <w:t>Misidentification of neutral pions due to unresolved photons at transverse energies above 4 GeV</w:t>
      </w:r>
    </w:p>
    <w:p w14:paraId="6D16EE99" w14:textId="77777777" w:rsidR="00716D59" w:rsidRPr="00716D59" w:rsidRDefault="00716D59" w:rsidP="00716D59">
      <w:pPr>
        <w:pStyle w:val="ListParagraph"/>
        <w:numPr>
          <w:ilvl w:val="1"/>
          <w:numId w:val="19"/>
        </w:numPr>
        <w:rPr>
          <w:rFonts w:eastAsiaTheme="minorEastAsia"/>
          <w:b/>
          <w:bCs/>
          <w:u w:val="single"/>
          <w:lang w:eastAsia="en-AU"/>
        </w:rPr>
      </w:pPr>
      <w:r>
        <w:rPr>
          <w:rFonts w:eastAsiaTheme="minorEastAsia"/>
          <w:b/>
          <w:bCs/>
          <w:lang w:eastAsia="en-AU"/>
        </w:rPr>
        <w:t>Mass resolution dominated by the photon reconstruction</w:t>
      </w:r>
    </w:p>
    <w:p w14:paraId="147DD2EA" w14:textId="2CD6BC77" w:rsidR="00C633D2" w:rsidRDefault="00C633D2" w:rsidP="00C633D2">
      <w:pPr>
        <w:pStyle w:val="Subtitle"/>
        <w:rPr>
          <w:b/>
          <w:bCs/>
          <w:i/>
          <w:iCs/>
          <w:lang w:eastAsia="en-AU"/>
        </w:rPr>
      </w:pPr>
      <w:r>
        <w:rPr>
          <w:b/>
          <w:bCs/>
          <w:i/>
          <w:iCs/>
          <w:lang w:eastAsia="en-AU"/>
        </w:rPr>
        <w:t>Notes from Papers</w:t>
      </w:r>
    </w:p>
    <w:p w14:paraId="57F93C02" w14:textId="3E5A2510" w:rsidR="00C633D2" w:rsidRDefault="00C633D2" w:rsidP="00C633D2">
      <w:pPr>
        <w:rPr>
          <w:b/>
          <w:bCs/>
          <w:u w:val="single"/>
          <w:lang w:eastAsia="en-AU"/>
        </w:rPr>
      </w:pPr>
      <w:r>
        <w:rPr>
          <w:b/>
          <w:bCs/>
          <w:u w:val="single"/>
          <w:lang w:eastAsia="en-AU"/>
        </w:rPr>
        <w:t>ALP to Diphoton Search Analysis</w:t>
      </w:r>
    </w:p>
    <w:p w14:paraId="37E1CCDF" w14:textId="64A65853" w:rsidR="00C633D2" w:rsidRPr="00C633D2" w:rsidRDefault="00C633D2" w:rsidP="00C633D2">
      <w:pPr>
        <w:pStyle w:val="ListParagraph"/>
        <w:numPr>
          <w:ilvl w:val="0"/>
          <w:numId w:val="16"/>
        </w:numPr>
        <w:rPr>
          <w:rFonts w:eastAsiaTheme="minorEastAsia"/>
          <w:lang w:eastAsia="en-AU"/>
        </w:rPr>
      </w:pPr>
      <w:r>
        <w:rPr>
          <w:lang w:eastAsia="en-AU"/>
        </w:rPr>
        <w:t xml:space="preserve">2018 pp collision data collected at </w:t>
      </w:r>
      <m:oMath>
        <m:rad>
          <m:radPr>
            <m:degHide m:val="1"/>
            <m:ctrlPr>
              <w:rPr>
                <w:rFonts w:ascii="Cambria Math" w:hAnsi="Cambria Math"/>
                <w:lang w:eastAsia="en-AU"/>
              </w:rPr>
            </m:ctrlPr>
          </m:radPr>
          <m:deg>
            <m:ctrlPr>
              <w:rPr>
                <w:rFonts w:ascii="Cambria Math" w:hAnsi="Cambria Math"/>
                <w:i/>
                <w:lang w:eastAsia="en-AU"/>
              </w:rPr>
            </m:ctrlPr>
          </m:deg>
          <m:e>
            <m:r>
              <w:rPr>
                <w:rFonts w:ascii="Cambria Math" w:hAnsi="Cambria Math"/>
                <w:lang w:eastAsia="en-AU"/>
              </w:rPr>
              <m:t>s</m:t>
            </m:r>
          </m:e>
        </m:rad>
      </m:oMath>
      <w:r>
        <w:rPr>
          <w:rFonts w:eastAsiaTheme="minorEastAsia"/>
          <w:lang w:eastAsia="en-AU"/>
        </w:rPr>
        <w:t xml:space="preserve"> = 13 TeV, corresponding to an integrated luminosity of 2.07 fb^-1. </w:t>
      </w:r>
      <m:oMath>
        <m:r>
          <m:rPr>
            <m:sty m:val="p"/>
          </m:rPr>
          <w:rPr>
            <w:rFonts w:ascii="Cambria Math" w:eastAsiaTheme="minorEastAsia" w:hAnsi="Cambria Math"/>
            <w:lang w:eastAsia="en-AU"/>
          </w:rPr>
          <m:t>γγ</m:t>
        </m:r>
      </m:oMath>
      <w:r>
        <w:rPr>
          <w:rFonts w:eastAsiaTheme="minorEastAsia"/>
          <w:lang w:eastAsia="en-AU"/>
        </w:rPr>
        <w:t xml:space="preserve"> spectrum scanned from 4.8 to 20 GeV/c^2</w:t>
      </w:r>
    </w:p>
    <w:p w14:paraId="019DBBD6" w14:textId="07A64456"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 xml:space="preserve">Photons are only reconstructed in the calorimeters with the assumption of coming from the PV. Hence the kinematic topologies of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B</m:t>
            </m:r>
          </m:e>
          <m:sub>
            <m:r>
              <w:rPr>
                <w:rFonts w:ascii="Cambria Math" w:eastAsiaTheme="minorEastAsia" w:hAnsi="Cambria Math"/>
                <w:lang w:eastAsia="en-AU"/>
              </w:rPr>
              <m:t>s</m:t>
            </m:r>
          </m:sub>
          <m:sup>
            <m:d>
              <m:dPr>
                <m:ctrlPr>
                  <w:rPr>
                    <w:rFonts w:ascii="Cambria Math" w:eastAsiaTheme="minorEastAsia" w:hAnsi="Cambria Math"/>
                    <w:i/>
                    <w:lang w:eastAsia="en-AU"/>
                  </w:rPr>
                </m:ctrlPr>
              </m:dPr>
              <m:e>
                <m:r>
                  <w:rPr>
                    <w:rFonts w:ascii="Cambria Math" w:eastAsiaTheme="minorEastAsia" w:hAnsi="Cambria Math"/>
                    <w:lang w:eastAsia="en-AU"/>
                  </w:rPr>
                  <m:t>0</m:t>
                </m:r>
              </m:e>
            </m:d>
          </m:sup>
        </m:sSubSup>
        <m:r>
          <m:rPr>
            <m:sty m:val="p"/>
          </m:rPr>
          <w:rPr>
            <w:rFonts w:ascii="Cambria Math" w:eastAsiaTheme="minorEastAsia" w:hAnsi="Cambria Math"/>
            <w:lang w:eastAsia="en-AU"/>
          </w:rPr>
          <m:t>→γγ</m:t>
        </m:r>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very similar and the search strategies are therefore identical. </w:t>
      </w:r>
    </w:p>
    <w:p w14:paraId="374263E1" w14:textId="06C7BF74"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Simulated samples are used to determine efficiencies, investigate backgrounds and calibrate efficiencies</w:t>
      </w:r>
    </w:p>
    <w:p w14:paraId="65258971" w14:textId="5B8FC970" w:rsidR="00C633D2" w:rsidRDefault="002C6CE4" w:rsidP="00C633D2">
      <w:pPr>
        <w:pStyle w:val="ListParagraph"/>
        <w:numPr>
          <w:ilvl w:val="0"/>
          <w:numId w:val="16"/>
        </w:numPr>
        <w:rPr>
          <w:rFonts w:eastAsiaTheme="minorEastAsia"/>
          <w:lang w:eastAsia="en-AU"/>
        </w:rPr>
      </w:pPr>
      <w:r>
        <w:rPr>
          <w:rFonts w:eastAsiaTheme="minorEastAsia"/>
          <w:lang w:eastAsia="en-AU"/>
        </w:rPr>
        <w:t>ALP to diphoton selection consists of the trigger and stripping selections, and a multivariate classifier based on isolation variables, as well as fiducial requirements.</w:t>
      </w:r>
    </w:p>
    <w:p w14:paraId="206F7878" w14:textId="72B1FA53" w:rsidR="002C6CE4" w:rsidRPr="002C6CE4" w:rsidRDefault="002C6CE4" w:rsidP="002C6CE4">
      <w:pPr>
        <w:pStyle w:val="ListParagraph"/>
        <w:numPr>
          <w:ilvl w:val="0"/>
          <w:numId w:val="16"/>
        </w:numPr>
        <w:rPr>
          <w:rFonts w:eastAsiaTheme="minorEastAsia"/>
          <w:lang w:eastAsia="en-AU"/>
        </w:rPr>
      </w:pPr>
      <w:r>
        <w:rPr>
          <w:rFonts w:eastAsiaTheme="minorEastAsia"/>
          <w:lang w:eastAsia="en-AU"/>
        </w:rPr>
        <w:t xml:space="preserve">Selection criteria for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summarised in the table below:</w:t>
      </w:r>
    </w:p>
    <w:p w14:paraId="6E0FE06D" w14:textId="13F32D12" w:rsidR="002C6CE4" w:rsidRDefault="002C6CE4" w:rsidP="002C6CE4">
      <w:pPr>
        <w:ind w:left="360"/>
        <w:rPr>
          <w:b/>
          <w:bCs/>
          <w:u w:val="single"/>
          <w:lang w:eastAsia="en-AU"/>
        </w:rPr>
      </w:pPr>
      <w:r w:rsidRPr="002C6CE4">
        <w:rPr>
          <w:b/>
          <w:bCs/>
          <w:noProof/>
          <w:u w:val="single"/>
          <w:lang w:eastAsia="en-AU"/>
        </w:rPr>
        <w:drawing>
          <wp:inline distT="0" distB="0" distL="0" distR="0" wp14:anchorId="762CA161" wp14:editId="709264A6">
            <wp:extent cx="4975860" cy="3088275"/>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27"/>
                    <a:stretch>
                      <a:fillRect/>
                    </a:stretch>
                  </pic:blipFill>
                  <pic:spPr>
                    <a:xfrm>
                      <a:off x="0" y="0"/>
                      <a:ext cx="4978074" cy="3089649"/>
                    </a:xfrm>
                    <a:prstGeom prst="rect">
                      <a:avLst/>
                    </a:prstGeom>
                  </pic:spPr>
                </pic:pic>
              </a:graphicData>
            </a:graphic>
          </wp:inline>
        </w:drawing>
      </w:r>
      <w:r w:rsidR="00CB5072">
        <w:rPr>
          <w:b/>
          <w:bCs/>
          <w:u w:val="single"/>
          <w:lang w:eastAsia="en-AU"/>
        </w:rPr>
        <w:t>0</w:t>
      </w:r>
    </w:p>
    <w:p w14:paraId="42C08601" w14:textId="77777777" w:rsidR="002C6CE4" w:rsidRPr="002C6CE4" w:rsidRDefault="002C6CE4" w:rsidP="002C6CE4">
      <w:pPr>
        <w:jc w:val="center"/>
        <w:rPr>
          <w:rFonts w:eastAsiaTheme="minorEastAsia"/>
          <w:lang w:eastAsia="en-AU"/>
        </w:rPr>
      </w:pPr>
    </w:p>
    <w:p w14:paraId="5FE2FCB7" w14:textId="11FF9EFA" w:rsidR="002C6CE4" w:rsidRPr="002C6CE4" w:rsidRDefault="002C6CE4" w:rsidP="002C6CE4">
      <w:pPr>
        <w:pStyle w:val="ListParagraph"/>
        <w:numPr>
          <w:ilvl w:val="0"/>
          <w:numId w:val="17"/>
        </w:numPr>
        <w:rPr>
          <w:b/>
          <w:bCs/>
          <w:u w:val="single"/>
          <w:lang w:eastAsia="en-AU"/>
        </w:rPr>
      </w:pPr>
      <w:r>
        <w:rPr>
          <w:lang w:eastAsia="en-AU"/>
        </w:rPr>
        <w:t>Online selection of diphotons is performed by multilayer perceptron</w:t>
      </w:r>
    </w:p>
    <w:p w14:paraId="1682880F" w14:textId="2AA2D0BD" w:rsidR="002C6CE4" w:rsidRPr="002C6CE4" w:rsidRDefault="002C6CE4" w:rsidP="002C6CE4">
      <w:pPr>
        <w:pStyle w:val="ListParagraph"/>
        <w:numPr>
          <w:ilvl w:val="0"/>
          <w:numId w:val="17"/>
        </w:numPr>
        <w:rPr>
          <w:b/>
          <w:bCs/>
          <w:u w:val="single"/>
          <w:lang w:eastAsia="en-AU"/>
        </w:rPr>
      </w:pPr>
      <w:r>
        <w:rPr>
          <w:lang w:eastAsia="en-AU"/>
        </w:rPr>
        <w:t>Background = MinBias pp collision data from 2017</w:t>
      </w:r>
    </w:p>
    <w:p w14:paraId="432EB070" w14:textId="69296A2D" w:rsidR="002C6CE4" w:rsidRPr="002C6CE4" w:rsidRDefault="002C6CE4" w:rsidP="002C6CE4">
      <w:pPr>
        <w:pStyle w:val="ListParagraph"/>
        <w:numPr>
          <w:ilvl w:val="0"/>
          <w:numId w:val="17"/>
        </w:numPr>
        <w:rPr>
          <w:b/>
          <w:bCs/>
          <w:u w:val="single"/>
          <w:lang w:eastAsia="en-AU"/>
        </w:rPr>
      </w:pPr>
      <w:r>
        <w:rPr>
          <w:lang w:eastAsia="en-AU"/>
        </w:rPr>
        <w:t>Stripping selection = further kinematic requirements on the individual photons and the diphoton candidates, as well as PID requirements</w:t>
      </w:r>
    </w:p>
    <w:p w14:paraId="74DB2B44" w14:textId="772BB652" w:rsidR="002C6CE4" w:rsidRPr="00E902B3" w:rsidRDefault="002C6CE4" w:rsidP="002C6CE4">
      <w:pPr>
        <w:pStyle w:val="ListParagraph"/>
        <w:numPr>
          <w:ilvl w:val="0"/>
          <w:numId w:val="17"/>
        </w:numPr>
        <w:rPr>
          <w:b/>
          <w:bCs/>
          <w:u w:val="single"/>
          <w:lang w:eastAsia="en-AU"/>
        </w:rPr>
      </w:pPr>
      <w:r>
        <w:rPr>
          <w:lang w:eastAsia="en-AU"/>
        </w:rPr>
        <w:t>Main offline selection = multivariate selection, prior to which signal candidates are vetoed on the basis of transverse momentum</w:t>
      </w:r>
      <w:r w:rsidR="00E902B3">
        <w:rPr>
          <w:lang w:eastAsia="en-AU"/>
        </w:rPr>
        <w:t xml:space="preserve"> (high masses = sizeable efficiency penalty, and signal becomes significantly harder to separate from background)</w:t>
      </w:r>
    </w:p>
    <w:p w14:paraId="62FE4DEA" w14:textId="05B2918C" w:rsidR="00E902B3" w:rsidRPr="00F7351F" w:rsidRDefault="00E902B3" w:rsidP="002C6CE4">
      <w:pPr>
        <w:pStyle w:val="ListParagraph"/>
        <w:numPr>
          <w:ilvl w:val="0"/>
          <w:numId w:val="17"/>
        </w:numPr>
        <w:rPr>
          <w:b/>
          <w:bCs/>
          <w:u w:val="single"/>
          <w:lang w:eastAsia="en-AU"/>
        </w:rPr>
      </w:pPr>
      <w:r>
        <w:rPr>
          <w:lang w:eastAsia="en-AU"/>
        </w:rPr>
        <w:t>XGB boost classifier used to obtain higher signal to background discrimination. Chosen since it was simple to implement, and robust</w:t>
      </w:r>
      <w:r w:rsidR="00EF47CB">
        <w:rPr>
          <w:lang w:eastAsia="en-AU"/>
        </w:rPr>
        <w:t>. The classifier is trained using the full ALP to diphoton simulation samples as signal proxy and a small subset of this sample as background</w:t>
      </w:r>
    </w:p>
    <w:p w14:paraId="25F09E4D" w14:textId="4A7F6D5D" w:rsidR="00F07147" w:rsidRPr="00F07147" w:rsidRDefault="00EF47CB" w:rsidP="00F07147">
      <w:pPr>
        <w:pStyle w:val="ListParagraph"/>
        <w:numPr>
          <w:ilvl w:val="0"/>
          <w:numId w:val="17"/>
        </w:numPr>
        <w:rPr>
          <w:rFonts w:eastAsiaTheme="minorEastAsia"/>
          <w:b/>
          <w:bCs/>
          <w:u w:val="single"/>
          <w:lang w:eastAsia="en-AU"/>
        </w:rPr>
      </w:pPr>
      <w:r>
        <w:rPr>
          <w:lang w:eastAsia="en-AU"/>
        </w:rPr>
        <w:t xml:space="preserve">Choose </w:t>
      </w:r>
      <w:r>
        <w:rPr>
          <w:b/>
          <w:bCs/>
          <w:lang w:eastAsia="en-AU"/>
        </w:rPr>
        <w:t xml:space="preserve">cone isolation variables </w:t>
      </w:r>
      <w:r>
        <w:rPr>
          <w:lang w:eastAsia="en-AU"/>
        </w:rPr>
        <w:t xml:space="preserve">to discriminate between signal and background. They inspect the charged tracks in cones in </w:t>
      </w:r>
      <m:oMath>
        <m:r>
          <m:rPr>
            <m:sty m:val="p"/>
          </m:rPr>
          <w:rPr>
            <w:rFonts w:ascii="Cambria Math" w:hAnsi="Cambria Math"/>
            <w:lang w:eastAsia="en-AU"/>
          </w:rPr>
          <m:t>η</m:t>
        </m:r>
      </m:oMath>
      <w:r>
        <w:rPr>
          <w:rFonts w:eastAsiaTheme="minorEastAsia"/>
          <w:lang w:eastAsia="en-AU"/>
        </w:rPr>
        <w:t xml:space="preserve"> and </w:t>
      </w:r>
      <m:oMath>
        <m:r>
          <m:rPr>
            <m:sty m:val="p"/>
          </m:rPr>
          <w:rPr>
            <w:rFonts w:ascii="Cambria Math" w:eastAsiaTheme="minorEastAsia" w:hAnsi="Cambria Math"/>
            <w:lang w:eastAsia="en-AU"/>
          </w:rPr>
          <m:t>φ</m:t>
        </m:r>
      </m:oMath>
      <w:r>
        <w:rPr>
          <w:rFonts w:eastAsiaTheme="minorEastAsia"/>
          <w:lang w:eastAsia="en-AU"/>
        </w:rPr>
        <w:t xml:space="preserve"> of certain sizes around the diphoton candidate. The features explored are the numbers of charged tracks, sum of absolute and transverse momenta, and the asymmetry of the sum of the momenta and transverse momenta wrt the diphoton momentum and transverse momentum</w:t>
      </w:r>
    </w:p>
    <w:p w14:paraId="3844997F" w14:textId="2FF8C865"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2D4889"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65D920BA" w14:textId="2E4FB52B" w:rsidR="00765360" w:rsidRDefault="004C081F" w:rsidP="00951DDB">
      <w:pPr>
        <w:pStyle w:val="ListParagraph"/>
        <w:numPr>
          <w:ilvl w:val="0"/>
          <w:numId w:val="6"/>
        </w:numPr>
        <w:rPr>
          <w:lang w:eastAsia="en-AU"/>
        </w:rPr>
      </w:pPr>
      <w:r>
        <w:rPr>
          <w:lang w:eastAsia="en-AU"/>
        </w:rPr>
        <w:t>Determined the single event sensitivity of the single photon decay mode using the literature</w:t>
      </w:r>
    </w:p>
    <w:p w14:paraId="1A252CE1" w14:textId="77777777" w:rsidR="00D304D7" w:rsidRDefault="00951DDB" w:rsidP="00951DDB">
      <w:pPr>
        <w:pStyle w:val="ListParagraph"/>
        <w:numPr>
          <w:ilvl w:val="0"/>
          <w:numId w:val="6"/>
        </w:numPr>
        <w:rPr>
          <w:lang w:eastAsia="en-AU"/>
        </w:rPr>
      </w:pPr>
      <w:r>
        <w:rPr>
          <w:lang w:eastAsia="en-AU"/>
        </w:rPr>
        <w:t>Plotted signal selection efficiency curves and estimated upper limit on branching fraction of</w:t>
      </w:r>
      <w:r w:rsidR="00D304D7">
        <w:rPr>
          <w:lang w:eastAsia="en-AU"/>
        </w:rPr>
        <w:t xml:space="preserve"> the decay mode of interest. </w:t>
      </w:r>
    </w:p>
    <w:p w14:paraId="63F40F0D" w14:textId="4352F7BB" w:rsidR="00D304D7" w:rsidRDefault="00D304D7" w:rsidP="00951DDB">
      <w:pPr>
        <w:pStyle w:val="ListParagraph"/>
        <w:numPr>
          <w:ilvl w:val="0"/>
          <w:numId w:val="6"/>
        </w:numPr>
        <w:rPr>
          <w:lang w:eastAsia="en-AU"/>
        </w:rPr>
      </w:pPr>
      <w:r>
        <w:rPr>
          <w:lang w:eastAsia="en-AU"/>
        </w:rPr>
        <w:t>Compared the decay mode to that of B -&gt; K+pi- pi0 and used the number of signal and background events to determine the BR that leads to a 5 sigma significance level</w:t>
      </w:r>
    </w:p>
    <w:p w14:paraId="60F699B9" w14:textId="5ED59B5D" w:rsidR="003428A8" w:rsidRDefault="003428A8" w:rsidP="00951DDB">
      <w:pPr>
        <w:pStyle w:val="ListParagraph"/>
        <w:numPr>
          <w:ilvl w:val="0"/>
          <w:numId w:val="6"/>
        </w:numPr>
        <w:rPr>
          <w:lang w:eastAsia="en-AU"/>
        </w:rPr>
      </w:pPr>
      <w:r>
        <w:rPr>
          <w:lang w:eastAsia="en-AU"/>
        </w:rPr>
        <w:t>Understand features of the a -&gt; gamma gamma branching fraction plot (including the reason for the dip in the curve in the intermediate mass range, and the width of the pi0 and eta background regions that have been excluded)</w:t>
      </w:r>
    </w:p>
    <w:p w14:paraId="43B61DCB" w14:textId="45612DF7" w:rsidR="00F07147" w:rsidRDefault="00F07147" w:rsidP="00951DDB">
      <w:pPr>
        <w:pStyle w:val="ListParagraph"/>
        <w:numPr>
          <w:ilvl w:val="0"/>
          <w:numId w:val="6"/>
        </w:numPr>
        <w:rPr>
          <w:lang w:eastAsia="en-AU"/>
        </w:rPr>
      </w:pPr>
      <w:r>
        <w:rPr>
          <w:lang w:eastAsia="en-AU"/>
        </w:rPr>
        <w:t>Deduced upper bound on the branching fraction of the diphoton decay mode</w:t>
      </w:r>
    </w:p>
    <w:p w14:paraId="3C2D44F5" w14:textId="5368743D" w:rsidR="00F07147" w:rsidRDefault="00F07147" w:rsidP="00951DDB">
      <w:pPr>
        <w:pStyle w:val="ListParagraph"/>
        <w:numPr>
          <w:ilvl w:val="0"/>
          <w:numId w:val="6"/>
        </w:numPr>
        <w:rPr>
          <w:lang w:eastAsia="en-AU"/>
        </w:rPr>
      </w:pPr>
      <w:r>
        <w:rPr>
          <w:lang w:eastAsia="en-AU"/>
        </w:rPr>
        <w:t>Requested MC simulated data for the relevant decay mode after checking in the relevant decfiles and scripts to the CERN Gitlab repository</w:t>
      </w:r>
    </w:p>
    <w:p w14:paraId="69402A17" w14:textId="4380773F" w:rsidR="00F07147" w:rsidRDefault="00F07147" w:rsidP="00F07147">
      <w:pPr>
        <w:rPr>
          <w:b/>
          <w:bCs/>
          <w:u w:val="single"/>
          <w:lang w:eastAsia="en-AU"/>
        </w:rPr>
      </w:pPr>
      <w:r>
        <w:rPr>
          <w:b/>
          <w:bCs/>
          <w:u w:val="single"/>
          <w:lang w:eastAsia="en-AU"/>
        </w:rPr>
        <w:t>Single Photon Decay Mode Selection Criteria</w:t>
      </w:r>
      <w:r w:rsidR="00671080">
        <w:rPr>
          <w:b/>
          <w:bCs/>
          <w:u w:val="single"/>
          <w:lang w:eastAsia="en-AU"/>
        </w:rPr>
        <w:t xml:space="preserve"> (From Analysis Note of 2012 paper)</w:t>
      </w:r>
    </w:p>
    <w:p w14:paraId="0BA63DD5" w14:textId="1EBA032F" w:rsidR="00F07147" w:rsidRPr="00F07147" w:rsidRDefault="00F07147" w:rsidP="00F07147">
      <w:pPr>
        <w:pStyle w:val="ListParagraph"/>
        <w:numPr>
          <w:ilvl w:val="0"/>
          <w:numId w:val="18"/>
        </w:numPr>
        <w:rPr>
          <w:rFonts w:eastAsiaTheme="minorEastAsia"/>
          <w:u w:val="single"/>
          <w:lang w:eastAsia="en-AU"/>
        </w:rPr>
      </w:pPr>
      <w:r>
        <w:rPr>
          <w:lang w:eastAsia="en-AU"/>
        </w:rPr>
        <w:t xml:space="preserve">L0 trigger threshold, </w:t>
      </w:r>
      <m:oMath>
        <m:sSub>
          <m:sSubPr>
            <m:ctrlPr>
              <w:rPr>
                <w:rFonts w:ascii="Cambria Math" w:hAnsi="Cambria Math"/>
                <w:i/>
                <w:lang w:eastAsia="en-AU"/>
              </w:rPr>
            </m:ctrlPr>
          </m:sSubPr>
          <m:e>
            <m:r>
              <w:rPr>
                <w:rFonts w:ascii="Cambria Math" w:hAnsi="Cambria Math"/>
                <w:lang w:eastAsia="en-AU"/>
              </w:rPr>
              <m:t>E</m:t>
            </m:r>
          </m:e>
          <m:sub>
            <m:r>
              <w:rPr>
                <w:rFonts w:ascii="Cambria Math" w:hAnsi="Cambria Math"/>
                <w:lang w:eastAsia="en-AU"/>
              </w:rPr>
              <m:t>T</m:t>
            </m:r>
          </m:sub>
        </m:sSub>
        <m:r>
          <w:rPr>
            <w:rFonts w:ascii="Cambria Math" w:hAnsi="Cambria Math"/>
            <w:lang w:eastAsia="en-AU"/>
          </w:rPr>
          <m:t>&gt;2.5GeV</m:t>
        </m:r>
      </m:oMath>
    </w:p>
    <w:p w14:paraId="0C43E51A" w14:textId="4468F950" w:rsidR="00F07147" w:rsidRPr="00F07147" w:rsidRDefault="00F07147" w:rsidP="00F07147">
      <w:pPr>
        <w:pStyle w:val="ListParagraph"/>
        <w:numPr>
          <w:ilvl w:val="0"/>
          <w:numId w:val="18"/>
        </w:numPr>
        <w:rPr>
          <w:rFonts w:eastAsiaTheme="minorEastAsia"/>
          <w:u w:val="single"/>
          <w:lang w:eastAsia="en-AU"/>
        </w:rPr>
      </w:pPr>
      <w:r>
        <w:rPr>
          <w:lang w:eastAsia="en-AU"/>
        </w:rPr>
        <w:t xml:space="preserve">HLT1 = events are selected when a good track is reconstructed with IP </w:t>
      </w:r>
      <m:oMath>
        <m:sSup>
          <m:sSupPr>
            <m:ctrlPr>
              <w:rPr>
                <w:rFonts w:ascii="Cambria Math" w:hAnsi="Cambria Math"/>
                <w:i/>
                <w:lang w:eastAsia="en-AU"/>
              </w:rPr>
            </m:ctrlPr>
          </m:sSupPr>
          <m:e>
            <m:r>
              <m:rPr>
                <m:sty m:val="p"/>
              </m:rPr>
              <w:rPr>
                <w:rFonts w:ascii="Cambria Math" w:hAnsi="Cambria Math"/>
                <w:lang w:eastAsia="en-AU"/>
              </w:rPr>
              <m:t>χ</m:t>
            </m:r>
            <m:ctrlPr>
              <w:rPr>
                <w:rFonts w:ascii="Cambria Math" w:hAnsi="Cambria Math"/>
                <w:lang w:eastAsia="en-AU"/>
              </w:rPr>
            </m:ctrlPr>
          </m:e>
          <m:sup>
            <m:r>
              <w:rPr>
                <w:rFonts w:ascii="Cambria Math" w:hAnsi="Cambria Math"/>
                <w:lang w:eastAsia="en-AU"/>
              </w:rPr>
              <m:t>2</m:t>
            </m:r>
          </m:sup>
        </m:sSup>
        <m:r>
          <w:rPr>
            <w:rFonts w:ascii="Cambria Math" w:hAnsi="Cambria Math"/>
            <w:lang w:eastAsia="en-AU"/>
          </w:rPr>
          <m:t xml:space="preserve"> &gt; 16</m:t>
        </m:r>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T</m:t>
            </m:r>
          </m:sub>
        </m:sSub>
      </m:oMath>
      <w:r>
        <w:rPr>
          <w:rFonts w:eastAsiaTheme="minorEastAsia"/>
          <w:lang w:eastAsia="en-AU"/>
        </w:rPr>
        <w:t xml:space="preserve"> &gt; 1.7 GeV if </w:t>
      </w:r>
      <m:oMath>
        <m:sSub>
          <m:sSubPr>
            <m:ctrlPr>
              <w:rPr>
                <w:rFonts w:ascii="Cambria Math" w:eastAsiaTheme="minorEastAsia" w:hAnsi="Cambria Math"/>
                <w:i/>
                <w:lang w:eastAsia="en-AU"/>
              </w:rPr>
            </m:ctrlPr>
          </m:sSubPr>
          <m:e>
            <m:r>
              <w:rPr>
                <w:rFonts w:ascii="Cambria Math" w:eastAsiaTheme="minorEastAsia" w:hAnsi="Cambria Math"/>
                <w:lang w:eastAsia="en-AU"/>
              </w:rPr>
              <m:t>E</m:t>
            </m:r>
          </m:e>
          <m:sub>
            <m:r>
              <w:rPr>
                <w:rFonts w:ascii="Cambria Math" w:eastAsiaTheme="minorEastAsia" w:hAnsi="Cambria Math"/>
                <w:lang w:eastAsia="en-AU"/>
              </w:rPr>
              <m:t>T</m:t>
            </m:r>
          </m:sub>
        </m:sSub>
      </m:oMath>
      <w:r>
        <w:rPr>
          <w:rFonts w:eastAsiaTheme="minorEastAsia"/>
          <w:lang w:eastAsia="en-AU"/>
        </w:rPr>
        <w:t xml:space="preserve"> &gt; 2.5 GeV or if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T</m:t>
            </m:r>
          </m:sub>
        </m:sSub>
      </m:oMath>
      <w:r>
        <w:rPr>
          <w:rFonts w:eastAsiaTheme="minorEastAsia"/>
          <w:lang w:eastAsia="en-AU"/>
        </w:rPr>
        <w:t xml:space="preserve"> &gt; 1.2 GeV for </w:t>
      </w:r>
      <m:oMath>
        <m:sSub>
          <m:sSubPr>
            <m:ctrlPr>
              <w:rPr>
                <w:rFonts w:ascii="Cambria Math" w:eastAsiaTheme="minorEastAsia" w:hAnsi="Cambria Math"/>
                <w:i/>
                <w:lang w:eastAsia="en-AU"/>
              </w:rPr>
            </m:ctrlPr>
          </m:sSubPr>
          <m:e>
            <m:r>
              <w:rPr>
                <w:rFonts w:ascii="Cambria Math" w:eastAsiaTheme="minorEastAsia" w:hAnsi="Cambria Math"/>
                <w:lang w:eastAsia="en-AU"/>
              </w:rPr>
              <m:t>E</m:t>
            </m:r>
          </m:e>
          <m:sub>
            <m:r>
              <w:rPr>
                <w:rFonts w:ascii="Cambria Math" w:eastAsiaTheme="minorEastAsia" w:hAnsi="Cambria Math"/>
                <w:lang w:eastAsia="en-AU"/>
              </w:rPr>
              <m:t>T</m:t>
            </m:r>
          </m:sub>
        </m:sSub>
      </m:oMath>
      <w:r>
        <w:rPr>
          <w:rFonts w:eastAsiaTheme="minorEastAsia"/>
          <w:lang w:eastAsia="en-AU"/>
        </w:rPr>
        <w:t xml:space="preserve"> &gt; 4.2 GeV. 88% of candidates are thus explicitly triggered on the signal final state (TOS criteria)</w:t>
      </w:r>
    </w:p>
    <w:p w14:paraId="0224BE0A" w14:textId="6754B672" w:rsidR="00F07147" w:rsidRPr="00705538" w:rsidRDefault="00705538" w:rsidP="00705538">
      <w:pPr>
        <w:pStyle w:val="ListParagraph"/>
        <w:numPr>
          <w:ilvl w:val="0"/>
          <w:numId w:val="18"/>
        </w:numPr>
        <w:rPr>
          <w:rFonts w:eastAsiaTheme="minorEastAsia"/>
          <w:u w:val="single"/>
          <w:lang w:eastAsia="en-AU"/>
        </w:rPr>
      </w:pPr>
      <w:r>
        <w:rPr>
          <w:rFonts w:eastAsiaTheme="minorEastAsia"/>
          <w:lang w:eastAsia="en-AU"/>
        </w:rPr>
        <w:t xml:space="preserve">Stripping is performed in an offline-like selection with looser cuts.  </w:t>
      </w:r>
    </w:p>
    <w:p w14:paraId="37E81A5E" w14:textId="4E5BBB38" w:rsidR="00705538" w:rsidRPr="00705538" w:rsidRDefault="00705538" w:rsidP="00705538">
      <w:pPr>
        <w:pStyle w:val="ListParagraph"/>
        <w:rPr>
          <w:rFonts w:eastAsiaTheme="minorEastAsia"/>
          <w:u w:val="single"/>
          <w:lang w:eastAsia="en-AU"/>
        </w:rPr>
      </w:pPr>
      <w:r w:rsidRPr="00705538">
        <w:rPr>
          <w:rFonts w:eastAsiaTheme="minorEastAsia"/>
          <w:noProof/>
          <w:u w:val="single"/>
          <w:lang w:eastAsia="en-AU"/>
        </w:rPr>
        <w:drawing>
          <wp:inline distT="0" distB="0" distL="0" distR="0" wp14:anchorId="302A3547" wp14:editId="17BA1DD1">
            <wp:extent cx="4800600" cy="1827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966" cy="1828476"/>
                    </a:xfrm>
                    <a:prstGeom prst="rect">
                      <a:avLst/>
                    </a:prstGeom>
                  </pic:spPr>
                </pic:pic>
              </a:graphicData>
            </a:graphic>
          </wp:inline>
        </w:drawing>
      </w:r>
    </w:p>
    <w:p w14:paraId="42E5F83B" w14:textId="54B6E19A" w:rsidR="00951DDB" w:rsidRDefault="00705538" w:rsidP="00705538">
      <w:pPr>
        <w:pStyle w:val="ListParagraph"/>
        <w:numPr>
          <w:ilvl w:val="0"/>
          <w:numId w:val="18"/>
        </w:numPr>
        <w:rPr>
          <w:lang w:eastAsia="en-AU"/>
        </w:rPr>
      </w:pPr>
      <w:r>
        <w:rPr>
          <w:lang w:eastAsia="en-AU"/>
        </w:rPr>
        <w:t xml:space="preserve">Numbers in parentheses represent the monitoring line cuts </w:t>
      </w:r>
    </w:p>
    <w:p w14:paraId="06F9BF78" w14:textId="5B696559" w:rsidR="00705538" w:rsidRDefault="00705538" w:rsidP="00705538">
      <w:pPr>
        <w:pStyle w:val="ListParagraph"/>
        <w:numPr>
          <w:ilvl w:val="0"/>
          <w:numId w:val="18"/>
        </w:numPr>
        <w:rPr>
          <w:lang w:eastAsia="en-AU"/>
        </w:rPr>
      </w:pPr>
      <w:r>
        <w:rPr>
          <w:lang w:eastAsia="en-AU"/>
        </w:rPr>
        <w:t xml:space="preserve">Two charged tracks used to construct the vector meson are required to have both p_T &gt; 500 MeV and at least one among them should have p_T &gt; 1200 MeV. These should also point away from all pp interaction vertices (IP chi^2 &gt; 25). </w:t>
      </w:r>
    </w:p>
    <w:p w14:paraId="7561F4F3" w14:textId="51538EF1" w:rsidR="00705538" w:rsidRPr="00951DDB" w:rsidRDefault="00705538" w:rsidP="00705538">
      <w:pPr>
        <w:jc w:val="center"/>
        <w:rPr>
          <w:lang w:eastAsia="en-AU"/>
        </w:rPr>
      </w:pPr>
      <w:r w:rsidRPr="00705538">
        <w:rPr>
          <w:noProof/>
          <w:lang w:eastAsia="en-AU"/>
        </w:rPr>
        <w:drawing>
          <wp:inline distT="0" distB="0" distL="0" distR="0" wp14:anchorId="0D9FA30C" wp14:editId="53DB7BA5">
            <wp:extent cx="2956560" cy="32253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793" cy="3226683"/>
                    </a:xfrm>
                    <a:prstGeom prst="rect">
                      <a:avLst/>
                    </a:prstGeom>
                  </pic:spPr>
                </pic:pic>
              </a:graphicData>
            </a:graphic>
          </wp:inline>
        </w:drawing>
      </w:r>
    </w:p>
    <w:p w14:paraId="2C10DB80" w14:textId="77777777" w:rsidR="00304F74" w:rsidRPr="00304F74" w:rsidRDefault="00304F74" w:rsidP="00304F74">
      <w:pPr>
        <w:rPr>
          <w:b/>
          <w:bCs/>
          <w:color w:val="FF0000"/>
          <w:lang w:eastAsia="en-AU"/>
        </w:rPr>
      </w:pPr>
    </w:p>
    <w:p w14:paraId="7B98ADBE" w14:textId="2CA320BF" w:rsidR="00373ADC" w:rsidRDefault="006E2646" w:rsidP="00B434C0">
      <w:pPr>
        <w:rPr>
          <w:b/>
          <w:bCs/>
          <w:u w:val="single"/>
        </w:rPr>
      </w:pPr>
      <w:r>
        <w:rPr>
          <w:b/>
          <w:bCs/>
          <w:u w:val="single"/>
        </w:rPr>
        <w:t>Event Selection Overview</w:t>
      </w:r>
    </w:p>
    <w:p w14:paraId="092C1389" w14:textId="5BD1977B" w:rsidR="006E2646" w:rsidRDefault="006E2646" w:rsidP="006E2646">
      <w:pPr>
        <w:pStyle w:val="ListParagraph"/>
        <w:numPr>
          <w:ilvl w:val="0"/>
          <w:numId w:val="25"/>
        </w:numPr>
      </w:pPr>
      <w:r>
        <w:t>LHCb trigger is executed in two steps, one known as the L0 trigger, implemented in hardware, and the HLT (High Level Trigger), which is software based. The L0 calorimeter triggers select events with high energy photons, electrons, and hadrons. The energy deposited in the calorimeter cells is added up and the cluster with the largest transverse energy is selected</w:t>
      </w:r>
      <w:r w:rsidR="00721376">
        <w:t>.</w:t>
      </w:r>
    </w:p>
    <w:p w14:paraId="7E25E7D0" w14:textId="47BD9DAB" w:rsidR="006E2646" w:rsidRDefault="006E2646" w:rsidP="006E2646">
      <w:pPr>
        <w:pStyle w:val="ListParagraph"/>
        <w:numPr>
          <w:ilvl w:val="0"/>
          <w:numId w:val="25"/>
        </w:numPr>
      </w:pPr>
      <w:r>
        <w:t xml:space="preserve">The HLT algorithms use the information from the entire </w:t>
      </w:r>
      <w:r w:rsidR="00020ABD">
        <w:t>detector and</w:t>
      </w:r>
      <w:r>
        <w:t xml:space="preserve"> are executed in the LHCb computing farm. The HLT is further divided into two stages, namely HLT1 and HLT2. HLT1 algorithms merely confirm the L0 candidates. HLT1 comprises several “alleys” (Muon, Electromagnetic, and </w:t>
      </w:r>
      <w:r w:rsidR="00020ABD">
        <w:t>Hadron) to</w:t>
      </w:r>
      <w:r>
        <w:t xml:space="preserve"> select events possessing a similar topology or final state particles. </w:t>
      </w:r>
      <w:r w:rsidR="00020ABD">
        <w:t xml:space="preserve">The algorithms of each alley are executed if the relevant L0 trigger is fired. </w:t>
      </w:r>
    </w:p>
    <w:p w14:paraId="50568FC6" w14:textId="77C68081" w:rsidR="00020ABD" w:rsidRDefault="00020ABD" w:rsidP="006E2646">
      <w:pPr>
        <w:pStyle w:val="ListParagraph"/>
        <w:numPr>
          <w:ilvl w:val="0"/>
          <w:numId w:val="25"/>
        </w:numPr>
      </w:pPr>
      <w:r>
        <w:t xml:space="preserve">At the HLT2 stage, events are completely reconstructed, such that they are similar, but not identical, to those in the offline reconstruction. </w:t>
      </w:r>
      <w:r w:rsidR="00D75846">
        <w:t xml:space="preserve">The HLT2 algorithms include a series of the same (known as HLT2 lines) that are dedicated to selecting various channels with similar final state particles or topologies. </w:t>
      </w:r>
    </w:p>
    <w:p w14:paraId="153CD4EB" w14:textId="12AD3608" w:rsidR="00D75846" w:rsidRDefault="00D75846" w:rsidP="006E2646">
      <w:pPr>
        <w:pStyle w:val="ListParagraph"/>
        <w:numPr>
          <w:ilvl w:val="0"/>
          <w:numId w:val="25"/>
        </w:numPr>
      </w:pPr>
      <w:r>
        <w:t xml:space="preserve">The decay of interest is triggered predominantly by the photon trigger at the L0. The high level triggers (HLT1 and 2) also have dedicated lines to trigger on radiative channels. </w:t>
      </w:r>
    </w:p>
    <w:p w14:paraId="19FE9D69" w14:textId="0A504BB9" w:rsidR="00721376" w:rsidRDefault="00AD7B6F" w:rsidP="00721376">
      <w:pPr>
        <w:rPr>
          <w:b/>
          <w:bCs/>
          <w:u w:val="single"/>
        </w:rPr>
      </w:pPr>
      <w:r>
        <w:rPr>
          <w:b/>
          <w:bCs/>
          <w:u w:val="single"/>
        </w:rPr>
        <w:t>Design and Performance of LHCb Trigger in Run 2</w:t>
      </w:r>
    </w:p>
    <w:p w14:paraId="302D4D7D" w14:textId="0536218B" w:rsidR="00AD7B6F" w:rsidRPr="00AD7B6F" w:rsidRDefault="00AD7B6F" w:rsidP="00721376">
      <w:pPr>
        <w:rPr>
          <w:rFonts w:eastAsiaTheme="minorEastAsia"/>
        </w:rPr>
      </w:pPr>
      <w:r>
        <w:t>The energies deposited in the SPD, PS and ECAL (as well as the HCAL) are used in the L0 calorimeter system to trigger the selection of events. As described in Chapter 2, the detector components are segmented transverse to the beam axis into cells of different size. The decision to trigger an event is based on the transverse energy deposited in clusters of 2 x 2 cells in the ECAL and HCAL. The transverse energy of a cluster is defined as:</w:t>
      </w:r>
      <w:r>
        <w:br/>
      </w:r>
      <w:r w:rsidR="009F5343">
        <w:rPr>
          <w:rFonts w:eastAsiaTheme="minorEastAsia"/>
        </w:rPr>
        <w:t>Sh</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4</m:t>
            </m:r>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i</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func>
            <m:ctrlPr>
              <w:rPr>
                <w:rFonts w:ascii="Cambria Math" w:hAnsi="Cambria Math"/>
                <w:i/>
              </w:rPr>
            </m:ctrlPr>
          </m:e>
        </m:nary>
      </m:oMath>
    </w:p>
    <w:p w14:paraId="547991B7" w14:textId="7A070DC7" w:rsidR="00AD7B6F" w:rsidRDefault="00AD7B6F" w:rsidP="00721376">
      <w:pPr>
        <w:rPr>
          <w:rFonts w:eastAsiaTheme="minorEastAsia"/>
        </w:rPr>
      </w:pPr>
      <w:r>
        <w:rPr>
          <w:rFonts w:eastAsiaTheme="minorEastAsia"/>
        </w:rPr>
        <w:t xml:space="preserve">E_i  = energy deposited in cell I and theta I is the angle between the z axis and the line from the cell centre to the average pp interaction point. The information from the SPD and PS systems is used to distinguish between the hadron, photon and electron candidates. </w:t>
      </w:r>
    </w:p>
    <w:p w14:paraId="7BA878E9" w14:textId="2D435AF3" w:rsidR="00AD7B6F" w:rsidRDefault="00AD7B6F" w:rsidP="00721376">
      <w:pPr>
        <w:rPr>
          <w:rFonts w:eastAsiaTheme="minorEastAsia"/>
        </w:rPr>
      </w:pPr>
      <w:r>
        <w:rPr>
          <w:rFonts w:eastAsiaTheme="minorEastAsia"/>
        </w:rPr>
        <w:t xml:space="preserve">The hadron, photon, and electron trigger lines select events based on the transverse energy of reconstructed ECAL and HCAL clusters. </w:t>
      </w:r>
    </w:p>
    <w:p w14:paraId="0C04FAC4" w14:textId="4A36B1C7" w:rsidR="0050592C" w:rsidRDefault="002C5AC7" w:rsidP="00721376">
      <w:pPr>
        <w:rPr>
          <w:rFonts w:eastAsiaTheme="minorEastAsia"/>
          <w:b/>
          <w:bCs/>
          <w:u w:val="single"/>
        </w:rPr>
      </w:pPr>
      <w:r>
        <w:rPr>
          <w:rFonts w:eastAsiaTheme="minorEastAsia"/>
          <w:b/>
          <w:bCs/>
          <w:u w:val="single"/>
        </w:rPr>
        <w:t>Event Selection Overview</w:t>
      </w:r>
    </w:p>
    <w:p w14:paraId="2B788981" w14:textId="0FE5A8E9" w:rsidR="0050592C" w:rsidRPr="00DB04B1" w:rsidRDefault="0050592C" w:rsidP="00721376">
      <w:pPr>
        <w:rPr>
          <w:rFonts w:eastAsiaTheme="minorEastAsia"/>
        </w:rPr>
      </w:pPr>
      <w:r>
        <w:rPr>
          <w:rFonts w:eastAsiaTheme="minorEastAsia"/>
        </w:rPr>
        <w:t>The data filtered through the trigger</w:t>
      </w:r>
      <w:r w:rsidR="00C825CE">
        <w:rPr>
          <w:rFonts w:eastAsiaTheme="minorEastAsia"/>
        </w:rPr>
        <w:t xml:space="preserve"> system</w:t>
      </w:r>
      <w:r>
        <w:rPr>
          <w:rFonts w:eastAsiaTheme="minorEastAsia"/>
        </w:rPr>
        <w:t xml:space="preserve"> are subjected to a further set of selections known as the stripping, which acts as another stage of the filtering of data. This process is regulated by the DaVinci application, which outputs the filtered data in either DST, or micro-DST format. In order to optimise </w:t>
      </w:r>
      <w:r w:rsidR="00DB04B1">
        <w:rPr>
          <w:rFonts w:eastAsiaTheme="minorEastAsia"/>
        </w:rPr>
        <w:t xml:space="preserve">disk space, and to enhance accessibility of this data for analyses, the files are grouped into </w:t>
      </w:r>
      <w:r w:rsidR="00DB04B1">
        <w:rPr>
          <w:rFonts w:eastAsiaTheme="minorEastAsia"/>
          <w:i/>
          <w:iCs/>
        </w:rPr>
        <w:t>streams</w:t>
      </w:r>
      <w:r w:rsidR="00DB04B1">
        <w:rPr>
          <w:rFonts w:eastAsiaTheme="minorEastAsia"/>
        </w:rPr>
        <w:t xml:space="preserve">, each of which contain similar selection criteria. Each stream is further subdivided into </w:t>
      </w:r>
      <w:r w:rsidR="00DB04B1">
        <w:rPr>
          <w:rFonts w:eastAsiaTheme="minorEastAsia"/>
          <w:i/>
          <w:iCs/>
        </w:rPr>
        <w:t>stripping lines</w:t>
      </w:r>
      <w:r w:rsidR="00DB04B1">
        <w:rPr>
          <w:rFonts w:eastAsiaTheme="minorEastAsia"/>
        </w:rPr>
        <w:t xml:space="preserve">, </w:t>
      </w:r>
      <w:r w:rsidR="00E67A00">
        <w:rPr>
          <w:rFonts w:eastAsiaTheme="minorEastAsia"/>
        </w:rPr>
        <w:t xml:space="preserve">each of </w:t>
      </w:r>
      <w:r w:rsidR="00DB04B1">
        <w:rPr>
          <w:rFonts w:eastAsiaTheme="minorEastAsia"/>
        </w:rPr>
        <w:t xml:space="preserve">which contain the selection criteria </w:t>
      </w:r>
      <w:r w:rsidR="00E67A00">
        <w:rPr>
          <w:rFonts w:eastAsiaTheme="minorEastAsia"/>
        </w:rPr>
        <w:t>pertaining to the analyses being performed at the LHCb. Since the decay of interest has not previously been investigated at the experiment, it is therefore essential to write a stripping line for this decay mode</w:t>
      </w:r>
      <w:r w:rsidR="002C5AC7">
        <w:rPr>
          <w:rFonts w:eastAsiaTheme="minorEastAsia"/>
        </w:rPr>
        <w:t xml:space="preserve">. This is accomplished through the encoding of cuts on various kinematic and shape variables of the decay, such as the transverse momentum, transverse energy, and the chi^2 value of the impact parameter, which is a measure of how well a track can be separated from a vertex, which can be equated to the likelihood of the track to have originated from the vertex. This criteria is </w:t>
      </w:r>
    </w:p>
    <w:p w14:paraId="1E86EBB3" w14:textId="333744C9" w:rsidR="00721376" w:rsidRDefault="008F555D" w:rsidP="00721376">
      <w:pPr>
        <w:rPr>
          <w:b/>
          <w:bCs/>
          <w:u w:val="single"/>
        </w:rPr>
      </w:pPr>
      <w:r>
        <w:rPr>
          <w:b/>
          <w:bCs/>
          <w:u w:val="single"/>
        </w:rPr>
        <w:t>B</w:t>
      </w:r>
      <w:r w:rsidR="007A1C10">
        <w:rPr>
          <w:b/>
          <w:bCs/>
          <w:u w:val="single"/>
        </w:rPr>
        <w:t>ackground Sources</w:t>
      </w:r>
    </w:p>
    <w:p w14:paraId="5CFACBA3" w14:textId="74E91CD0" w:rsidR="00D36B4B" w:rsidRDefault="007A1C10" w:rsidP="00721376">
      <w:pPr>
        <w:rPr>
          <w:rFonts w:eastAsiaTheme="minorEastAsia"/>
        </w:rPr>
      </w:pPr>
      <w:r>
        <w:t xml:space="preserve">The </w:t>
      </w:r>
      <w:r w:rsidR="000D7668">
        <w:t xml:space="preserve">significant </w:t>
      </w:r>
      <w:r>
        <w:t xml:space="preserve">background contributions to the mass distribution of the decay of interest can be broadly classified into </w:t>
      </w:r>
      <w:r w:rsidR="000D7668">
        <w:t xml:space="preserve">two </w:t>
      </w:r>
      <w:r>
        <w:t xml:space="preserve">groups namely, combinatorial background, the contamination from merged </w:t>
      </w:r>
      <m:oMath>
        <m:sSup>
          <m:sSupPr>
            <m:ctrlPr>
              <w:rPr>
                <w:rFonts w:ascii="Cambria Math" w:hAnsi="Cambria Math"/>
                <w:i/>
              </w:rPr>
            </m:ctrlPr>
          </m:sSupPr>
          <m:e>
            <m:r>
              <m:rPr>
                <m:sty m:val="p"/>
              </m:rPr>
              <w:rPr>
                <w:rFonts w:ascii="Cambria Math" w:hAnsi="Cambria Math"/>
              </w:rPr>
              <m:t>π</m:t>
            </m:r>
            <m:ctrlPr>
              <w:rPr>
                <w:rFonts w:ascii="Cambria Math" w:hAnsi="Cambria Math"/>
              </w:rPr>
            </m:ctrlPr>
          </m:e>
          <m:sup>
            <m:r>
              <w:rPr>
                <w:rFonts w:ascii="Cambria Math" w:hAnsi="Cambria Math"/>
              </w:rPr>
              <m:t>0</m:t>
            </m:r>
          </m:sup>
        </m:sSup>
      </m:oMath>
      <w:r>
        <w:rPr>
          <w:rFonts w:eastAsiaTheme="minorEastAsia"/>
        </w:rPr>
        <w:t xml:space="preserve">. In addition to this, the </w:t>
      </w:r>
      <w:r>
        <w:rPr>
          <w:rFonts w:eastAsiaTheme="minorEastAsia"/>
          <w:b/>
          <w:bCs/>
        </w:rPr>
        <w:t xml:space="preserve">irreducible background </w:t>
      </w:r>
      <w:r>
        <w:rPr>
          <w:rFonts w:eastAsiaTheme="minorEastAsia"/>
        </w:rPr>
        <w:t xml:space="preserve">arising from the topologically similar decays of the form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0</m:t>
            </m:r>
          </m:sup>
        </m:sSup>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ctrlPr>
              <w:rPr>
                <w:rFonts w:ascii="Cambria Math" w:eastAsiaTheme="minorEastAsia" w:hAnsi="Cambria Math"/>
              </w:rPr>
            </m:ctrlPr>
          </m:e>
          <m:sup>
            <m:r>
              <w:rPr>
                <w:rFonts w:ascii="Cambria Math" w:eastAsiaTheme="minorEastAsia" w:hAnsi="Cambria Math"/>
              </w:rPr>
              <m:t>*0</m:t>
            </m:r>
          </m:sup>
        </m:sSup>
        <m:r>
          <w:rPr>
            <w:rFonts w:ascii="Cambria Math" w:eastAsiaTheme="minorEastAsia" w:hAnsi="Cambria Math"/>
          </w:rPr>
          <m:t>m, m</m:t>
        </m:r>
        <m:r>
          <m:rPr>
            <m:sty m:val="p"/>
          </m:rPr>
          <w:rPr>
            <w:rFonts w:ascii="Cambria Math" w:eastAsiaTheme="minorEastAsia" w:hAnsi="Cambria Math"/>
          </w:rPr>
          <m:t>→γγ</m:t>
        </m:r>
      </m:oMath>
      <w:r>
        <w:rPr>
          <w:rFonts w:eastAsiaTheme="minorEastAsia"/>
        </w:rPr>
        <w:t xml:space="preserve">, where m represents either the </w:t>
      </w:r>
      <m:oMath>
        <m:sSup>
          <m:sSupPr>
            <m:ctrlPr>
              <w:rPr>
                <w:rFonts w:ascii="Cambria Math" w:eastAsiaTheme="minorEastAsia" w:hAnsi="Cambria Math"/>
                <w:i/>
              </w:rPr>
            </m:ctrlPr>
          </m:sSupPr>
          <m:e>
            <m:r>
              <m:rPr>
                <m:sty m:val="p"/>
              </m:rPr>
              <w:rPr>
                <w:rFonts w:ascii="Cambria Math" w:eastAsiaTheme="minorEastAsia" w:hAnsi="Cambria Math"/>
              </w:rPr>
              <m:t>π</m:t>
            </m:r>
            <m:ctrlPr>
              <w:rPr>
                <w:rFonts w:ascii="Cambria Math" w:eastAsiaTheme="minorEastAsia" w:hAnsi="Cambria Math"/>
              </w:rPr>
            </m:ctrlPr>
          </m:e>
          <m:sup>
            <m:r>
              <w:rPr>
                <w:rFonts w:ascii="Cambria Math" w:eastAsiaTheme="minorEastAsia" w:hAnsi="Cambria Math"/>
              </w:rPr>
              <m:t>0</m:t>
            </m:r>
          </m:sup>
        </m:sSup>
      </m:oMath>
      <w:r>
        <w:rPr>
          <w:rFonts w:eastAsiaTheme="minorEastAsia"/>
        </w:rPr>
        <w:t xml:space="preserve">, </w:t>
      </w:r>
      <m:oMath>
        <m:r>
          <m:rPr>
            <m:sty m:val="p"/>
          </m:rPr>
          <w:rPr>
            <w:rFonts w:ascii="Cambria Math" w:eastAsiaTheme="minorEastAsia" w:hAnsi="Cambria Math"/>
          </w:rPr>
          <m:t>η</m:t>
        </m:r>
      </m:oMath>
      <w:r>
        <w:rPr>
          <w:rFonts w:eastAsiaTheme="minorEastAsia"/>
        </w:rPr>
        <w:t xml:space="preserve">, or the </w:t>
      </w:r>
      <m:oMath>
        <m:sSup>
          <m:sSupPr>
            <m:ctrlPr>
              <w:rPr>
                <w:rFonts w:ascii="Cambria Math" w:eastAsiaTheme="minorEastAsia" w:hAnsi="Cambria Math"/>
                <w:i/>
              </w:rPr>
            </m:ctrlPr>
          </m:sSupPr>
          <m:e>
            <m:r>
              <m:rPr>
                <m:sty m:val="p"/>
              </m:rPr>
              <w:rPr>
                <w:rFonts w:ascii="Cambria Math" w:eastAsiaTheme="minorEastAsia" w:hAnsi="Cambria Math"/>
              </w:rPr>
              <m:t>η</m:t>
            </m:r>
            <m:ctrlPr>
              <w:rPr>
                <w:rFonts w:ascii="Cambria Math" w:eastAsiaTheme="minorEastAsia" w:hAnsi="Cambria Math"/>
              </w:rPr>
            </m:ctrlPr>
          </m:e>
          <m:sup>
            <m:r>
              <w:rPr>
                <w:rFonts w:ascii="Cambria Math" w:eastAsiaTheme="minorEastAsia" w:hAnsi="Cambria Math"/>
              </w:rPr>
              <m:t>'</m:t>
            </m:r>
          </m:sup>
        </m:sSup>
      </m:oMath>
      <w:r>
        <w:rPr>
          <w:rFonts w:eastAsiaTheme="minorEastAsia"/>
        </w:rPr>
        <w:t xml:space="preserve"> mesons necessitates the regions around the masses of these mesons to be excluded, as this analysis is oblivious to ALPs of these masses due to the presence of this irreducible background. </w:t>
      </w:r>
    </w:p>
    <w:p w14:paraId="6E4BBE10" w14:textId="2CD4DC18" w:rsidR="000D7668" w:rsidRPr="000D7668" w:rsidRDefault="00D36B4B" w:rsidP="00721376">
      <w:pPr>
        <w:rPr>
          <w:rFonts w:eastAsiaTheme="minorEastAsia"/>
        </w:rPr>
      </w:pPr>
      <w:r>
        <w:rPr>
          <w:rFonts w:eastAsiaTheme="minorEastAsia"/>
        </w:rPr>
        <w:t xml:space="preserve">Combinatorial background </w:t>
      </w:r>
      <w:r w:rsidR="000D7668">
        <w:rPr>
          <w:rFonts w:eastAsiaTheme="minorEastAsia"/>
        </w:rPr>
        <w:t xml:space="preserve">refers to candidates that have been reconstructed using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sidR="000D7668">
        <w:rPr>
          <w:rFonts w:eastAsiaTheme="minorEastAsia"/>
        </w:rPr>
        <w:t xml:space="preserve"> and  </w:t>
      </w:r>
      <m:oMath>
        <m:sSup>
          <m:sSupPr>
            <m:ctrlPr>
              <w:rPr>
                <w:rFonts w:ascii="Cambria Math" w:eastAsiaTheme="minorEastAsia" w:hAnsi="Cambria Math"/>
                <w:i/>
              </w:rPr>
            </m:ctrlPr>
          </m:sSupPr>
          <m:e>
            <m:r>
              <m:rPr>
                <m:sty m:val="p"/>
              </m:rPr>
              <w:rPr>
                <w:rFonts w:ascii="Cambria Math" w:eastAsiaTheme="minorEastAsia" w:hAnsi="Cambria Math"/>
              </w:rPr>
              <m:t>π</m:t>
            </m:r>
            <m:ctrlPr>
              <w:rPr>
                <w:rFonts w:ascii="Cambria Math" w:eastAsiaTheme="minorEastAsia" w:hAnsi="Cambria Math"/>
              </w:rPr>
            </m:ctrlPr>
          </m:e>
          <m:sup>
            <m:r>
              <w:rPr>
                <w:rFonts w:ascii="Cambria Math" w:eastAsiaTheme="minorEastAsia" w:hAnsi="Cambria Math"/>
              </w:rPr>
              <m:t>-</m:t>
            </m:r>
          </m:sup>
        </m:sSup>
      </m:oMath>
      <w:r w:rsidR="000D7668">
        <w:rPr>
          <w:rFonts w:eastAsiaTheme="minorEastAsia"/>
        </w:rPr>
        <w:t xml:space="preserve"> tracks, and/or photons that originated in the collision, or is not part of the decay chain of interest. This type of background will be modelled in the event selection phase using the high mass sideband (</w:t>
      </w:r>
      <w:proofErr w:type="gramStart"/>
      <w:r w:rsidR="000D7668">
        <w:rPr>
          <w:rFonts w:eastAsiaTheme="minorEastAsia"/>
        </w:rPr>
        <w:t>i.e.</w:t>
      </w:r>
      <w:proofErr w:type="gramEnd"/>
      <w:r w:rsidR="000D7668">
        <w:rPr>
          <w:rFonts w:eastAsiaTheme="minorEastAsia"/>
        </w:rPr>
        <w:t xml:space="preserve"> beyond 5 GeV in this case) where one can be certain that a signal will not be observed. </w:t>
      </w:r>
    </w:p>
    <w:p w14:paraId="289E4767" w14:textId="4A7AACFF" w:rsidR="00D36B4B" w:rsidRPr="00D36B4B" w:rsidRDefault="00D36B4B" w:rsidP="00721376">
      <w:pPr>
        <w:rPr>
          <w:rFonts w:eastAsiaTheme="minorEastAsia"/>
        </w:rPr>
      </w:pPr>
      <m:oMath>
        <m:sSup>
          <m:sSupPr>
            <m:ctrlPr>
              <w:rPr>
                <w:rFonts w:ascii="Cambria Math" w:eastAsiaTheme="minorEastAsia" w:hAnsi="Cambria Math"/>
                <w:i/>
              </w:rPr>
            </m:ctrlPr>
          </m:sSupPr>
          <m:e>
            <m:r>
              <m:rPr>
                <m:sty m:val="p"/>
              </m:rPr>
              <w:rPr>
                <w:rFonts w:ascii="Cambria Math" w:eastAsiaTheme="minorEastAsia" w:hAnsi="Cambria Math"/>
              </w:rPr>
              <m:t>π</m:t>
            </m:r>
            <m:ctrlPr>
              <w:rPr>
                <w:rFonts w:ascii="Cambria Math" w:eastAsiaTheme="minorEastAsia" w:hAnsi="Cambria Math"/>
              </w:rPr>
            </m:ctrlPr>
          </m:e>
          <m:sup>
            <m:r>
              <w:rPr>
                <w:rFonts w:ascii="Cambria Math" w:eastAsiaTheme="minorEastAsia" w:hAnsi="Cambria Math"/>
              </w:rPr>
              <m:t>0</m:t>
            </m:r>
          </m:sup>
        </m:sSup>
        <m:r>
          <w:rPr>
            <w:rFonts w:ascii="Cambria Math" w:eastAsiaTheme="minorEastAsia" w:hAnsi="Cambria Math"/>
          </w:rPr>
          <m:t xml:space="preserve">s </m:t>
        </m:r>
      </m:oMath>
      <w:r>
        <w:rPr>
          <w:rFonts w:eastAsiaTheme="minorEastAsia"/>
        </w:rPr>
        <w:t xml:space="preserve"> possessing high energy would decay into two photons which would have a small opening angle between them, thereby being resolved, and subsequently misidentified as a single photon. This is known as a merged </w:t>
      </w:r>
      <m:oMath>
        <m:sSup>
          <m:sSupPr>
            <m:ctrlPr>
              <w:rPr>
                <w:rFonts w:ascii="Cambria Math" w:eastAsiaTheme="minorEastAsia" w:hAnsi="Cambria Math"/>
                <w:i/>
              </w:rPr>
            </m:ctrlPr>
          </m:sSupPr>
          <m:e>
            <m:r>
              <m:rPr>
                <m:sty m:val="p"/>
              </m:rPr>
              <w:rPr>
                <w:rFonts w:ascii="Cambria Math" w:eastAsiaTheme="minorEastAsia" w:hAnsi="Cambria Math"/>
              </w:rPr>
              <m:t>π</m:t>
            </m:r>
            <m:ctrlPr>
              <w:rPr>
                <w:rFonts w:ascii="Cambria Math" w:eastAsiaTheme="minorEastAsia" w:hAnsi="Cambria Math"/>
              </w:rPr>
            </m:ctrlPr>
          </m:e>
          <m:sup>
            <m:r>
              <w:rPr>
                <w:rFonts w:ascii="Cambria Math" w:eastAsiaTheme="minorEastAsia" w:hAnsi="Cambria Math"/>
              </w:rPr>
              <m:t>0</m:t>
            </m:r>
          </m:sup>
        </m:sSup>
      </m:oMath>
      <w:r>
        <w:rPr>
          <w:rFonts w:eastAsiaTheme="minorEastAsia"/>
        </w:rPr>
        <w:t xml:space="preserve"> contribution, which begins to occur once the transverse momentum of the neutral pion exceeds 2 GeV/c. </w:t>
      </w:r>
    </w:p>
    <w:p w14:paraId="499548A5" w14:textId="77777777" w:rsidR="00D36B4B" w:rsidRPr="00D36B4B" w:rsidRDefault="00D36B4B" w:rsidP="00721376">
      <w:pPr>
        <w:rPr>
          <w:rFonts w:eastAsiaTheme="minorEastAsia"/>
        </w:rPr>
      </w:pPr>
    </w:p>
    <w:p w14:paraId="6CEDFD56" w14:textId="77777777" w:rsidR="007A1C10" w:rsidRPr="007A1C10" w:rsidRDefault="007A1C10" w:rsidP="00721376">
      <w:pPr>
        <w:rPr>
          <w:rFonts w:eastAsiaTheme="minorEastAsia"/>
        </w:rPr>
      </w:pPr>
    </w:p>
    <w:p w14:paraId="6B69D30A" w14:textId="77777777" w:rsidR="007A1C10" w:rsidRPr="007A1C10" w:rsidRDefault="007A1C10" w:rsidP="00721376">
      <w:pPr>
        <w:rPr>
          <w:rFonts w:eastAsiaTheme="minorEastAsia"/>
        </w:rPr>
      </w:pPr>
    </w:p>
    <w:p w14:paraId="494B9951" w14:textId="77777777" w:rsidR="007A1C10" w:rsidRPr="007A1C10" w:rsidRDefault="007A1C10" w:rsidP="00721376">
      <w:pPr>
        <w:rPr>
          <w:rFonts w:eastAsiaTheme="minorEastAsia"/>
        </w:rPr>
      </w:pPr>
    </w:p>
    <w:p w14:paraId="4ACAD993" w14:textId="77777777" w:rsidR="007A1C10" w:rsidRPr="007A1C10" w:rsidRDefault="007A1C10" w:rsidP="00721376">
      <w:pPr>
        <w:rPr>
          <w:rFonts w:eastAsiaTheme="minorEastAsia"/>
        </w:rPr>
      </w:pPr>
    </w:p>
    <w:p w14:paraId="680447F3" w14:textId="77777777" w:rsidR="007A1C10" w:rsidRPr="007A1C10" w:rsidRDefault="007A1C10" w:rsidP="00721376">
      <w:pPr>
        <w:rPr>
          <w:rFonts w:eastAsiaTheme="minorEastAsia"/>
        </w:rPr>
      </w:pPr>
    </w:p>
    <w:p w14:paraId="2639D90D" w14:textId="77777777" w:rsidR="007A1C10" w:rsidRPr="007A1C10" w:rsidRDefault="007A1C10" w:rsidP="00721376">
      <w:pPr>
        <w:rPr>
          <w:rFonts w:eastAsiaTheme="minorEastAsia"/>
        </w:rPr>
      </w:pPr>
    </w:p>
    <w:p w14:paraId="5A78705D" w14:textId="190C6622" w:rsidR="007A1C10" w:rsidRPr="007A1C10" w:rsidRDefault="007A1C10" w:rsidP="00721376">
      <w:pPr>
        <w:rPr>
          <w:rFonts w:eastAsiaTheme="minorEastAsia"/>
          <w:b/>
          <w:bCs/>
          <w:u w:val="single"/>
        </w:rPr>
      </w:pPr>
      <w:r>
        <w:rPr>
          <w:rFonts w:eastAsiaTheme="minorEastAsia"/>
          <w:b/>
          <w:bCs/>
          <w:u w:val="single"/>
        </w:rPr>
        <w:t>Event Selection: Next Steps</w:t>
      </w: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2D4889" w:rsidP="00AA46D5">
      <w:pPr>
        <w:pStyle w:val="ListParagraph"/>
        <w:numPr>
          <w:ilvl w:val="0"/>
          <w:numId w:val="4"/>
        </w:numPr>
      </w:pPr>
      <w:hyperlink r:id="rId30"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16790"/>
    <w:multiLevelType w:val="hybridMultilevel"/>
    <w:tmpl w:val="80A2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32700"/>
    <w:multiLevelType w:val="hybridMultilevel"/>
    <w:tmpl w:val="61C2B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4B0797"/>
    <w:multiLevelType w:val="hybridMultilevel"/>
    <w:tmpl w:val="D764C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814497F"/>
    <w:multiLevelType w:val="hybridMultilevel"/>
    <w:tmpl w:val="8012B0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D779D1"/>
    <w:multiLevelType w:val="hybridMultilevel"/>
    <w:tmpl w:val="17624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6107DAD"/>
    <w:multiLevelType w:val="hybridMultilevel"/>
    <w:tmpl w:val="36BADF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25E6915"/>
    <w:multiLevelType w:val="hybridMultilevel"/>
    <w:tmpl w:val="65028B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5D67C56"/>
    <w:multiLevelType w:val="hybridMultilevel"/>
    <w:tmpl w:val="6B866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4059BF"/>
    <w:multiLevelType w:val="hybridMultilevel"/>
    <w:tmpl w:val="D3B8E5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B9A234A"/>
    <w:multiLevelType w:val="hybridMultilevel"/>
    <w:tmpl w:val="0A583A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5"/>
  </w:num>
  <w:num w:numId="2" w16cid:durableId="1830945112">
    <w:abstractNumId w:val="8"/>
  </w:num>
  <w:num w:numId="3" w16cid:durableId="1229606155">
    <w:abstractNumId w:val="5"/>
  </w:num>
  <w:num w:numId="4" w16cid:durableId="1119255310">
    <w:abstractNumId w:val="3"/>
  </w:num>
  <w:num w:numId="5" w16cid:durableId="1046027780">
    <w:abstractNumId w:val="16"/>
  </w:num>
  <w:num w:numId="6" w16cid:durableId="1720396450">
    <w:abstractNumId w:val="2"/>
  </w:num>
  <w:num w:numId="7" w16cid:durableId="2119762080">
    <w:abstractNumId w:val="9"/>
  </w:num>
  <w:num w:numId="8" w16cid:durableId="864517985">
    <w:abstractNumId w:val="18"/>
  </w:num>
  <w:num w:numId="9" w16cid:durableId="130752204">
    <w:abstractNumId w:val="19"/>
  </w:num>
  <w:num w:numId="10" w16cid:durableId="1569876369">
    <w:abstractNumId w:val="11"/>
  </w:num>
  <w:num w:numId="11" w16cid:durableId="879827555">
    <w:abstractNumId w:val="0"/>
  </w:num>
  <w:num w:numId="12" w16cid:durableId="1749384159">
    <w:abstractNumId w:val="22"/>
  </w:num>
  <w:num w:numId="13" w16cid:durableId="730234838">
    <w:abstractNumId w:val="10"/>
  </w:num>
  <w:num w:numId="14" w16cid:durableId="1230310610">
    <w:abstractNumId w:val="1"/>
  </w:num>
  <w:num w:numId="15" w16cid:durableId="179206146">
    <w:abstractNumId w:val="12"/>
  </w:num>
  <w:num w:numId="16" w16cid:durableId="1437628494">
    <w:abstractNumId w:val="4"/>
  </w:num>
  <w:num w:numId="17" w16cid:durableId="872619635">
    <w:abstractNumId w:val="17"/>
  </w:num>
  <w:num w:numId="18" w16cid:durableId="480273975">
    <w:abstractNumId w:val="6"/>
  </w:num>
  <w:num w:numId="19" w16cid:durableId="203717876">
    <w:abstractNumId w:val="20"/>
  </w:num>
  <w:num w:numId="20" w16cid:durableId="221866903">
    <w:abstractNumId w:val="14"/>
  </w:num>
  <w:num w:numId="21" w16cid:durableId="2069181139">
    <w:abstractNumId w:val="7"/>
  </w:num>
  <w:num w:numId="22" w16cid:durableId="800146455">
    <w:abstractNumId w:val="23"/>
  </w:num>
  <w:num w:numId="23" w16cid:durableId="2057197175">
    <w:abstractNumId w:val="21"/>
  </w:num>
  <w:num w:numId="24" w16cid:durableId="1865168883">
    <w:abstractNumId w:val="13"/>
  </w:num>
  <w:num w:numId="25" w16cid:durableId="121524098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1374F"/>
    <w:rsid w:val="00020ABD"/>
    <w:rsid w:val="00042169"/>
    <w:rsid w:val="00062CE9"/>
    <w:rsid w:val="00067586"/>
    <w:rsid w:val="00072E41"/>
    <w:rsid w:val="000736B5"/>
    <w:rsid w:val="00082223"/>
    <w:rsid w:val="0008328C"/>
    <w:rsid w:val="000A5C3C"/>
    <w:rsid w:val="000C4914"/>
    <w:rsid w:val="000D7668"/>
    <w:rsid w:val="000E75B5"/>
    <w:rsid w:val="000F2E21"/>
    <w:rsid w:val="0010043D"/>
    <w:rsid w:val="00151D22"/>
    <w:rsid w:val="00157556"/>
    <w:rsid w:val="00164721"/>
    <w:rsid w:val="00164EFB"/>
    <w:rsid w:val="001915DB"/>
    <w:rsid w:val="001A6127"/>
    <w:rsid w:val="001C38A5"/>
    <w:rsid w:val="001D7ED4"/>
    <w:rsid w:val="001E2ADB"/>
    <w:rsid w:val="001E5159"/>
    <w:rsid w:val="00221010"/>
    <w:rsid w:val="00222CC6"/>
    <w:rsid w:val="00225CC7"/>
    <w:rsid w:val="00226081"/>
    <w:rsid w:val="002451FA"/>
    <w:rsid w:val="00273067"/>
    <w:rsid w:val="00280CCC"/>
    <w:rsid w:val="00282C2A"/>
    <w:rsid w:val="002957D6"/>
    <w:rsid w:val="002A452F"/>
    <w:rsid w:val="002C1514"/>
    <w:rsid w:val="002C5AC7"/>
    <w:rsid w:val="002C6CE4"/>
    <w:rsid w:val="002D382E"/>
    <w:rsid w:val="002D4889"/>
    <w:rsid w:val="002E18F5"/>
    <w:rsid w:val="002E64DF"/>
    <w:rsid w:val="002F1B2C"/>
    <w:rsid w:val="002F7F35"/>
    <w:rsid w:val="00304F74"/>
    <w:rsid w:val="00324E4D"/>
    <w:rsid w:val="003270FE"/>
    <w:rsid w:val="003313E8"/>
    <w:rsid w:val="0033587B"/>
    <w:rsid w:val="00340563"/>
    <w:rsid w:val="003428A8"/>
    <w:rsid w:val="00345F46"/>
    <w:rsid w:val="00360552"/>
    <w:rsid w:val="0036273D"/>
    <w:rsid w:val="00372AE0"/>
    <w:rsid w:val="00373ADC"/>
    <w:rsid w:val="0037455A"/>
    <w:rsid w:val="00375CA6"/>
    <w:rsid w:val="00382719"/>
    <w:rsid w:val="00387525"/>
    <w:rsid w:val="00391895"/>
    <w:rsid w:val="00425DCC"/>
    <w:rsid w:val="004262DD"/>
    <w:rsid w:val="004370E5"/>
    <w:rsid w:val="00446344"/>
    <w:rsid w:val="004527B0"/>
    <w:rsid w:val="00457A38"/>
    <w:rsid w:val="004668A2"/>
    <w:rsid w:val="004677A1"/>
    <w:rsid w:val="004954E4"/>
    <w:rsid w:val="004A4187"/>
    <w:rsid w:val="004C081F"/>
    <w:rsid w:val="004C4E3C"/>
    <w:rsid w:val="004D30B4"/>
    <w:rsid w:val="004E3012"/>
    <w:rsid w:val="004E6226"/>
    <w:rsid w:val="004F4DD7"/>
    <w:rsid w:val="005008DD"/>
    <w:rsid w:val="0050592C"/>
    <w:rsid w:val="005116B1"/>
    <w:rsid w:val="005262E5"/>
    <w:rsid w:val="00530DF8"/>
    <w:rsid w:val="005579D1"/>
    <w:rsid w:val="005901B4"/>
    <w:rsid w:val="00596513"/>
    <w:rsid w:val="005B15C2"/>
    <w:rsid w:val="005B50D4"/>
    <w:rsid w:val="005D00A0"/>
    <w:rsid w:val="005D0514"/>
    <w:rsid w:val="005D461F"/>
    <w:rsid w:val="005E23EC"/>
    <w:rsid w:val="005E51DB"/>
    <w:rsid w:val="005F0E6A"/>
    <w:rsid w:val="00611808"/>
    <w:rsid w:val="0061210D"/>
    <w:rsid w:val="00617089"/>
    <w:rsid w:val="00625DB3"/>
    <w:rsid w:val="00667C30"/>
    <w:rsid w:val="00671080"/>
    <w:rsid w:val="00672C95"/>
    <w:rsid w:val="00680052"/>
    <w:rsid w:val="006A46DB"/>
    <w:rsid w:val="006A55FE"/>
    <w:rsid w:val="006D04A3"/>
    <w:rsid w:val="006D3969"/>
    <w:rsid w:val="006D5E35"/>
    <w:rsid w:val="006E2646"/>
    <w:rsid w:val="006F2C7E"/>
    <w:rsid w:val="00705538"/>
    <w:rsid w:val="007069BD"/>
    <w:rsid w:val="00706AFC"/>
    <w:rsid w:val="0071162D"/>
    <w:rsid w:val="00716D59"/>
    <w:rsid w:val="00717763"/>
    <w:rsid w:val="00721376"/>
    <w:rsid w:val="00722D9B"/>
    <w:rsid w:val="007378ED"/>
    <w:rsid w:val="00742B0E"/>
    <w:rsid w:val="00750C5B"/>
    <w:rsid w:val="00764F75"/>
    <w:rsid w:val="00765360"/>
    <w:rsid w:val="00794E4D"/>
    <w:rsid w:val="007A1C10"/>
    <w:rsid w:val="007A2F1C"/>
    <w:rsid w:val="007A7DDF"/>
    <w:rsid w:val="007B08AE"/>
    <w:rsid w:val="007B37AB"/>
    <w:rsid w:val="007C0ADC"/>
    <w:rsid w:val="007E6842"/>
    <w:rsid w:val="00800D47"/>
    <w:rsid w:val="00824342"/>
    <w:rsid w:val="008355A3"/>
    <w:rsid w:val="00836231"/>
    <w:rsid w:val="0084104A"/>
    <w:rsid w:val="0084675E"/>
    <w:rsid w:val="0086522C"/>
    <w:rsid w:val="00866525"/>
    <w:rsid w:val="008743A6"/>
    <w:rsid w:val="008765E6"/>
    <w:rsid w:val="0089007F"/>
    <w:rsid w:val="008A681C"/>
    <w:rsid w:val="008D5BE3"/>
    <w:rsid w:val="008F555D"/>
    <w:rsid w:val="00947C38"/>
    <w:rsid w:val="00951DDB"/>
    <w:rsid w:val="00953052"/>
    <w:rsid w:val="00963D2A"/>
    <w:rsid w:val="0096497E"/>
    <w:rsid w:val="0098459E"/>
    <w:rsid w:val="00984811"/>
    <w:rsid w:val="009939BA"/>
    <w:rsid w:val="009C74D2"/>
    <w:rsid w:val="009F5343"/>
    <w:rsid w:val="009F61F1"/>
    <w:rsid w:val="00A00197"/>
    <w:rsid w:val="00A0652C"/>
    <w:rsid w:val="00A222E8"/>
    <w:rsid w:val="00A273F8"/>
    <w:rsid w:val="00A326B2"/>
    <w:rsid w:val="00A33C4E"/>
    <w:rsid w:val="00A56936"/>
    <w:rsid w:val="00A638F9"/>
    <w:rsid w:val="00A67EF1"/>
    <w:rsid w:val="00AA46D5"/>
    <w:rsid w:val="00AD7B6F"/>
    <w:rsid w:val="00AE7ED0"/>
    <w:rsid w:val="00AF33C4"/>
    <w:rsid w:val="00AF41B5"/>
    <w:rsid w:val="00AF6E00"/>
    <w:rsid w:val="00B015A9"/>
    <w:rsid w:val="00B1423C"/>
    <w:rsid w:val="00B23FEB"/>
    <w:rsid w:val="00B401DD"/>
    <w:rsid w:val="00B41504"/>
    <w:rsid w:val="00B434C0"/>
    <w:rsid w:val="00B73C56"/>
    <w:rsid w:val="00B90E31"/>
    <w:rsid w:val="00B94C45"/>
    <w:rsid w:val="00B9720E"/>
    <w:rsid w:val="00BD79FD"/>
    <w:rsid w:val="00BF55E4"/>
    <w:rsid w:val="00C2446C"/>
    <w:rsid w:val="00C25402"/>
    <w:rsid w:val="00C311E7"/>
    <w:rsid w:val="00C33F0A"/>
    <w:rsid w:val="00C4564C"/>
    <w:rsid w:val="00C633D2"/>
    <w:rsid w:val="00C653AC"/>
    <w:rsid w:val="00C825CE"/>
    <w:rsid w:val="00C83953"/>
    <w:rsid w:val="00C86931"/>
    <w:rsid w:val="00C925F5"/>
    <w:rsid w:val="00CB5072"/>
    <w:rsid w:val="00CD07F1"/>
    <w:rsid w:val="00CD2BA0"/>
    <w:rsid w:val="00D14D6E"/>
    <w:rsid w:val="00D15AE3"/>
    <w:rsid w:val="00D237CA"/>
    <w:rsid w:val="00D304D7"/>
    <w:rsid w:val="00D32821"/>
    <w:rsid w:val="00D36B4B"/>
    <w:rsid w:val="00D75846"/>
    <w:rsid w:val="00D8242A"/>
    <w:rsid w:val="00D8526F"/>
    <w:rsid w:val="00D86CAC"/>
    <w:rsid w:val="00D94956"/>
    <w:rsid w:val="00DA16CF"/>
    <w:rsid w:val="00DA3F36"/>
    <w:rsid w:val="00DB04B1"/>
    <w:rsid w:val="00DB2C41"/>
    <w:rsid w:val="00DD4DB3"/>
    <w:rsid w:val="00DF420D"/>
    <w:rsid w:val="00E67A00"/>
    <w:rsid w:val="00E7192C"/>
    <w:rsid w:val="00E74FFE"/>
    <w:rsid w:val="00E7747F"/>
    <w:rsid w:val="00E7762F"/>
    <w:rsid w:val="00E802FC"/>
    <w:rsid w:val="00E902B3"/>
    <w:rsid w:val="00EB1160"/>
    <w:rsid w:val="00EC13A4"/>
    <w:rsid w:val="00ED12B8"/>
    <w:rsid w:val="00EE0420"/>
    <w:rsid w:val="00EE7159"/>
    <w:rsid w:val="00EF47CB"/>
    <w:rsid w:val="00F00EE5"/>
    <w:rsid w:val="00F07147"/>
    <w:rsid w:val="00F12607"/>
    <w:rsid w:val="00F20D92"/>
    <w:rsid w:val="00F50410"/>
    <w:rsid w:val="00F54D93"/>
    <w:rsid w:val="00F7351F"/>
    <w:rsid w:val="00F9239B"/>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1DDFE4F9-69EF-4E60-9EAB-2AD23060B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 w:id="194329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youtube.com/watch?v=UlyGazWke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60871</TotalTime>
  <Pages>26</Pages>
  <Words>9203</Words>
  <Characters>52461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Sai Pemmaraju</cp:lastModifiedBy>
  <cp:revision>4</cp:revision>
  <dcterms:created xsi:type="dcterms:W3CDTF">2022-07-31T09:12:00Z</dcterms:created>
  <dcterms:modified xsi:type="dcterms:W3CDTF">2023-04-13T06:39:00Z</dcterms:modified>
</cp:coreProperties>
</file>