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(i.e. quarks are always found in bound states). Quarks are ‘skewed’ for weak interactions (i.e.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$d’,s’ and b’$ are linear combinations of $d, s$, and $b$, and $V_{CKM}$ represents the coupling strengths between the quarks ($V_{ud}</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 xml:space="preserve">represents the coupling of $u$ to $d$ (i.e.$d\rightarrow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(Egede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 xml:space="preserve">process and is forbidden in the SM at tree level. However, at one-loop level, the FCNC quark level process like $b\rightarrow s\gamma$ is permitted. Examples of such decays include $B^{0}\rightarrow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Here, the operators $\mathcal{O}_{i}$ encode the low energy behaviour and the complex valued Wilson coefficients $C_{i}$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is: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(i.e.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theory, but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QCD Lagrangian</w:t>
      </w:r>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Lagrangian possesses a U(3)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SU(3)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 xml:space="preserve">$c$ is a constant, $\Lambda$ represents a QCD scale and $\delta_{ff’}$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$SU(3)_{V}$).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xml:space="preserve">. The ninth boson appears to be missing, the only candidate for which at this stage is the $\eta’$ (with a mass of 958 MeV). For a relativistic field theory for scalars, the relevant mass parameter is $m^{2}$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$m\rightarrow 0$ (i.e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$F_{\mu\nu}$ represents the QCD field strength and $\tilde{F} = \frac{1}{2}\epsilon_{\mu\nu\rho\sigma}F^{\rho\sigma}$</w:t>
      </w:r>
      <w:r w:rsidR="00E74FFE">
        <w:rPr>
          <w:rFonts w:ascii="Calibri" w:eastAsia="Times New Roman" w:hAnsi="Calibri" w:cs="Calibri"/>
          <w:color w:val="000000"/>
          <w:lang w:eastAsia="en-AU"/>
        </w:rPr>
        <w:t xml:space="preserve">. F and its dual are related by an exchange of $\vec{E}$ and $\vec{B}$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An additional term containing depending on an angle $\theta$ can be added to the QCD Lagrangian,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 xml:space="preserve">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(i.e. leptons and quarks). </w:t>
      </w:r>
      <w:r w:rsidR="00446344">
        <w:rPr>
          <w:rFonts w:ascii="Calibri" w:eastAsia="Times New Roman" w:hAnsi="Calibri" w:cs="Calibri"/>
          <w:color w:val="000000"/>
          <w:lang w:eastAsia="en-AU"/>
        </w:rPr>
        <w:t xml:space="preserve">The interactions of ALPs with these SM particles preserves a global shift symmetry $a\rightarrow a+c$,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$g_{aW}$ to the SU(2)_{W} gauge-boson field strengths, $W^{b}_{\mu\nu}$, and Lagrangian:</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 xml:space="preserve">$\tilde{W}^{b\mu\nu}$ is the dual field-strength tensor. This coupling leads to the production of ALPs at one-loop level in the process $B\rightarrow K^{*}a$, where the ALP is emitted from an internal $W^{\pm}$ boson. Electroweak symmetry breaking and the resulting gauge boson mixing generates an ALP coupling to a pair of photons, and the branching fraction for $a\rightarrow\gamma\gamma$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$B\rightarrow K*A, A\rightarrow\gamma\gamma$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(Tongyan, Lin, Shuve paper)</w:t>
      </w:r>
      <w:r w:rsidR="00706AFC">
        <w:rPr>
          <w:rFonts w:ascii="Calibri" w:eastAsia="Times New Roman" w:hAnsi="Calibri" w:cs="Calibri"/>
          <w:color w:val="000000"/>
          <w:lang w:eastAsia="en-AU"/>
        </w:rPr>
        <w:t>, and thereby exploit the coupling of ALPs to W+- bosons, which can give rise to observable signatures. This ALP model possesses a zero coupling with gluons. The effective Lagrangian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\epsilon^{\mu\nu\alpha\beta}W_{\alpha\beta}/2$)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level, but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to pairs of gauge bosons (specifically photons), the following decay channels were deemed to be promising for the detection of ALPs at the LHCb:</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2: The LHCb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LHCb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has a $b\bar{b}$ production cross-section of approximately 500 microbarn at an energy of 13 TeV, and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Data taking at the LHCb detector is divided into fills and runs. A fill is a single period of collisions delimited by the announcement of stable beam conditions and the dumping of the beam by the LHCb; a phase which typically lasts approximately 12 hours. A fill is further divided into runs, each of hich lasts a maximum of one hour.In order to benefit from the high event rate at the LHCb,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Structure of the LHCb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is a single arm spectrometer with a forward angular coverage from approximately 10 mrad to 300 mrad in the bending (non-bending) plane and covering the pseudorapidity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preshower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VELO is a silicon microstrip detector that surrounds the proton-proton interaction region in the LHCb experiment. It provides measurements of track coordinates that enable the identification of the primary interaction and secondary vertices, which are characteristic of b and c-hadron decays. The VELO was designed to optimise the following aspects of the LHCb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The VELO is designed to cover the forward region such that all tracks inside the nominal LHCb acceptance of 15-300 mrad cross at least three VELO stations. In this way, the detector fully reconstructs roughly 27% of $b\bar{b}$ production for 7 TeV proton-proton centre of mass collisions, while covering just 1.8% of the solid angle. The VELO also reconstructs tracks in the forward and backward directions hich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LHCb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LHCb physics programme. Most analyses rely heavily on selection cuts on the distance with which tracks approach the primary vertex (i.e.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two Ring Image Cherenkov (RICH) detectors, named RICH1 and RICH2 are responsible for the identification of charged hadrons (e.g. pions, kaons, and protons). RICH1 covers the low and intermediate momentum region (i.e. 2-40 GeV/c) over the full spectrometer angular acceptance of 25-300 mrad, while RICH2 covers the high-momentum region 15-100 GeV/c over the angular range 15-120 mrad.</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region, and is located immediately downstream of the VELO described above. RICH 2 on the other hand, is placed downstream of the magnet, since the high momentum tracks that it measures are less influenced by the magnetic field. Both detectors consist of entrance and exit windows that serve as links to the VELO and magnet respectively. These windows form a foam sandwich construction, and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Each cell of the ECAL and HCAL is equipped with a PMT and the corresponding FEB converts the signal to an energy value E, in order to obtain a constant dynamic range in transverse energy over the calorimeter plane. The transverse energy, $E_{T}$ is defined as $E_{T} = E\sin(\theta)$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measures the transverse energy of electrons, photons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(e.g.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Three regions have been labelled in the diagram below (inner, middle and outer), depending on the distance of the cells to the beam-pipe. The cell size is such that the SPD-PS-ECAL system is projective, as seen from the interaction point. In addition, the outer dimensions of the ECAL match projectively with those of the tracking system $\theta_{x} &lt; 300 mrad$ and $\theta_{y} &lt; 250 mrad$ while the inner angular acceptance of ECAL is limited to $\theta_{x,y} &gt; 25 mrad$ around the beam pipe, where $\theta_{x}$ and $\theta_{y}$ are the polar angles in the LHCb frame in which (x,y)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LHCb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LHCb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(i.e.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The measurements cover the forward acceptance of $\pm 250$ mrad vertically and of $\pm 300 $ mrad horizontally. The magnet consists of saddle-shaped coils in a window-frame yoke with sloping poles in order to match the required detector acceptance, and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millimeters.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(e.g.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The LHCb Data Flow</w:t>
      </w:r>
    </w:p>
    <w:p w14:paraId="36187CD9" w14:textId="60BB1F5F" w:rsidR="00742B0E" w:rsidRDefault="00304F74" w:rsidP="00373ADC">
      <w:pPr>
        <w:rPr>
          <w:lang w:eastAsia="en-AU"/>
        </w:rPr>
      </w:pPr>
      <w:r>
        <w:rPr>
          <w:lang w:eastAsia="en-AU"/>
        </w:rPr>
        <w:t>The LHCb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LHCb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analysis, but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(LHCb default) and POWHEG, and for controlling EvtGen and Geant4.</w:t>
      </w:r>
      <w:r w:rsidR="00B401DD">
        <w:rPr>
          <w:lang w:eastAsia="en-AU"/>
        </w:rPr>
        <w:t xml:space="preserve"> EvtGen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(i.e.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(i.e. alignment) and generally have a lifetime that corresponds to the processing of many events</w:t>
      </w:r>
      <w:r w:rsidR="0084675E">
        <w:t xml:space="preserve">. The Transient Histogram Store contains statistical data, which typically have a lifetime corresponding to the data processed in a complete job. Although the stores behave slightly differently, particularly with respect to the data lifetime (e.g.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 xml:space="preserve">The organisation of the data within the transient data stores is “tree-like”, similar to a Unix file system, thereby allowing data items that are logically related (e.g.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detectors and fueled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uni-directional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The Pythia program is a standard tool for the generation of high-energy collisions, comprising a coherent set of physics models for the evolution from a few-body hard process to a complex multihadronic final state. It contains a library of hard processes and models for initial and final-state parton showers, multiple parton-parton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The hard processes, parton showers, multiple interactions, beam remnants, and hadronization (i.e.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Only a very small set of partons/particles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The generation of all subsequent activity on the partonic level, involving initial and final-state radiation, multiple parton-parton interactions and the structure of beam remnants. Much of the phenomena are under an (approximate) perturbative control., but nonperturbative physics aspects are also important. At the conclusion of this step, a realistic partonic structure has been obtained (e.g.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parton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The three subdivisions of tasks are not rigid- parton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The most important piece of information is that of the event record, which is represented by the ‘Event’ class, of which there are two objects, namely process (which only covers the few partons of the “hard” process of point 1), and another called event, which covers the full story from the incoming beams to the final hadrons. A small Info class keeps track of useful, unique information, such as the kinematic variables fo the hard process</w:t>
      </w:r>
    </w:p>
    <w:p w14:paraId="06AF4204" w14:textId="43DFBA84" w:rsidR="003313E8" w:rsidRDefault="003313E8" w:rsidP="00B401DD">
      <w:pPr>
        <w:rPr>
          <w:lang w:eastAsia="en-AU"/>
        </w:rPr>
      </w:pPr>
      <w:r>
        <w:rPr>
          <w:lang w:eastAsia="en-AU"/>
        </w:rPr>
        <w:t>There are also two incoming BeamParticles that keep track of the partonic content left in the beams after several interactions and initial-state radiations, and rescales parton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integer, double, </w:t>
      </w:r>
      <w:r w:rsidR="002C1514">
        <w:rPr>
          <w:lang w:eastAsia="en-AU"/>
        </w:rPr>
        <w:t>b</w:t>
      </w:r>
      <w:r>
        <w:rPr>
          <w:lang w:eastAsia="en-AU"/>
        </w:rPr>
        <w:t>oolean, and string variabes that can be changed by the user to steer the performance of Pythia, except that ParticleDataTable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r>
        <w:rPr>
          <w:b/>
          <w:bCs/>
          <w:u w:val="single"/>
          <w:lang w:eastAsia="en-AU"/>
        </w:rPr>
        <w:t>EvtGen</w:t>
      </w:r>
    </w:p>
    <w:p w14:paraId="331502C9" w14:textId="3E4A12CB" w:rsidR="00FE7EFD" w:rsidRDefault="00FE7EFD" w:rsidP="00B401DD">
      <w:pPr>
        <w:rPr>
          <w:lang w:eastAsia="en-AU"/>
        </w:rPr>
      </w:pPr>
      <w:r>
        <w:rPr>
          <w:lang w:eastAsia="en-AU"/>
        </w:rPr>
        <w:t xml:space="preserve">The EvtGen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rate, and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As with the other decays, kinematics are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EvtGen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Various decay models are implemented in the EvtGen package, including those for specific CP violating channels, Dalitz decay models, mixing and semileptonic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transversity amplitudes are specified</w:t>
      </w:r>
    </w:p>
    <w:p w14:paraId="7548A32A" w14:textId="3E92BB08" w:rsidR="004668A2" w:rsidRPr="004668A2" w:rsidRDefault="004668A2" w:rsidP="004668A2">
      <w:pPr>
        <w:ind w:left="360"/>
        <w:rPr>
          <w:rFonts w:eastAsiaTheme="minorEastAsia"/>
          <w:lang w:eastAsia="en-AU"/>
        </w:rPr>
      </w:pPr>
      <w:r>
        <w:rPr>
          <w:rFonts w:eastAsiaTheme="minorEastAsia"/>
          <w:lang w:eastAsia="en-AU"/>
        </w:rPr>
        <w:t xml:space="preserve">Semileptonic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EvtGen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The LHCb simulation framework Gauss is built, as all the other LHCb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o control the generation of collisions (in most cases, proton-proton collisions) with Pythia, where a specific LHCb configuration is used. Gauss then makes use of EvtGen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4737CE50" w:rsidR="00A56936"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42F2B61E" w14:textId="74417BAE" w:rsidR="00C633D2" w:rsidRDefault="00C633D2" w:rsidP="00A56936">
      <w:pPr>
        <w:rPr>
          <w:lang w:eastAsia="en-AU"/>
        </w:rPr>
      </w:pPr>
    </w:p>
    <w:p w14:paraId="0F32B9CD" w14:textId="280E9D0E" w:rsidR="00C633D2" w:rsidRDefault="00C633D2" w:rsidP="00A56936">
      <w:pPr>
        <w:rPr>
          <w:lang w:eastAsia="en-AU"/>
        </w:rPr>
      </w:pPr>
    </w:p>
    <w:p w14:paraId="147DD2EA" w14:textId="2CD6BC77" w:rsidR="00C633D2" w:rsidRDefault="00C633D2" w:rsidP="00C633D2">
      <w:pPr>
        <w:pStyle w:val="Subtitle"/>
        <w:rPr>
          <w:b/>
          <w:bCs/>
          <w:i/>
          <w:iCs/>
          <w:lang w:eastAsia="en-AU"/>
        </w:rPr>
      </w:pPr>
      <w:r>
        <w:rPr>
          <w:b/>
          <w:bCs/>
          <w:i/>
          <w:iCs/>
          <w:lang w:eastAsia="en-AU"/>
        </w:rPr>
        <w:t>Notes from Papers</w:t>
      </w:r>
    </w:p>
    <w:p w14:paraId="57F93C02" w14:textId="3E5A2510" w:rsidR="00C633D2" w:rsidRDefault="00C633D2" w:rsidP="00C633D2">
      <w:pPr>
        <w:rPr>
          <w:b/>
          <w:bCs/>
          <w:u w:val="single"/>
          <w:lang w:eastAsia="en-AU"/>
        </w:rPr>
      </w:pPr>
      <w:r>
        <w:rPr>
          <w:b/>
          <w:bCs/>
          <w:u w:val="single"/>
          <w:lang w:eastAsia="en-AU"/>
        </w:rPr>
        <w:t>ALP to Diphoton Search Analysis</w:t>
      </w:r>
    </w:p>
    <w:p w14:paraId="37E1CCDF" w14:textId="64A65853" w:rsidR="00C633D2" w:rsidRPr="00C633D2" w:rsidRDefault="00C633D2" w:rsidP="00C633D2">
      <w:pPr>
        <w:pStyle w:val="ListParagraph"/>
        <w:numPr>
          <w:ilvl w:val="0"/>
          <w:numId w:val="16"/>
        </w:numPr>
        <w:rPr>
          <w:rFonts w:eastAsiaTheme="minorEastAsia"/>
          <w:lang w:eastAsia="en-AU"/>
        </w:rPr>
      </w:pPr>
      <w:r>
        <w:rPr>
          <w:lang w:eastAsia="en-AU"/>
        </w:rPr>
        <w:t xml:space="preserve">2018 pp collision data collected at </w:t>
      </w:r>
      <m:oMath>
        <m:rad>
          <m:radPr>
            <m:degHide m:val="1"/>
            <m:ctrlPr>
              <w:rPr>
                <w:rFonts w:ascii="Cambria Math" w:hAnsi="Cambria Math"/>
                <w:lang w:eastAsia="en-AU"/>
              </w:rPr>
            </m:ctrlPr>
          </m:radPr>
          <m:deg>
            <m:ctrlPr>
              <w:rPr>
                <w:rFonts w:ascii="Cambria Math" w:hAnsi="Cambria Math"/>
                <w:i/>
                <w:lang w:eastAsia="en-AU"/>
              </w:rPr>
            </m:ctrlPr>
          </m:deg>
          <m:e>
            <m:r>
              <w:rPr>
                <w:rFonts w:ascii="Cambria Math" w:hAnsi="Cambria Math"/>
                <w:lang w:eastAsia="en-AU"/>
              </w:rPr>
              <m:t>s</m:t>
            </m:r>
          </m:e>
        </m:rad>
      </m:oMath>
      <w:r>
        <w:rPr>
          <w:rFonts w:eastAsiaTheme="minorEastAsia"/>
          <w:lang w:eastAsia="en-AU"/>
        </w:rPr>
        <w:t xml:space="preserve"> = 13 TeV, corresponding to an integrated luminosity of 2.07 fb^-1. </w:t>
      </w:r>
      <m:oMath>
        <m:r>
          <m:rPr>
            <m:sty m:val="p"/>
          </m:rPr>
          <w:rPr>
            <w:rFonts w:ascii="Cambria Math" w:eastAsiaTheme="minorEastAsia" w:hAnsi="Cambria Math"/>
            <w:lang w:eastAsia="en-AU"/>
          </w:rPr>
          <m:t>γγ</m:t>
        </m:r>
      </m:oMath>
      <w:r>
        <w:rPr>
          <w:rFonts w:eastAsiaTheme="minorEastAsia"/>
          <w:lang w:eastAsia="en-AU"/>
        </w:rPr>
        <w:t xml:space="preserve"> spectrum scanned from 4.8 to 20 GeV/c^2</w:t>
      </w:r>
    </w:p>
    <w:p w14:paraId="019DBBD6" w14:textId="07A64456"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 xml:space="preserve">Photons are only reconstructed in the calorimeters with the assumption of coming from the PV. Hence the kinematic topologies of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B</m:t>
            </m:r>
          </m:e>
          <m:sub>
            <m:r>
              <w:rPr>
                <w:rFonts w:ascii="Cambria Math" w:eastAsiaTheme="minorEastAsia" w:hAnsi="Cambria Math"/>
                <w:lang w:eastAsia="en-AU"/>
              </w:rPr>
              <m:t>s</m:t>
            </m:r>
          </m:sub>
          <m:sup>
            <m:d>
              <m:dPr>
                <m:ctrlPr>
                  <w:rPr>
                    <w:rFonts w:ascii="Cambria Math" w:eastAsiaTheme="minorEastAsia" w:hAnsi="Cambria Math"/>
                    <w:i/>
                    <w:lang w:eastAsia="en-AU"/>
                  </w:rPr>
                </m:ctrlPr>
              </m:dPr>
              <m:e>
                <m:r>
                  <w:rPr>
                    <w:rFonts w:ascii="Cambria Math" w:eastAsiaTheme="minorEastAsia" w:hAnsi="Cambria Math"/>
                    <w:lang w:eastAsia="en-AU"/>
                  </w:rPr>
                  <m:t>0</m:t>
                </m:r>
              </m:e>
            </m:d>
          </m:sup>
        </m:sSubSup>
        <m:r>
          <m:rPr>
            <m:sty m:val="p"/>
          </m:rPr>
          <w:rPr>
            <w:rFonts w:ascii="Cambria Math" w:eastAsiaTheme="minorEastAsia" w:hAnsi="Cambria Math"/>
            <w:lang w:eastAsia="en-AU"/>
          </w:rPr>
          <m:t>→γγ</m:t>
        </m:r>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very similar and the search strategies are therefore identical. </w:t>
      </w:r>
    </w:p>
    <w:p w14:paraId="374263E1" w14:textId="06C7BF74" w:rsidR="00C633D2" w:rsidRPr="00C633D2" w:rsidRDefault="00C633D2" w:rsidP="00C633D2">
      <w:pPr>
        <w:pStyle w:val="ListParagraph"/>
        <w:numPr>
          <w:ilvl w:val="0"/>
          <w:numId w:val="16"/>
        </w:numPr>
        <w:rPr>
          <w:rFonts w:eastAsiaTheme="minorEastAsia"/>
          <w:lang w:eastAsia="en-AU"/>
        </w:rPr>
      </w:pPr>
      <w:r>
        <w:rPr>
          <w:rFonts w:eastAsiaTheme="minorEastAsia"/>
          <w:lang w:eastAsia="en-AU"/>
        </w:rPr>
        <w:t>Simulated samples are used to determine efficiencies, investigate backgrounds and calibrate efficiencies</w:t>
      </w:r>
    </w:p>
    <w:p w14:paraId="65258971" w14:textId="5B8FC970" w:rsidR="00C633D2" w:rsidRDefault="002C6CE4" w:rsidP="00C633D2">
      <w:pPr>
        <w:pStyle w:val="ListParagraph"/>
        <w:numPr>
          <w:ilvl w:val="0"/>
          <w:numId w:val="16"/>
        </w:numPr>
        <w:rPr>
          <w:rFonts w:eastAsiaTheme="minorEastAsia"/>
          <w:lang w:eastAsia="en-AU"/>
        </w:rPr>
      </w:pPr>
      <w:r>
        <w:rPr>
          <w:rFonts w:eastAsiaTheme="minorEastAsia"/>
          <w:lang w:eastAsia="en-AU"/>
        </w:rPr>
        <w:t>ALP to diphoton selection consists of the trigger and stripping selections, and a multivariate classifier based on isolation variables, as well as fiducial requirements.</w:t>
      </w:r>
    </w:p>
    <w:p w14:paraId="206F7878" w14:textId="72B1FA53" w:rsidR="002C6CE4" w:rsidRPr="002C6CE4" w:rsidRDefault="002C6CE4" w:rsidP="002C6CE4">
      <w:pPr>
        <w:pStyle w:val="ListParagraph"/>
        <w:numPr>
          <w:ilvl w:val="0"/>
          <w:numId w:val="16"/>
        </w:numPr>
        <w:rPr>
          <w:rFonts w:eastAsiaTheme="minorEastAsia"/>
          <w:lang w:eastAsia="en-AU"/>
        </w:rPr>
      </w:pPr>
      <w:r>
        <w:rPr>
          <w:rFonts w:eastAsiaTheme="minorEastAsia"/>
          <w:lang w:eastAsia="en-AU"/>
        </w:rPr>
        <w:t xml:space="preserve">Selection criteria for </w:t>
      </w:r>
      <m:oMath>
        <m:sSub>
          <m:sSubPr>
            <m:ctrlPr>
              <w:rPr>
                <w:rFonts w:ascii="Cambria Math" w:eastAsiaTheme="minorEastAsia" w:hAnsi="Cambria Math"/>
                <w:i/>
                <w:lang w:eastAsia="en-AU"/>
              </w:rPr>
            </m:ctrlPr>
          </m:sSubPr>
          <m:e>
            <m:r>
              <w:rPr>
                <w:rFonts w:ascii="Cambria Math" w:eastAsiaTheme="minorEastAsia" w:hAnsi="Cambria Math"/>
                <w:lang w:eastAsia="en-AU"/>
              </w:rPr>
              <m:t>a</m:t>
            </m:r>
          </m:e>
          <m:sub>
            <m:r>
              <w:rPr>
                <w:rFonts w:ascii="Cambria Math" w:eastAsiaTheme="minorEastAsia" w:hAnsi="Cambria Math"/>
                <w:lang w:eastAsia="en-AU"/>
              </w:rPr>
              <m:t>0</m:t>
            </m:r>
          </m:sub>
        </m:sSub>
        <m:r>
          <m:rPr>
            <m:sty m:val="p"/>
          </m:rPr>
          <w:rPr>
            <w:rFonts w:ascii="Cambria Math" w:eastAsiaTheme="minorEastAsia" w:hAnsi="Cambria Math"/>
            <w:lang w:eastAsia="en-AU"/>
          </w:rPr>
          <m:t>→γγ</m:t>
        </m:r>
      </m:oMath>
      <w:r>
        <w:rPr>
          <w:rFonts w:eastAsiaTheme="minorEastAsia"/>
          <w:lang w:eastAsia="en-AU"/>
        </w:rPr>
        <w:t xml:space="preserve"> are summarised in the table below:</w:t>
      </w:r>
    </w:p>
    <w:p w14:paraId="6E0FE06D" w14:textId="6961B6E9" w:rsidR="002C6CE4" w:rsidRDefault="002C6CE4" w:rsidP="002C6CE4">
      <w:pPr>
        <w:ind w:left="360"/>
        <w:rPr>
          <w:b/>
          <w:bCs/>
          <w:u w:val="single"/>
          <w:lang w:eastAsia="en-AU"/>
        </w:rPr>
      </w:pPr>
      <w:r w:rsidRPr="002C6CE4">
        <w:rPr>
          <w:b/>
          <w:bCs/>
          <w:u w:val="single"/>
          <w:lang w:eastAsia="en-AU"/>
        </w:rPr>
        <w:drawing>
          <wp:inline distT="0" distB="0" distL="0" distR="0" wp14:anchorId="762CA161" wp14:editId="709264A6">
            <wp:extent cx="4975860" cy="3088275"/>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24"/>
                    <a:stretch>
                      <a:fillRect/>
                    </a:stretch>
                  </pic:blipFill>
                  <pic:spPr>
                    <a:xfrm>
                      <a:off x="0" y="0"/>
                      <a:ext cx="4978074" cy="3089649"/>
                    </a:xfrm>
                    <a:prstGeom prst="rect">
                      <a:avLst/>
                    </a:prstGeom>
                  </pic:spPr>
                </pic:pic>
              </a:graphicData>
            </a:graphic>
          </wp:inline>
        </w:drawing>
      </w:r>
    </w:p>
    <w:p w14:paraId="42C08601" w14:textId="77777777" w:rsidR="002C6CE4" w:rsidRPr="002C6CE4" w:rsidRDefault="002C6CE4" w:rsidP="002C6CE4">
      <w:pPr>
        <w:jc w:val="center"/>
        <w:rPr>
          <w:rFonts w:eastAsiaTheme="minorEastAsia"/>
          <w:lang w:eastAsia="en-AU"/>
        </w:rPr>
      </w:pPr>
    </w:p>
    <w:p w14:paraId="5FE2FCB7" w14:textId="11FF9EFA" w:rsidR="002C6CE4" w:rsidRPr="002C6CE4" w:rsidRDefault="002C6CE4" w:rsidP="002C6CE4">
      <w:pPr>
        <w:pStyle w:val="ListParagraph"/>
        <w:numPr>
          <w:ilvl w:val="0"/>
          <w:numId w:val="17"/>
        </w:numPr>
        <w:rPr>
          <w:b/>
          <w:bCs/>
          <w:u w:val="single"/>
          <w:lang w:eastAsia="en-AU"/>
        </w:rPr>
      </w:pPr>
      <w:r>
        <w:rPr>
          <w:lang w:eastAsia="en-AU"/>
        </w:rPr>
        <w:t>Online selection of diphotons is performed by multilayer perceptron</w:t>
      </w:r>
    </w:p>
    <w:p w14:paraId="1682880F" w14:textId="2AA2D0BD" w:rsidR="002C6CE4" w:rsidRPr="002C6CE4" w:rsidRDefault="002C6CE4" w:rsidP="002C6CE4">
      <w:pPr>
        <w:pStyle w:val="ListParagraph"/>
        <w:numPr>
          <w:ilvl w:val="0"/>
          <w:numId w:val="17"/>
        </w:numPr>
        <w:rPr>
          <w:b/>
          <w:bCs/>
          <w:u w:val="single"/>
          <w:lang w:eastAsia="en-AU"/>
        </w:rPr>
      </w:pPr>
      <w:r>
        <w:rPr>
          <w:lang w:eastAsia="en-AU"/>
        </w:rPr>
        <w:t>Background = MinBias pp collision data from 2017</w:t>
      </w:r>
    </w:p>
    <w:p w14:paraId="432EB070" w14:textId="69296A2D" w:rsidR="002C6CE4" w:rsidRPr="002C6CE4" w:rsidRDefault="002C6CE4" w:rsidP="002C6CE4">
      <w:pPr>
        <w:pStyle w:val="ListParagraph"/>
        <w:numPr>
          <w:ilvl w:val="0"/>
          <w:numId w:val="17"/>
        </w:numPr>
        <w:rPr>
          <w:b/>
          <w:bCs/>
          <w:u w:val="single"/>
          <w:lang w:eastAsia="en-AU"/>
        </w:rPr>
      </w:pPr>
      <w:r>
        <w:rPr>
          <w:lang w:eastAsia="en-AU"/>
        </w:rPr>
        <w:t>Stripping selection = further kinematic requirements on the individual photons and the diphoton candidates, as well as PID requirements</w:t>
      </w:r>
    </w:p>
    <w:p w14:paraId="74DB2B44" w14:textId="772BB652" w:rsidR="002C6CE4" w:rsidRPr="00E902B3" w:rsidRDefault="002C6CE4" w:rsidP="002C6CE4">
      <w:pPr>
        <w:pStyle w:val="ListParagraph"/>
        <w:numPr>
          <w:ilvl w:val="0"/>
          <w:numId w:val="17"/>
        </w:numPr>
        <w:rPr>
          <w:b/>
          <w:bCs/>
          <w:u w:val="single"/>
          <w:lang w:eastAsia="en-AU"/>
        </w:rPr>
      </w:pPr>
      <w:r>
        <w:rPr>
          <w:lang w:eastAsia="en-AU"/>
        </w:rPr>
        <w:t>Main offline selection = multivariate selection, prior to which signal candidates are vetoed on the basis of transverse momentum</w:t>
      </w:r>
      <w:r w:rsidR="00E902B3">
        <w:rPr>
          <w:lang w:eastAsia="en-AU"/>
        </w:rPr>
        <w:t xml:space="preserve"> (high masses = sizeable efficiency penalty, and signal becomes significantly harder to separate from background)</w:t>
      </w:r>
    </w:p>
    <w:p w14:paraId="62FE4DEA" w14:textId="05B2918C" w:rsidR="00E902B3" w:rsidRPr="00F7351F" w:rsidRDefault="00E902B3" w:rsidP="002C6CE4">
      <w:pPr>
        <w:pStyle w:val="ListParagraph"/>
        <w:numPr>
          <w:ilvl w:val="0"/>
          <w:numId w:val="17"/>
        </w:numPr>
        <w:rPr>
          <w:b/>
          <w:bCs/>
          <w:u w:val="single"/>
          <w:lang w:eastAsia="en-AU"/>
        </w:rPr>
      </w:pPr>
      <w:r>
        <w:rPr>
          <w:lang w:eastAsia="en-AU"/>
        </w:rPr>
        <w:t>XGB boost classifier used to obtain higher signal to background discrimination. Chosen since it was simple to implement, and robust</w:t>
      </w:r>
      <w:r w:rsidR="00EF47CB">
        <w:rPr>
          <w:lang w:eastAsia="en-AU"/>
        </w:rPr>
        <w:t>. The classifier is trained using the full ALP to diphoton simulation samples as signal proxy and a small subset of this sample as background</w:t>
      </w:r>
    </w:p>
    <w:p w14:paraId="6201F629" w14:textId="09BE7951" w:rsidR="00EF47CB" w:rsidRPr="00382719" w:rsidRDefault="00EF47CB" w:rsidP="00382719">
      <w:pPr>
        <w:pStyle w:val="ListParagraph"/>
        <w:numPr>
          <w:ilvl w:val="0"/>
          <w:numId w:val="17"/>
        </w:numPr>
        <w:rPr>
          <w:rFonts w:eastAsiaTheme="minorEastAsia"/>
          <w:b/>
          <w:bCs/>
          <w:u w:val="single"/>
          <w:lang w:eastAsia="en-AU"/>
        </w:rPr>
      </w:pPr>
      <w:r>
        <w:rPr>
          <w:lang w:eastAsia="en-AU"/>
        </w:rPr>
        <w:t xml:space="preserve">Choose </w:t>
      </w:r>
      <w:r>
        <w:rPr>
          <w:b/>
          <w:bCs/>
          <w:lang w:eastAsia="en-AU"/>
        </w:rPr>
        <w:t xml:space="preserve">cone isolation variables </w:t>
      </w:r>
      <w:r>
        <w:rPr>
          <w:lang w:eastAsia="en-AU"/>
        </w:rPr>
        <w:t xml:space="preserve">to discriminate between signal and background. They inspect the charged tracks in cones in </w:t>
      </w:r>
      <m:oMath>
        <m:r>
          <m:rPr>
            <m:sty m:val="p"/>
          </m:rPr>
          <w:rPr>
            <w:rFonts w:ascii="Cambria Math" w:hAnsi="Cambria Math"/>
            <w:lang w:eastAsia="en-AU"/>
          </w:rPr>
          <m:t>η</m:t>
        </m:r>
      </m:oMath>
      <w:r>
        <w:rPr>
          <w:rFonts w:eastAsiaTheme="minorEastAsia"/>
          <w:lang w:eastAsia="en-AU"/>
        </w:rPr>
        <w:t xml:space="preserve"> and </w:t>
      </w:r>
      <m:oMath>
        <m:r>
          <m:rPr>
            <m:sty m:val="p"/>
          </m:rPr>
          <w:rPr>
            <w:rFonts w:ascii="Cambria Math" w:eastAsiaTheme="minorEastAsia" w:hAnsi="Cambria Math"/>
            <w:lang w:eastAsia="en-AU"/>
          </w:rPr>
          <m:t>φ</m:t>
        </m:r>
      </m:oMath>
      <w:r>
        <w:rPr>
          <w:rFonts w:eastAsiaTheme="minorEastAsia"/>
          <w:lang w:eastAsia="en-AU"/>
        </w:rPr>
        <w:t xml:space="preserve"> of certain sizes around the diphoton candidate. The features explored are the numbers of charged tracks, sum of absolute and transverse momenta, and the asymmetry of the sum of the momenta and transverse momenta wrt the diphoton momentum and transverse momentum</w:t>
      </w:r>
    </w:p>
    <w:p w14:paraId="3844997F" w14:textId="2FF8C865"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65D920BA" w14:textId="2E4FB52B" w:rsidR="00765360" w:rsidRDefault="004C081F" w:rsidP="00951DDB">
      <w:pPr>
        <w:pStyle w:val="ListParagraph"/>
        <w:numPr>
          <w:ilvl w:val="0"/>
          <w:numId w:val="6"/>
        </w:numPr>
        <w:rPr>
          <w:lang w:eastAsia="en-AU"/>
        </w:rPr>
      </w:pPr>
      <w:r>
        <w:rPr>
          <w:lang w:eastAsia="en-AU"/>
        </w:rPr>
        <w:t>Determined the single event sensitivity of the single photon decay mode using the literature</w:t>
      </w:r>
    </w:p>
    <w:p w14:paraId="1A252CE1" w14:textId="77777777" w:rsidR="00D304D7" w:rsidRDefault="00951DDB" w:rsidP="00951DDB">
      <w:pPr>
        <w:pStyle w:val="ListParagraph"/>
        <w:numPr>
          <w:ilvl w:val="0"/>
          <w:numId w:val="6"/>
        </w:numPr>
        <w:rPr>
          <w:lang w:eastAsia="en-AU"/>
        </w:rPr>
      </w:pPr>
      <w:r>
        <w:rPr>
          <w:lang w:eastAsia="en-AU"/>
        </w:rPr>
        <w:t>Plotted signal selection efficiency curves and estimated upper limit on branching fraction of</w:t>
      </w:r>
      <w:r w:rsidR="00D304D7">
        <w:rPr>
          <w:lang w:eastAsia="en-AU"/>
        </w:rPr>
        <w:t xml:space="preserve"> the decay mode of interest. </w:t>
      </w:r>
    </w:p>
    <w:p w14:paraId="63F40F0D" w14:textId="4352F7BB" w:rsidR="00D304D7" w:rsidRDefault="00D304D7" w:rsidP="00951DDB">
      <w:pPr>
        <w:pStyle w:val="ListParagraph"/>
        <w:numPr>
          <w:ilvl w:val="0"/>
          <w:numId w:val="6"/>
        </w:numPr>
        <w:rPr>
          <w:lang w:eastAsia="en-AU"/>
        </w:rPr>
      </w:pPr>
      <w:r>
        <w:rPr>
          <w:lang w:eastAsia="en-AU"/>
        </w:rPr>
        <w:t>Compared the decay mode to that of B -&gt; K+pi- pi0 and used the number of signal and background events to determine the BR that leads to a 5 sigma significance level</w:t>
      </w:r>
    </w:p>
    <w:p w14:paraId="60F699B9" w14:textId="1A9CF47C" w:rsidR="003428A8" w:rsidRDefault="003428A8" w:rsidP="00951DDB">
      <w:pPr>
        <w:pStyle w:val="ListParagraph"/>
        <w:numPr>
          <w:ilvl w:val="0"/>
          <w:numId w:val="6"/>
        </w:numPr>
        <w:rPr>
          <w:lang w:eastAsia="en-AU"/>
        </w:rPr>
      </w:pPr>
      <w:r>
        <w:rPr>
          <w:lang w:eastAsia="en-AU"/>
        </w:rPr>
        <w:t>Understand features of the a -&gt; gamma gamma branching fraction plot (including the reason for the dip in the curve in the intermediate mass range, and the width of the pi0 and eta background regions that have been excluded)</w:t>
      </w:r>
    </w:p>
    <w:p w14:paraId="42E5F83B" w14:textId="0C884CB9" w:rsidR="00951DDB" w:rsidRPr="00951DDB" w:rsidRDefault="00951DDB" w:rsidP="003428A8">
      <w:pPr>
        <w:rPr>
          <w:lang w:eastAsia="en-AU"/>
        </w:rPr>
      </w:pPr>
      <w:r>
        <w:rPr>
          <w:lang w:eastAsia="en-AU"/>
        </w:rPr>
        <w:t xml:space="preserve"> </w:t>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5"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16790"/>
    <w:multiLevelType w:val="hybridMultilevel"/>
    <w:tmpl w:val="80A22A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6107DAD"/>
    <w:multiLevelType w:val="hybridMultilevel"/>
    <w:tmpl w:val="36BADF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1"/>
  </w:num>
  <w:num w:numId="2" w16cid:durableId="1830945112">
    <w:abstractNumId w:val="6"/>
  </w:num>
  <w:num w:numId="3" w16cid:durableId="1229606155">
    <w:abstractNumId w:val="5"/>
  </w:num>
  <w:num w:numId="4" w16cid:durableId="1119255310">
    <w:abstractNumId w:val="3"/>
  </w:num>
  <w:num w:numId="5" w16cid:durableId="1046027780">
    <w:abstractNumId w:val="12"/>
  </w:num>
  <w:num w:numId="6" w16cid:durableId="1720396450">
    <w:abstractNumId w:val="2"/>
  </w:num>
  <w:num w:numId="7" w16cid:durableId="2119762080">
    <w:abstractNumId w:val="7"/>
  </w:num>
  <w:num w:numId="8" w16cid:durableId="864517985">
    <w:abstractNumId w:val="14"/>
  </w:num>
  <w:num w:numId="9" w16cid:durableId="130752204">
    <w:abstractNumId w:val="15"/>
  </w:num>
  <w:num w:numId="10" w16cid:durableId="1569876369">
    <w:abstractNumId w:val="9"/>
  </w:num>
  <w:num w:numId="11" w16cid:durableId="879827555">
    <w:abstractNumId w:val="0"/>
  </w:num>
  <w:num w:numId="12" w16cid:durableId="1749384159">
    <w:abstractNumId w:val="16"/>
  </w:num>
  <w:num w:numId="13" w16cid:durableId="730234838">
    <w:abstractNumId w:val="8"/>
  </w:num>
  <w:num w:numId="14" w16cid:durableId="1230310610">
    <w:abstractNumId w:val="1"/>
  </w:num>
  <w:num w:numId="15" w16cid:durableId="179206146">
    <w:abstractNumId w:val="10"/>
  </w:num>
  <w:num w:numId="16" w16cid:durableId="1437628494">
    <w:abstractNumId w:val="4"/>
  </w:num>
  <w:num w:numId="17" w16cid:durableId="8726196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82223"/>
    <w:rsid w:val="000A5C3C"/>
    <w:rsid w:val="000C4914"/>
    <w:rsid w:val="000F2E21"/>
    <w:rsid w:val="0010043D"/>
    <w:rsid w:val="00151D22"/>
    <w:rsid w:val="00164721"/>
    <w:rsid w:val="001A6127"/>
    <w:rsid w:val="001C38A5"/>
    <w:rsid w:val="001D7ED4"/>
    <w:rsid w:val="001E2ADB"/>
    <w:rsid w:val="001E5159"/>
    <w:rsid w:val="00221010"/>
    <w:rsid w:val="00225CC7"/>
    <w:rsid w:val="00226081"/>
    <w:rsid w:val="002451FA"/>
    <w:rsid w:val="002A452F"/>
    <w:rsid w:val="002C1514"/>
    <w:rsid w:val="002C6CE4"/>
    <w:rsid w:val="002E64DF"/>
    <w:rsid w:val="002F1B2C"/>
    <w:rsid w:val="002F7F35"/>
    <w:rsid w:val="00304F74"/>
    <w:rsid w:val="003270FE"/>
    <w:rsid w:val="003313E8"/>
    <w:rsid w:val="0033587B"/>
    <w:rsid w:val="003428A8"/>
    <w:rsid w:val="00345F46"/>
    <w:rsid w:val="00360552"/>
    <w:rsid w:val="0036273D"/>
    <w:rsid w:val="00373ADC"/>
    <w:rsid w:val="0037455A"/>
    <w:rsid w:val="00375CA6"/>
    <w:rsid w:val="00382719"/>
    <w:rsid w:val="00387525"/>
    <w:rsid w:val="004262DD"/>
    <w:rsid w:val="004370E5"/>
    <w:rsid w:val="00446344"/>
    <w:rsid w:val="00457A38"/>
    <w:rsid w:val="004668A2"/>
    <w:rsid w:val="004954E4"/>
    <w:rsid w:val="004C081F"/>
    <w:rsid w:val="004D30B4"/>
    <w:rsid w:val="004E3012"/>
    <w:rsid w:val="004E6226"/>
    <w:rsid w:val="004F4DD7"/>
    <w:rsid w:val="005579D1"/>
    <w:rsid w:val="00596513"/>
    <w:rsid w:val="005B15C2"/>
    <w:rsid w:val="005D0514"/>
    <w:rsid w:val="005D461F"/>
    <w:rsid w:val="005E23EC"/>
    <w:rsid w:val="005F0E6A"/>
    <w:rsid w:val="0061210D"/>
    <w:rsid w:val="00617089"/>
    <w:rsid w:val="00625DB3"/>
    <w:rsid w:val="00667C30"/>
    <w:rsid w:val="00672C95"/>
    <w:rsid w:val="00680052"/>
    <w:rsid w:val="006A46DB"/>
    <w:rsid w:val="006A55FE"/>
    <w:rsid w:val="006D04A3"/>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51DDB"/>
    <w:rsid w:val="0098459E"/>
    <w:rsid w:val="00984811"/>
    <w:rsid w:val="009939BA"/>
    <w:rsid w:val="009C74D2"/>
    <w:rsid w:val="00A00197"/>
    <w:rsid w:val="00A0652C"/>
    <w:rsid w:val="00A222E8"/>
    <w:rsid w:val="00A326B2"/>
    <w:rsid w:val="00A33C4E"/>
    <w:rsid w:val="00A56936"/>
    <w:rsid w:val="00A638F9"/>
    <w:rsid w:val="00AA46D5"/>
    <w:rsid w:val="00AE7ED0"/>
    <w:rsid w:val="00AF41B5"/>
    <w:rsid w:val="00AF6E00"/>
    <w:rsid w:val="00B015A9"/>
    <w:rsid w:val="00B401DD"/>
    <w:rsid w:val="00B41504"/>
    <w:rsid w:val="00B434C0"/>
    <w:rsid w:val="00B90E31"/>
    <w:rsid w:val="00B94C45"/>
    <w:rsid w:val="00B9720E"/>
    <w:rsid w:val="00BD79FD"/>
    <w:rsid w:val="00BF55E4"/>
    <w:rsid w:val="00C2446C"/>
    <w:rsid w:val="00C311E7"/>
    <w:rsid w:val="00C33F0A"/>
    <w:rsid w:val="00C4564C"/>
    <w:rsid w:val="00C633D2"/>
    <w:rsid w:val="00C653AC"/>
    <w:rsid w:val="00C83953"/>
    <w:rsid w:val="00C86931"/>
    <w:rsid w:val="00C925F5"/>
    <w:rsid w:val="00CD2BA0"/>
    <w:rsid w:val="00D15AE3"/>
    <w:rsid w:val="00D237CA"/>
    <w:rsid w:val="00D304D7"/>
    <w:rsid w:val="00D32821"/>
    <w:rsid w:val="00D8242A"/>
    <w:rsid w:val="00DA16CF"/>
    <w:rsid w:val="00DB2C41"/>
    <w:rsid w:val="00DD4DB3"/>
    <w:rsid w:val="00DF420D"/>
    <w:rsid w:val="00E7192C"/>
    <w:rsid w:val="00E74FFE"/>
    <w:rsid w:val="00E802FC"/>
    <w:rsid w:val="00E902B3"/>
    <w:rsid w:val="00EB1160"/>
    <w:rsid w:val="00ED12B8"/>
    <w:rsid w:val="00EE7159"/>
    <w:rsid w:val="00EF47CB"/>
    <w:rsid w:val="00F20D92"/>
    <w:rsid w:val="00F54D93"/>
    <w:rsid w:val="00F7351F"/>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UlyGazWkeu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29556</TotalTime>
  <Pages>1</Pages>
  <Words>7605</Words>
  <Characters>43350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Sai Pemmaraju</cp:lastModifiedBy>
  <cp:revision>12</cp:revision>
  <dcterms:created xsi:type="dcterms:W3CDTF">2022-07-31T09:12:00Z</dcterms:created>
  <dcterms:modified xsi:type="dcterms:W3CDTF">2022-11-15T12:33:00Z</dcterms:modified>
</cp:coreProperties>
</file>