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(i.e. quarks are always found in bound states). Quarks are ‘skewed’ for weak interactions (i.e.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d’,s</w:t>
      </w:r>
      <w:proofErr w:type="spellEnd"/>
      <w:r w:rsidR="00DF420D">
        <w:rPr>
          <w:rFonts w:ascii="Calibri" w:eastAsia="Times New Roman" w:hAnsi="Calibri" w:cs="Calibri"/>
          <w:color w:val="000000"/>
          <w:lang w:eastAsia="en-AU"/>
        </w:rPr>
        <w:t>’ and b’$ are linear combinations of $d, s$, and $b$, and $V_{CKM}$ represents the coupling strengths between the quarks ($V_{</w:t>
      </w:r>
      <w:proofErr w:type="spellStart"/>
      <w:r w:rsidR="00DF420D">
        <w:rPr>
          <w:rFonts w:ascii="Calibri" w:eastAsia="Times New Roman" w:hAnsi="Calibri" w:cs="Calibri"/>
          <w:color w:val="000000"/>
          <w:lang w:eastAsia="en-AU"/>
        </w:rPr>
        <w:t>ud</w:t>
      </w:r>
      <w:proofErr w:type="spellEnd"/>
      <w:r w:rsidR="00DF420D">
        <w:rPr>
          <w:rFonts w:ascii="Calibri" w:eastAsia="Times New Roman" w:hAnsi="Calibri" w:cs="Calibri"/>
          <w:color w:val="000000"/>
          <w:lang w:eastAsia="en-AU"/>
        </w:rPr>
        <w:t>}</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represents the coupling of $u$ to $d$ (</w:t>
      </w:r>
      <w:proofErr w:type="spellStart"/>
      <w:r w:rsidR="00DF420D">
        <w:rPr>
          <w:rFonts w:ascii="Calibri" w:eastAsia="Times New Roman" w:hAnsi="Calibri" w:cs="Calibri"/>
          <w:color w:val="000000"/>
          <w:lang w:eastAsia="en-AU"/>
        </w:rPr>
        <w:t>i.e.$d</w:t>
      </w:r>
      <w:proofErr w:type="spellEnd"/>
      <w:r w:rsidR="00DF420D">
        <w:rPr>
          <w:rFonts w:ascii="Calibri" w:eastAsia="Times New Roman" w:hAnsi="Calibri" w:cs="Calibri"/>
          <w:color w:val="000000"/>
          <w:lang w:eastAsia="en-AU"/>
        </w:rPr>
        <w:t>\</w:t>
      </w:r>
      <w:proofErr w:type="spellStart"/>
      <w:r w:rsidR="00DF420D">
        <w:rPr>
          <w:rFonts w:ascii="Calibri" w:eastAsia="Times New Roman" w:hAnsi="Calibri" w:cs="Calibri"/>
          <w:color w:val="000000"/>
          <w:lang w:eastAsia="en-AU"/>
        </w:rPr>
        <w:t>rightarrow</w:t>
      </w:r>
      <w:proofErr w:type="spellEnd"/>
      <w:r w:rsidR="00DF420D">
        <w:rPr>
          <w:rFonts w:ascii="Calibri" w:eastAsia="Times New Roman" w:hAnsi="Calibri" w:cs="Calibri"/>
          <w:color w:val="000000"/>
          <w:lang w:eastAsia="en-AU"/>
        </w:rPr>
        <w:t xml:space="preserve">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w:t>
      </w:r>
      <w:proofErr w:type="spellStart"/>
      <w:r w:rsidRPr="004262DD">
        <w:rPr>
          <w:rFonts w:ascii="Calibri" w:eastAsia="Times New Roman" w:hAnsi="Calibri" w:cs="Calibri"/>
          <w:b/>
          <w:bCs/>
          <w:color w:val="000000"/>
          <w:u w:val="single"/>
          <w:lang w:eastAsia="en-AU"/>
        </w:rPr>
        <w:t>Egede</w:t>
      </w:r>
      <w:proofErr w:type="spellEnd"/>
      <w:r w:rsidRPr="004262DD">
        <w:rPr>
          <w:rFonts w:ascii="Calibri" w:eastAsia="Times New Roman" w:hAnsi="Calibri" w:cs="Calibri"/>
          <w:b/>
          <w:bCs/>
          <w:color w:val="000000"/>
          <w:u w:val="single"/>
          <w:lang w:eastAsia="en-AU"/>
        </w:rPr>
        <w:t xml:space="preserv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process and is forbidden in the SM at tree level. However, at one-loop level, the FCNC quark level process like $b\</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s\gamma$ is permitted. Examples of such decays include $B^{0}\</w:t>
      </w:r>
      <w:proofErr w:type="spellStart"/>
      <w:r w:rsidRPr="004262DD">
        <w:rPr>
          <w:rFonts w:ascii="Calibri" w:eastAsia="Times New Roman" w:hAnsi="Calibri" w:cs="Calibri"/>
          <w:color w:val="000000"/>
          <w:lang w:eastAsia="en-AU"/>
        </w:rPr>
        <w:t>rightarrow</w:t>
      </w:r>
      <w:proofErr w:type="spellEnd"/>
      <w:r w:rsidRPr="004262DD">
        <w:rPr>
          <w:rFonts w:ascii="Calibri" w:eastAsia="Times New Roman" w:hAnsi="Calibri" w:cs="Calibri"/>
          <w:color w:val="000000"/>
          <w:lang w:eastAsia="en-AU"/>
        </w:rPr>
        <w:t xml:space="preserve">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Here, the operators $\</w:t>
      </w:r>
      <w:proofErr w:type="spellStart"/>
      <w:r w:rsidRPr="004262DD">
        <w:rPr>
          <w:rFonts w:ascii="Calibri" w:eastAsia="Times New Roman" w:hAnsi="Calibri" w:cs="Calibri"/>
          <w:color w:val="000000"/>
          <w:lang w:eastAsia="en-AU"/>
        </w:rPr>
        <w:t>mathcal</w:t>
      </w:r>
      <w:proofErr w:type="spellEnd"/>
      <w:r w:rsidRPr="004262DD">
        <w:rPr>
          <w:rFonts w:ascii="Calibri" w:eastAsia="Times New Roman" w:hAnsi="Calibri" w:cs="Calibri"/>
          <w:color w:val="000000"/>
          <w:lang w:eastAsia="en-AU"/>
        </w:rPr>
        <w:t>{O}_{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encode the low energy behaviour and the complex valued Wilson coefficients $C_{</w:t>
      </w:r>
      <w:proofErr w:type="spellStart"/>
      <w:r w:rsidRPr="004262DD">
        <w:rPr>
          <w:rFonts w:ascii="Calibri" w:eastAsia="Times New Roman" w:hAnsi="Calibri" w:cs="Calibri"/>
          <w:color w:val="000000"/>
          <w:lang w:eastAsia="en-AU"/>
        </w:rPr>
        <w:t>i</w:t>
      </w:r>
      <w:proofErr w:type="spellEnd"/>
      <w:r w:rsidRPr="004262DD">
        <w:rPr>
          <w:rFonts w:ascii="Calibri" w:eastAsia="Times New Roman" w:hAnsi="Calibri" w:cs="Calibri"/>
          <w:color w:val="000000"/>
          <w:lang w:eastAsia="en-AU"/>
        </w:rPr>
        <w:t xml:space="preserve">}$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is: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(i.e.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theory, but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QCD </w:t>
      </w:r>
      <w:proofErr w:type="spellStart"/>
      <w:r>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w:t>
      </w:r>
      <w:proofErr w:type="spellStart"/>
      <w:r w:rsidR="00AA46D5">
        <w:rPr>
          <w:rFonts w:ascii="Calibri" w:eastAsia="Times New Roman" w:hAnsi="Calibri" w:cs="Calibri"/>
          <w:color w:val="000000"/>
          <w:lang w:eastAsia="en-AU"/>
        </w:rPr>
        <w:t>Lagrangian</w:t>
      </w:r>
      <w:proofErr w:type="spellEnd"/>
      <w:r w:rsidR="00AA46D5">
        <w:rPr>
          <w:rFonts w:ascii="Calibri" w:eastAsia="Times New Roman" w:hAnsi="Calibri" w:cs="Calibri"/>
          <w:color w:val="000000"/>
          <w:lang w:eastAsia="en-AU"/>
        </w:rPr>
        <w:t xml:space="preserve"> possesses a U(3)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SU(3)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 xml:space="preserve">$c$ is a constant, $\Lambda$ represents a QCD scale and $\delta_{ff’}$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$SU(3)_{V}$).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xml:space="preserve">. The ninth boson appears to be missing, the only candidate for which at this stage is the $\eta’$ (with a mass of 958 MeV). For a relativistic field theory for scalars, the relevant mass parameter is $m^{2}$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0$ (</w:t>
      </w:r>
      <w:proofErr w:type="spellStart"/>
      <w:r>
        <w:rPr>
          <w:rFonts w:ascii="Calibri" w:eastAsia="Times New Roman" w:hAnsi="Calibri" w:cs="Calibri"/>
          <w:color w:val="000000"/>
          <w:lang w:eastAsia="en-AU"/>
        </w:rPr>
        <w:t>i.e</w:t>
      </w:r>
      <w:proofErr w:type="spellEnd"/>
      <w:r>
        <w:rPr>
          <w:rFonts w:ascii="Calibri" w:eastAsia="Times New Roman" w:hAnsi="Calibri" w:cs="Calibri"/>
          <w:color w:val="000000"/>
          <w:lang w:eastAsia="en-AU"/>
        </w:rPr>
        <w:t xml:space="preserv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$F_{\mu\nu}$ represents the QCD field strength and $\tilde{F} = \frac{1}{2}\epsilon_{\mu\nu\rho\sigma}F^{\rho\sigma}$</w:t>
      </w:r>
      <w:r w:rsidR="00E74FFE">
        <w:rPr>
          <w:rFonts w:ascii="Calibri" w:eastAsia="Times New Roman" w:hAnsi="Calibri" w:cs="Calibri"/>
          <w:color w:val="000000"/>
          <w:lang w:eastAsia="en-AU"/>
        </w:rPr>
        <w:t>. F and its dual are related by an exchange of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{E}$ and $\</w:t>
      </w:r>
      <w:proofErr w:type="spellStart"/>
      <w:r w:rsidR="00E74FFE">
        <w:rPr>
          <w:rFonts w:ascii="Calibri" w:eastAsia="Times New Roman" w:hAnsi="Calibri" w:cs="Calibri"/>
          <w:color w:val="000000"/>
          <w:lang w:eastAsia="en-AU"/>
        </w:rPr>
        <w:t>vec</w:t>
      </w:r>
      <w:proofErr w:type="spellEnd"/>
      <w:r w:rsidR="00E74FFE">
        <w:rPr>
          <w:rFonts w:ascii="Calibri" w:eastAsia="Times New Roman" w:hAnsi="Calibri" w:cs="Calibri"/>
          <w:color w:val="000000"/>
          <w:lang w:eastAsia="en-AU"/>
        </w:rPr>
        <w:t xml:space="preserve">{B}$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An additional term containing depending on an angle $\theta$ can be added to the QCD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 xml:space="preserve">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(i.e. leptons and quarks). </w:t>
      </w:r>
      <w:r w:rsidR="00446344">
        <w:rPr>
          <w:rFonts w:ascii="Calibri" w:eastAsia="Times New Roman" w:hAnsi="Calibri" w:cs="Calibri"/>
          <w:color w:val="000000"/>
          <w:lang w:eastAsia="en-AU"/>
        </w:rPr>
        <w:t>The interactions of ALPs with these SM particles preserves a global shift symmetry $a\</w:t>
      </w:r>
      <w:proofErr w:type="spellStart"/>
      <w:r w:rsidR="00446344">
        <w:rPr>
          <w:rFonts w:ascii="Calibri" w:eastAsia="Times New Roman" w:hAnsi="Calibri" w:cs="Calibri"/>
          <w:color w:val="000000"/>
          <w:lang w:eastAsia="en-AU"/>
        </w:rPr>
        <w:t>rightarrow</w:t>
      </w:r>
      <w:proofErr w:type="spellEnd"/>
      <w:r w:rsidR="00446344">
        <w:rPr>
          <w:rFonts w:ascii="Calibri" w:eastAsia="Times New Roman" w:hAnsi="Calibri" w:cs="Calibri"/>
          <w:color w:val="000000"/>
          <w:lang w:eastAsia="en-AU"/>
        </w:rPr>
        <w:t xml:space="preserve"> </w:t>
      </w:r>
      <w:proofErr w:type="spellStart"/>
      <w:r w:rsidR="00446344">
        <w:rPr>
          <w:rFonts w:ascii="Calibri" w:eastAsia="Times New Roman" w:hAnsi="Calibri" w:cs="Calibri"/>
          <w:color w:val="000000"/>
          <w:lang w:eastAsia="en-AU"/>
        </w:rPr>
        <w:t>a+c</w:t>
      </w:r>
      <w:proofErr w:type="spellEnd"/>
      <w:r w:rsidR="00446344">
        <w:rPr>
          <w:rFonts w:ascii="Calibri" w:eastAsia="Times New Roman" w:hAnsi="Calibri" w:cs="Calibri"/>
          <w:color w:val="000000"/>
          <w:lang w:eastAsia="en-AU"/>
        </w:rPr>
        <w:t xml:space="preserve">$,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w:t>
      </w:r>
      <w:proofErr w:type="spellStart"/>
      <w:r>
        <w:rPr>
          <w:rFonts w:ascii="Calibri" w:eastAsia="Times New Roman" w:hAnsi="Calibri" w:cs="Calibri"/>
          <w:color w:val="000000"/>
          <w:lang w:eastAsia="en-AU"/>
        </w:rPr>
        <w:t>aW</w:t>
      </w:r>
      <w:proofErr w:type="spellEnd"/>
      <w:r>
        <w:rPr>
          <w:rFonts w:ascii="Calibri" w:eastAsia="Times New Roman" w:hAnsi="Calibri" w:cs="Calibri"/>
          <w:color w:val="000000"/>
          <w:lang w:eastAsia="en-AU"/>
        </w:rPr>
        <w:t xml:space="preserve">}$ to the SU(2)_{W} gauge-boson field strengths, $W^{b}_{\mu\nu}$, and </w:t>
      </w:r>
      <w:proofErr w:type="spellStart"/>
      <w:r>
        <w:rPr>
          <w:rFonts w:ascii="Calibri" w:eastAsia="Times New Roman" w:hAnsi="Calibri" w:cs="Calibri"/>
          <w:color w:val="000000"/>
          <w:lang w:eastAsia="en-AU"/>
        </w:rPr>
        <w:t>Lagrangian</w:t>
      </w:r>
      <w:proofErr w:type="spellEnd"/>
      <w:r>
        <w:rPr>
          <w:rFonts w:ascii="Calibri" w:eastAsia="Times New Roman" w:hAnsi="Calibri" w:cs="Calibri"/>
          <w:color w:val="000000"/>
          <w:lang w:eastAsia="en-AU"/>
        </w:rPr>
        <w:t>:</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$\tilde{W}^{b\mu\nu}$ is the dual field-strength tensor. This coupling leads to the production of ALPs at one-loop level in the process $B\</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 K^{*}a$, where the ALP is emitted from an internal $W^{\pm}$ boson. Electroweak symmetry breaking and the resulting gauge boson mixing generates an ALP coupling to a pair of photons, and the branching fraction for $a\</w:t>
      </w:r>
      <w:proofErr w:type="spellStart"/>
      <w:r>
        <w:rPr>
          <w:rFonts w:ascii="Calibri" w:eastAsia="Times New Roman" w:hAnsi="Calibri" w:cs="Calibri"/>
          <w:color w:val="000000"/>
          <w:lang w:eastAsia="en-AU"/>
        </w:rPr>
        <w:t>rightarrow</w:t>
      </w:r>
      <w:proofErr w:type="spellEnd"/>
      <w:r>
        <w:rPr>
          <w:rFonts w:ascii="Calibri" w:eastAsia="Times New Roman" w:hAnsi="Calibri" w:cs="Calibri"/>
          <w:color w:val="000000"/>
          <w:lang w:eastAsia="en-AU"/>
        </w:rPr>
        <w:t xml:space="preserve">\gamma\gamma$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 xml:space="preserve"> K*A, A\</w:t>
      </w:r>
      <w:proofErr w:type="spellStart"/>
      <w:r>
        <w:rPr>
          <w:rFonts w:ascii="Calibri" w:eastAsia="Times New Roman" w:hAnsi="Calibri" w:cs="Calibri"/>
          <w:b/>
          <w:bCs/>
          <w:color w:val="000000"/>
          <w:u w:val="single"/>
          <w:lang w:eastAsia="en-AU"/>
        </w:rPr>
        <w:t>rightarrow</w:t>
      </w:r>
      <w:proofErr w:type="spellEnd"/>
      <w:r>
        <w:rPr>
          <w:rFonts w:ascii="Calibri" w:eastAsia="Times New Roman" w:hAnsi="Calibri" w:cs="Calibri"/>
          <w:b/>
          <w:bCs/>
          <w:color w:val="000000"/>
          <w:u w:val="single"/>
          <w:lang w:eastAsia="en-AU"/>
        </w:rPr>
        <w:t>\gamma\gamma$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w:t>
      </w:r>
      <w:proofErr w:type="spellStart"/>
      <w:r>
        <w:rPr>
          <w:rFonts w:ascii="Calibri" w:eastAsia="Times New Roman" w:hAnsi="Calibri" w:cs="Calibri"/>
          <w:b/>
          <w:bCs/>
          <w:color w:val="000000"/>
          <w:lang w:eastAsia="en-AU"/>
        </w:rPr>
        <w:t>Tongyan</w:t>
      </w:r>
      <w:proofErr w:type="spellEnd"/>
      <w:r>
        <w:rPr>
          <w:rFonts w:ascii="Calibri" w:eastAsia="Times New Roman" w:hAnsi="Calibri" w:cs="Calibri"/>
          <w:b/>
          <w:bCs/>
          <w:color w:val="000000"/>
          <w:lang w:eastAsia="en-AU"/>
        </w:rPr>
        <w:t xml:space="preserve">, Lin, </w:t>
      </w:r>
      <w:proofErr w:type="spellStart"/>
      <w:r>
        <w:rPr>
          <w:rFonts w:ascii="Calibri" w:eastAsia="Times New Roman" w:hAnsi="Calibri" w:cs="Calibri"/>
          <w:b/>
          <w:bCs/>
          <w:color w:val="000000"/>
          <w:lang w:eastAsia="en-AU"/>
        </w:rPr>
        <w:t>Shuve</w:t>
      </w:r>
      <w:proofErr w:type="spellEnd"/>
      <w:r>
        <w:rPr>
          <w:rFonts w:ascii="Calibri" w:eastAsia="Times New Roman" w:hAnsi="Calibri" w:cs="Calibri"/>
          <w:b/>
          <w:bCs/>
          <w:color w:val="000000"/>
          <w:lang w:eastAsia="en-AU"/>
        </w:rPr>
        <w:t xml:space="preserve"> paper)</w:t>
      </w:r>
      <w:r w:rsidR="00706AFC">
        <w:rPr>
          <w:rFonts w:ascii="Calibri" w:eastAsia="Times New Roman" w:hAnsi="Calibri" w:cs="Calibri"/>
          <w:color w:val="000000"/>
          <w:lang w:eastAsia="en-AU"/>
        </w:rPr>
        <w:t xml:space="preserve">, and thereby exploit the coupling of ALPs to W+- bosons, which can give rise to observable signatures. This ALP model possesses a zero coupling with gluons. The effective </w:t>
      </w:r>
      <w:proofErr w:type="spellStart"/>
      <w:r w:rsidR="00706AFC">
        <w:rPr>
          <w:rFonts w:ascii="Calibri" w:eastAsia="Times New Roman" w:hAnsi="Calibri" w:cs="Calibri"/>
          <w:color w:val="000000"/>
          <w:lang w:eastAsia="en-AU"/>
        </w:rPr>
        <w:t>Lagrangian</w:t>
      </w:r>
      <w:proofErr w:type="spellEnd"/>
      <w:r w:rsidR="00706AFC">
        <w:rPr>
          <w:rFonts w:ascii="Calibri" w:eastAsia="Times New Roman" w:hAnsi="Calibri" w:cs="Calibri"/>
          <w:color w:val="000000"/>
          <w:lang w:eastAsia="en-AU"/>
        </w:rPr>
        <w:t xml:space="preserve">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\epsilon^{\mu\nu\alpha\beta}W_{\alpha\beta}/2$)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level, but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 xml:space="preserve">to pairs of gauge bosons (specifically photons), the following decay channels were deemed to be promising for the detection of ALPs at the </w:t>
      </w:r>
      <w:proofErr w:type="spellStart"/>
      <w:r w:rsidR="0061210D">
        <w:rPr>
          <w:rFonts w:ascii="Calibri" w:eastAsia="Times New Roman" w:hAnsi="Calibri" w:cs="Calibri"/>
          <w:color w:val="000000"/>
          <w:lang w:eastAsia="en-AU"/>
        </w:rPr>
        <w:t>LHCb</w:t>
      </w:r>
      <w:proofErr w:type="spellEnd"/>
      <w:r w:rsidR="0061210D">
        <w:rPr>
          <w:rFonts w:ascii="Calibri" w:eastAsia="Times New Roman" w:hAnsi="Calibri" w:cs="Calibri"/>
          <w:color w:val="000000"/>
          <w:lang w:eastAsia="en-AU"/>
        </w:rPr>
        <w:t>:</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 xml:space="preserve">Chapter 2: The </w:t>
      </w:r>
      <w:proofErr w:type="spellStart"/>
      <w:r w:rsidRPr="004262DD">
        <w:rPr>
          <w:rFonts w:ascii="Calibri" w:eastAsia="Times New Roman" w:hAnsi="Calibri" w:cs="Calibri"/>
          <w:b/>
          <w:bCs/>
          <w:i/>
          <w:iCs/>
          <w:color w:val="5A5A5A"/>
          <w:lang w:eastAsia="en-AU"/>
        </w:rPr>
        <w:t>LHCb</w:t>
      </w:r>
      <w:proofErr w:type="spellEnd"/>
      <w:r w:rsidRPr="004262DD">
        <w:rPr>
          <w:rFonts w:ascii="Calibri" w:eastAsia="Times New Roman" w:hAnsi="Calibri" w:cs="Calibri"/>
          <w:b/>
          <w:bCs/>
          <w:i/>
          <w:iCs/>
          <w:color w:val="5A5A5A"/>
          <w:lang w:eastAsia="en-AU"/>
        </w:rPr>
        <w:t xml:space="preserve">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a $b\bar{b}$ production cross-section of approximately 500 </w:t>
      </w:r>
      <w:proofErr w:type="spellStart"/>
      <w:r w:rsidRPr="004262DD">
        <w:rPr>
          <w:rFonts w:ascii="Calibri" w:eastAsia="Times New Roman" w:hAnsi="Calibri" w:cs="Calibri"/>
          <w:color w:val="000000"/>
          <w:lang w:eastAsia="en-AU"/>
        </w:rPr>
        <w:t>microbarn</w:t>
      </w:r>
      <w:proofErr w:type="spellEnd"/>
      <w:r w:rsidRPr="004262DD">
        <w:rPr>
          <w:rFonts w:ascii="Calibri" w:eastAsia="Times New Roman" w:hAnsi="Calibri" w:cs="Calibri"/>
          <w:color w:val="000000"/>
          <w:lang w:eastAsia="en-AU"/>
        </w:rPr>
        <w:t xml:space="preserve"> at an energy of 13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and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Data taking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detector is divided into fills and runs. A fill is a single period of collisions delimited by the announcement of stable beam conditions and the dumping of the beam by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 phase which typically lasts approximately 12 hours. A fill is further divided into runs, each of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lasts a maximum of one </w:t>
      </w:r>
      <w:proofErr w:type="spellStart"/>
      <w:r w:rsidRPr="004262DD">
        <w:rPr>
          <w:rFonts w:ascii="Calibri" w:eastAsia="Times New Roman" w:hAnsi="Calibri" w:cs="Calibri"/>
          <w:color w:val="000000"/>
          <w:lang w:eastAsia="en-AU"/>
        </w:rPr>
        <w:t>hour.In</w:t>
      </w:r>
      <w:proofErr w:type="spellEnd"/>
      <w:r w:rsidRPr="004262DD">
        <w:rPr>
          <w:rFonts w:ascii="Calibri" w:eastAsia="Times New Roman" w:hAnsi="Calibri" w:cs="Calibri"/>
          <w:color w:val="000000"/>
          <w:lang w:eastAsia="en-AU"/>
        </w:rPr>
        <w:t xml:space="preserve"> order to benefit from the high event rate at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 xml:space="preserve">Structure of the </w:t>
      </w:r>
      <w:proofErr w:type="spellStart"/>
      <w:r w:rsidRPr="004262DD">
        <w:rPr>
          <w:rFonts w:ascii="Calibri" w:eastAsia="Times New Roman" w:hAnsi="Calibri" w:cs="Calibri"/>
          <w:b/>
          <w:bCs/>
          <w:color w:val="000000"/>
          <w:u w:val="single"/>
          <w:lang w:eastAsia="en-AU"/>
        </w:rPr>
        <w:t>LHCb</w:t>
      </w:r>
      <w:proofErr w:type="spellEnd"/>
      <w:r w:rsidRPr="004262DD">
        <w:rPr>
          <w:rFonts w:ascii="Calibri" w:eastAsia="Times New Roman" w:hAnsi="Calibri" w:cs="Calibri"/>
          <w:b/>
          <w:bCs/>
          <w:color w:val="000000"/>
          <w:u w:val="single"/>
          <w:lang w:eastAsia="en-AU"/>
        </w:rPr>
        <w:t xml:space="preserve">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is a single arm spectrometer with a forward angular coverage from approximately 10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to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in the bending (non-bending) plane and covering the </w:t>
      </w:r>
      <w:proofErr w:type="spellStart"/>
      <w:r w:rsidRPr="004262DD">
        <w:rPr>
          <w:rFonts w:ascii="Calibri" w:eastAsia="Times New Roman" w:hAnsi="Calibri" w:cs="Calibri"/>
          <w:color w:val="000000"/>
          <w:lang w:eastAsia="en-AU"/>
        </w:rPr>
        <w:t>pseudorapidity</w:t>
      </w:r>
      <w:proofErr w:type="spellEnd"/>
      <w:r w:rsidRPr="004262DD">
        <w:rPr>
          <w:rFonts w:ascii="Calibri" w:eastAsia="Times New Roman" w:hAnsi="Calibri" w:cs="Calibri"/>
          <w:color w:val="000000"/>
          <w:lang w:eastAsia="en-AU"/>
        </w:rPr>
        <w:t xml:space="preserve">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w:t>
      </w:r>
      <w:proofErr w:type="spellStart"/>
      <w:r w:rsidRPr="004262DD">
        <w:rPr>
          <w:rFonts w:ascii="Calibri" w:eastAsia="Times New Roman" w:hAnsi="Calibri" w:cs="Calibri"/>
          <w:color w:val="000000"/>
          <w:lang w:eastAsia="en-AU"/>
        </w:rPr>
        <w:t>preshower</w:t>
      </w:r>
      <w:proofErr w:type="spellEnd"/>
      <w:r w:rsidRPr="004262DD">
        <w:rPr>
          <w:rFonts w:ascii="Calibri" w:eastAsia="Times New Roman" w:hAnsi="Calibri" w:cs="Calibri"/>
          <w:color w:val="000000"/>
          <w:lang w:eastAsia="en-AU"/>
        </w:rPr>
        <w:t xml:space="preserve">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VELO is a silicon microstrip detector that surrounds the proton-proton interaction region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 It provides measurements of track coordinates that enable the identification of the primary interaction and secondary vertices, which are characteristic of b and c-hadron decays. The VELO was designed to optimise the following aspects of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 xml:space="preserve">The VELO is designed to cover the forward region such that all tracks inside the nominal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acceptance of 15-300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cross at least three VELO stations. In this way, the detector fully reconstructs roughly 27% of $b\bar{b}$ production for 7 </w:t>
      </w:r>
      <w:proofErr w:type="spellStart"/>
      <w:r w:rsidRPr="004262DD">
        <w:rPr>
          <w:rFonts w:ascii="Calibri" w:eastAsia="Times New Roman" w:hAnsi="Calibri" w:cs="Calibri"/>
          <w:color w:val="000000"/>
          <w:lang w:eastAsia="en-AU"/>
        </w:rPr>
        <w:t>TeV</w:t>
      </w:r>
      <w:proofErr w:type="spellEnd"/>
      <w:r w:rsidRPr="004262DD">
        <w:rPr>
          <w:rFonts w:ascii="Calibri" w:eastAsia="Times New Roman" w:hAnsi="Calibri" w:cs="Calibri"/>
          <w:color w:val="000000"/>
          <w:lang w:eastAsia="en-AU"/>
        </w:rPr>
        <w:t xml:space="preserve"> proton-proton centre of mass collisions, while covering just 1.8% of the solid angle. The VELO also reconstructs tracks in the forward and backward directions </w:t>
      </w:r>
      <w:proofErr w:type="spellStart"/>
      <w:r w:rsidRPr="004262DD">
        <w:rPr>
          <w:rFonts w:ascii="Calibri" w:eastAsia="Times New Roman" w:hAnsi="Calibri" w:cs="Calibri"/>
          <w:color w:val="000000"/>
          <w:lang w:eastAsia="en-AU"/>
        </w:rPr>
        <w:t>hich</w:t>
      </w:r>
      <w:proofErr w:type="spellEnd"/>
      <w:r w:rsidRPr="004262DD">
        <w:rPr>
          <w:rFonts w:ascii="Calibri" w:eastAsia="Times New Roman" w:hAnsi="Calibri" w:cs="Calibri"/>
          <w:color w:val="000000"/>
          <w:lang w:eastAsia="en-AU"/>
        </w:rPr>
        <w:t xml:space="preserve">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physics programme. Most analyses rely heavily on selection cuts on the distance with which tracks approach the primary vertex (i.e.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two Ring Image Cherenkov (RICH) detectors, named RICH1 and RICH2 are responsible for the identification of charged hadrons (e.g. pions, kaons, and protons). RICH1 covers the low and intermediate momentum region (i.e. 2-40 GeV/c) over the full spectrometer angular acceptance of 25-300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while RICH2 covers the high-momentum region 15-100 GeV/c over the angular range 15-120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region, and is located immediately downstream of the VELO described above. RICH 2 on the other hand, is placed downstream of the magnet, since the high momentum tracks that it measures are less influenced by the magnetic field. Both detectors consist of entrance and exit windows that serve as links to the VELO and magnet respectively. These windows form a foam sandwich construction, and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Each cell of the ECAL and HCAL is equipped with a PMT and the corresponding FEB converts the signal to an energy value E, in order to obtain a constant dynamic range in transverse energy over the calorimeter plane. The transverse energy, $E_{T}$ is defined as $E_{T} = E\sin(\theta)$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measures the transverse energy of electrons, photons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(e.g.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Three regions have been labelled in the diagram below (inner, middle and outer), depending on the distance of the cells to the beam-pipe. The cell size is such that the SPD-PS-ECAL system is projective, as seen from the interaction point. In addition, the outer dimensions of the ECAL match </w:t>
      </w:r>
      <w:proofErr w:type="spellStart"/>
      <w:r w:rsidRPr="004262DD">
        <w:rPr>
          <w:rFonts w:ascii="Calibri" w:eastAsia="Times New Roman" w:hAnsi="Calibri" w:cs="Calibri"/>
          <w:color w:val="000000"/>
          <w:lang w:eastAsia="en-AU"/>
        </w:rPr>
        <w:t>projectively</w:t>
      </w:r>
      <w:proofErr w:type="spellEnd"/>
      <w:r w:rsidRPr="004262DD">
        <w:rPr>
          <w:rFonts w:ascii="Calibri" w:eastAsia="Times New Roman" w:hAnsi="Calibri" w:cs="Calibri"/>
          <w:color w:val="000000"/>
          <w:lang w:eastAsia="en-AU"/>
        </w:rPr>
        <w:t xml:space="preserve"> with those of the tracking system $\theta_{x} &lt; 300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and $\theta_{y} &lt; 250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while the inner angular acceptance of ECAL is limited to $\theta_{</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xml:space="preserve">} &gt; 25 </w:t>
      </w:r>
      <w:proofErr w:type="spellStart"/>
      <w:r w:rsidRPr="004262DD">
        <w:rPr>
          <w:rFonts w:ascii="Calibri" w:eastAsia="Times New Roman" w:hAnsi="Calibri" w:cs="Calibri"/>
          <w:color w:val="000000"/>
          <w:lang w:eastAsia="en-AU"/>
        </w:rPr>
        <w:t>mrad</w:t>
      </w:r>
      <w:proofErr w:type="spellEnd"/>
      <w:r w:rsidRPr="004262DD">
        <w:rPr>
          <w:rFonts w:ascii="Calibri" w:eastAsia="Times New Roman" w:hAnsi="Calibri" w:cs="Calibri"/>
          <w:color w:val="000000"/>
          <w:lang w:eastAsia="en-AU"/>
        </w:rPr>
        <w:t xml:space="preserve">$ around the beam pipe, where $\theta_{x}$ and $\theta_{y}$ are the polar angles in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frame in which (</w:t>
      </w:r>
      <w:proofErr w:type="spellStart"/>
      <w:r w:rsidRPr="004262DD">
        <w:rPr>
          <w:rFonts w:ascii="Calibri" w:eastAsia="Times New Roman" w:hAnsi="Calibri" w:cs="Calibri"/>
          <w:color w:val="000000"/>
          <w:lang w:eastAsia="en-AU"/>
        </w:rPr>
        <w:t>x,y</w:t>
      </w:r>
      <w:proofErr w:type="spellEnd"/>
      <w:r w:rsidRPr="004262DD">
        <w:rPr>
          <w:rFonts w:ascii="Calibri" w:eastAsia="Times New Roman" w:hAnsi="Calibri" w:cs="Calibri"/>
          <w:color w:val="000000"/>
          <w:lang w:eastAsia="en-AU"/>
        </w:rPr>
        <w:t>)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w:t>
      </w:r>
      <w:proofErr w:type="spellStart"/>
      <w:r w:rsidRPr="004262DD">
        <w:rPr>
          <w:rFonts w:ascii="Calibri" w:eastAsia="Times New Roman" w:hAnsi="Calibri" w:cs="Calibri"/>
          <w:color w:val="000000"/>
          <w:lang w:eastAsia="en-AU"/>
        </w:rPr>
        <w:t>LHCb</w:t>
      </w:r>
      <w:proofErr w:type="spellEnd"/>
      <w:r w:rsidRPr="004262DD">
        <w:rPr>
          <w:rFonts w:ascii="Calibri" w:eastAsia="Times New Roman" w:hAnsi="Calibri" w:cs="Calibri"/>
          <w:color w:val="000000"/>
          <w:lang w:eastAsia="en-AU"/>
        </w:rPr>
        <w:t xml:space="preserve">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w:t>
      </w:r>
      <w:proofErr w:type="spellStart"/>
      <w:r>
        <w:rPr>
          <w:rFonts w:ascii="Calibri" w:eastAsia="Times New Roman" w:hAnsi="Calibri" w:cs="Calibri"/>
          <w:color w:val="000000"/>
          <w:lang w:eastAsia="en-AU"/>
        </w:rPr>
        <w:t>LHCb</w:t>
      </w:r>
      <w:proofErr w:type="spellEnd"/>
      <w:r>
        <w:rPr>
          <w:rFonts w:ascii="Calibri" w:eastAsia="Times New Roman" w:hAnsi="Calibri" w:cs="Calibri"/>
          <w:color w:val="000000"/>
          <w:lang w:eastAsia="en-AU"/>
        </w:rPr>
        <w:t xml:space="preserve">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(i.e.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 xml:space="preserve">The measurements cover the forward acceptance of $\pm 250$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vertically and of $\pm 300 $ </w:t>
      </w:r>
      <w:proofErr w:type="spellStart"/>
      <w:r w:rsidR="002F7F35">
        <w:rPr>
          <w:rFonts w:ascii="Calibri" w:eastAsia="Times New Roman" w:hAnsi="Calibri" w:cs="Calibri"/>
          <w:color w:val="000000"/>
          <w:lang w:eastAsia="en-AU"/>
        </w:rPr>
        <w:t>mrad</w:t>
      </w:r>
      <w:proofErr w:type="spellEnd"/>
      <w:r w:rsidR="002F7F35">
        <w:rPr>
          <w:rFonts w:ascii="Calibri" w:eastAsia="Times New Roman" w:hAnsi="Calibri" w:cs="Calibri"/>
          <w:color w:val="000000"/>
          <w:lang w:eastAsia="en-AU"/>
        </w:rPr>
        <w:t xml:space="preserve"> horizontally. The magnet consists of saddle-shaped coils in a window-frame yoke with sloping poles in order to match the required detector acceptance, and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w:t>
      </w:r>
      <w:proofErr w:type="spellStart"/>
      <w:r w:rsidR="000C4914">
        <w:rPr>
          <w:rFonts w:ascii="Calibri" w:eastAsia="Times New Roman" w:hAnsi="Calibri" w:cs="Calibri"/>
          <w:color w:val="000000"/>
          <w:lang w:eastAsia="en-AU"/>
        </w:rPr>
        <w:t>millimeters</w:t>
      </w:r>
      <w:proofErr w:type="spellEnd"/>
      <w:r w:rsidR="000C4914">
        <w:rPr>
          <w:rFonts w:ascii="Calibri" w:eastAsia="Times New Roman" w:hAnsi="Calibri" w:cs="Calibri"/>
          <w:color w:val="000000"/>
          <w:lang w:eastAsia="en-AU"/>
        </w:rPr>
        <w:t xml:space="preserve">.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(e.g.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 xml:space="preserve">The </w:t>
      </w:r>
      <w:proofErr w:type="spellStart"/>
      <w:r>
        <w:rPr>
          <w:b/>
          <w:bCs/>
          <w:u w:val="single"/>
          <w:lang w:eastAsia="en-AU"/>
        </w:rPr>
        <w:t>LHCb</w:t>
      </w:r>
      <w:proofErr w:type="spellEnd"/>
      <w:r>
        <w:rPr>
          <w:b/>
          <w:bCs/>
          <w:u w:val="single"/>
          <w:lang w:eastAsia="en-AU"/>
        </w:rPr>
        <w:t xml:space="preserve"> Data Flow</w:t>
      </w:r>
    </w:p>
    <w:p w14:paraId="36187CD9" w14:textId="60BB1F5F" w:rsidR="00742B0E" w:rsidRDefault="00304F74" w:rsidP="00373ADC">
      <w:pPr>
        <w:rPr>
          <w:lang w:eastAsia="en-AU"/>
        </w:rPr>
      </w:pPr>
      <w:r>
        <w:rPr>
          <w:lang w:eastAsia="en-AU"/>
        </w:rPr>
        <w:t xml:space="preserve">The </w:t>
      </w:r>
      <w:proofErr w:type="spellStart"/>
      <w:r>
        <w:rPr>
          <w:lang w:eastAsia="en-AU"/>
        </w:rPr>
        <w:t>LHCb</w:t>
      </w:r>
      <w:proofErr w:type="spellEnd"/>
      <w:r>
        <w:rPr>
          <w:lang w:eastAsia="en-AU"/>
        </w:rPr>
        <w:t xml:space="preserve">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w:t>
      </w:r>
      <w:proofErr w:type="spellStart"/>
      <w:r w:rsidR="00742B0E">
        <w:rPr>
          <w:lang w:eastAsia="en-AU"/>
        </w:rPr>
        <w:t>LHCb</w:t>
      </w:r>
      <w:proofErr w:type="spellEnd"/>
      <w:r w:rsidR="00742B0E">
        <w:rPr>
          <w:lang w:eastAsia="en-AU"/>
        </w:rPr>
        <w:t xml:space="preserve">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analysis, but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w:t>
      </w:r>
      <w:proofErr w:type="spellStart"/>
      <w:r>
        <w:rPr>
          <w:lang w:eastAsia="en-AU"/>
        </w:rPr>
        <w:t>LHCb</w:t>
      </w:r>
      <w:proofErr w:type="spellEnd"/>
      <w:r>
        <w:rPr>
          <w:lang w:eastAsia="en-AU"/>
        </w:rPr>
        <w:t xml:space="preserve"> default) and POWHEG, and for controlling </w:t>
      </w:r>
      <w:proofErr w:type="spellStart"/>
      <w:r>
        <w:rPr>
          <w:lang w:eastAsia="en-AU"/>
        </w:rPr>
        <w:t>EvtGen</w:t>
      </w:r>
      <w:proofErr w:type="spellEnd"/>
      <w:r>
        <w:rPr>
          <w:lang w:eastAsia="en-AU"/>
        </w:rPr>
        <w:t xml:space="preserve"> and Geant4.</w:t>
      </w:r>
      <w:r w:rsidR="00B401DD">
        <w:rPr>
          <w:lang w:eastAsia="en-AU"/>
        </w:rPr>
        <w:t xml:space="preserve"> </w:t>
      </w:r>
      <w:proofErr w:type="spellStart"/>
      <w:r w:rsidR="00B401DD">
        <w:rPr>
          <w:lang w:eastAsia="en-AU"/>
        </w:rPr>
        <w:t>EvtGen</w:t>
      </w:r>
      <w:proofErr w:type="spellEnd"/>
      <w:r w:rsidR="00B401DD">
        <w:rPr>
          <w:lang w:eastAsia="en-AU"/>
        </w:rPr>
        <w:t xml:space="preserve">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(i.e.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(i.e. alignment) and generally have a lifetime that corresponds to the processing of many events</w:t>
      </w:r>
      <w:r w:rsidR="0084675E">
        <w:t xml:space="preserve">. The Transient Histogram Store contains statistical data, which typically have a lifetime corresponding to the data processed in a complete job. Although the stores behave slightly differently, particularly with respect to the data lifetime (e.g.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 xml:space="preserve">The organisation of the data within the transient data stores is “tree-like”, similar to a Unix file system, thereby allowing data items that are logically related (e.g.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detectors and </w:t>
      </w:r>
      <w:proofErr w:type="spellStart"/>
      <w:r>
        <w:rPr>
          <w:lang w:eastAsia="en-AU"/>
        </w:rPr>
        <w:t>fueled</w:t>
      </w:r>
      <w:proofErr w:type="spellEnd"/>
      <w:r>
        <w:rPr>
          <w:lang w:eastAsia="en-AU"/>
        </w:rPr>
        <w:t xml:space="preserve">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 xml:space="preserve">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w:t>
      </w:r>
      <w:proofErr w:type="spellStart"/>
      <w:r w:rsidR="004370E5">
        <w:rPr>
          <w:lang w:eastAsia="en-AU"/>
        </w:rPr>
        <w:t>uni</w:t>
      </w:r>
      <w:proofErr w:type="spellEnd"/>
      <w:r w:rsidR="004370E5">
        <w:rPr>
          <w:lang w:eastAsia="en-AU"/>
        </w:rPr>
        <w:t>-directional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 xml:space="preserve">The Pythia program is a standard tool for the generation of high-energy collisions, comprising a coherent set of physics models for the evolution from a few-body hard process to a complex </w:t>
      </w:r>
      <w:proofErr w:type="spellStart"/>
      <w:r>
        <w:rPr>
          <w:lang w:eastAsia="en-AU"/>
        </w:rPr>
        <w:t>multihadronic</w:t>
      </w:r>
      <w:proofErr w:type="spellEnd"/>
      <w:r>
        <w:rPr>
          <w:lang w:eastAsia="en-AU"/>
        </w:rPr>
        <w:t xml:space="preserve"> final state. It contains a library of hard processes and models for initial and final-state </w:t>
      </w:r>
      <w:proofErr w:type="spellStart"/>
      <w:r>
        <w:rPr>
          <w:lang w:eastAsia="en-AU"/>
        </w:rPr>
        <w:t>parton</w:t>
      </w:r>
      <w:proofErr w:type="spellEnd"/>
      <w:r>
        <w:rPr>
          <w:lang w:eastAsia="en-AU"/>
        </w:rPr>
        <w:t xml:space="preserve"> showers, multiple </w:t>
      </w:r>
      <w:proofErr w:type="spellStart"/>
      <w:r>
        <w:rPr>
          <w:lang w:eastAsia="en-AU"/>
        </w:rPr>
        <w:t>parton-parton</w:t>
      </w:r>
      <w:proofErr w:type="spellEnd"/>
      <w:r>
        <w:rPr>
          <w:lang w:eastAsia="en-AU"/>
        </w:rPr>
        <w:t xml:space="preserve">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 xml:space="preserve">The hard processes, </w:t>
      </w:r>
      <w:proofErr w:type="spellStart"/>
      <w:r>
        <w:rPr>
          <w:lang w:eastAsia="en-AU"/>
        </w:rPr>
        <w:t>parton</w:t>
      </w:r>
      <w:proofErr w:type="spellEnd"/>
      <w:r>
        <w:rPr>
          <w:lang w:eastAsia="en-AU"/>
        </w:rPr>
        <w:t xml:space="preserve"> showers, multiple interactions, beam remnants, and hadronization (i.e.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xml:space="preserve">. Only a very small set of </w:t>
      </w:r>
      <w:proofErr w:type="spellStart"/>
      <w:r w:rsidR="004D30B4">
        <w:rPr>
          <w:lang w:eastAsia="en-AU"/>
        </w:rPr>
        <w:t>partons</w:t>
      </w:r>
      <w:proofErr w:type="spellEnd"/>
      <w:r w:rsidR="004D30B4">
        <w:rPr>
          <w:lang w:eastAsia="en-AU"/>
        </w:rPr>
        <w:t>/particles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 xml:space="preserve">The generation of all subsequent activity on the partonic level, involving initial and final-state radiation, multiple </w:t>
      </w:r>
      <w:proofErr w:type="spellStart"/>
      <w:r>
        <w:rPr>
          <w:lang w:eastAsia="en-AU"/>
        </w:rPr>
        <w:t>parton-parton</w:t>
      </w:r>
      <w:proofErr w:type="spellEnd"/>
      <w:r>
        <w:rPr>
          <w:lang w:eastAsia="en-AU"/>
        </w:rPr>
        <w:t xml:space="preserve"> interactions and the structure of beam remnants. Much of the phenomena are under an (approximate) perturbative control., but nonperturbative physics aspects are also important. At the conclusion of this step, a realistic partonic structure has been obtained (e.g.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w:t>
      </w:r>
      <w:proofErr w:type="spellStart"/>
      <w:r>
        <w:rPr>
          <w:lang w:eastAsia="en-AU"/>
        </w:rPr>
        <w:t>parton</w:t>
      </w:r>
      <w:proofErr w:type="spellEnd"/>
      <w:r>
        <w:rPr>
          <w:lang w:eastAsia="en-AU"/>
        </w:rPr>
        <w:t xml:space="preserve">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 xml:space="preserve">The three subdivisions of tasks are not rigid- </w:t>
      </w:r>
      <w:proofErr w:type="spellStart"/>
      <w:r>
        <w:rPr>
          <w:lang w:eastAsia="en-AU"/>
        </w:rPr>
        <w:t>parton</w:t>
      </w:r>
      <w:proofErr w:type="spellEnd"/>
      <w:r>
        <w:rPr>
          <w:lang w:eastAsia="en-AU"/>
        </w:rPr>
        <w:t xml:space="preserve">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 xml:space="preserve">The most important piece of information is that of the event record, which is represented by the ‘Event’ class, of which there are two objects, namely process (which only covers the few </w:t>
      </w:r>
      <w:proofErr w:type="spellStart"/>
      <w:r>
        <w:rPr>
          <w:lang w:eastAsia="en-AU"/>
        </w:rPr>
        <w:t>partons</w:t>
      </w:r>
      <w:proofErr w:type="spellEnd"/>
      <w:r>
        <w:rPr>
          <w:lang w:eastAsia="en-AU"/>
        </w:rPr>
        <w:t xml:space="preserve"> of the “hard” process of point 1), and another called event, which covers the full story from the incoming beams to the final hadrons. A small Info class keeps track of useful, unique information, such as the kinematic variables </w:t>
      </w:r>
      <w:proofErr w:type="spellStart"/>
      <w:r>
        <w:rPr>
          <w:lang w:eastAsia="en-AU"/>
        </w:rPr>
        <w:t>fo</w:t>
      </w:r>
      <w:proofErr w:type="spellEnd"/>
      <w:r>
        <w:rPr>
          <w:lang w:eastAsia="en-AU"/>
        </w:rPr>
        <w:t xml:space="preserve"> the hard process</w:t>
      </w:r>
    </w:p>
    <w:p w14:paraId="06AF4204" w14:textId="43DFBA84" w:rsidR="003313E8" w:rsidRDefault="003313E8" w:rsidP="00B401DD">
      <w:pPr>
        <w:rPr>
          <w:lang w:eastAsia="en-AU"/>
        </w:rPr>
      </w:pPr>
      <w:r>
        <w:rPr>
          <w:lang w:eastAsia="en-AU"/>
        </w:rPr>
        <w:t xml:space="preserve">There are also two incoming </w:t>
      </w:r>
      <w:proofErr w:type="spellStart"/>
      <w:r>
        <w:rPr>
          <w:lang w:eastAsia="en-AU"/>
        </w:rPr>
        <w:t>BeamParticles</w:t>
      </w:r>
      <w:proofErr w:type="spellEnd"/>
      <w:r>
        <w:rPr>
          <w:lang w:eastAsia="en-AU"/>
        </w:rPr>
        <w:t xml:space="preserve"> that keep track of the partonic content left in the beams after several interactions and initial-state radiations, and rescales </w:t>
      </w:r>
      <w:proofErr w:type="spellStart"/>
      <w:r>
        <w:rPr>
          <w:lang w:eastAsia="en-AU"/>
        </w:rPr>
        <w:t>parton</w:t>
      </w:r>
      <w:proofErr w:type="spellEnd"/>
      <w:r>
        <w:rPr>
          <w:lang w:eastAsia="en-AU"/>
        </w:rPr>
        <w:t xml:space="preserve">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integer, double, </w:t>
      </w:r>
      <w:proofErr w:type="spellStart"/>
      <w:r w:rsidR="002C1514">
        <w:rPr>
          <w:lang w:eastAsia="en-AU"/>
        </w:rPr>
        <w:t>b</w:t>
      </w:r>
      <w:r>
        <w:rPr>
          <w:lang w:eastAsia="en-AU"/>
        </w:rPr>
        <w:t>oolean</w:t>
      </w:r>
      <w:proofErr w:type="spellEnd"/>
      <w:r>
        <w:rPr>
          <w:lang w:eastAsia="en-AU"/>
        </w:rPr>
        <w:t xml:space="preserve">, and string </w:t>
      </w:r>
      <w:proofErr w:type="spellStart"/>
      <w:r>
        <w:rPr>
          <w:lang w:eastAsia="en-AU"/>
        </w:rPr>
        <w:t>variabes</w:t>
      </w:r>
      <w:proofErr w:type="spellEnd"/>
      <w:r>
        <w:rPr>
          <w:lang w:eastAsia="en-AU"/>
        </w:rPr>
        <w:t xml:space="preserve"> that can be changed by the user to steer the performance of Pythia, except that </w:t>
      </w:r>
      <w:proofErr w:type="spellStart"/>
      <w:r>
        <w:rPr>
          <w:lang w:eastAsia="en-AU"/>
        </w:rPr>
        <w:t>ParticleDataTable</w:t>
      </w:r>
      <w:proofErr w:type="spellEnd"/>
      <w:r>
        <w:rPr>
          <w:lang w:eastAsia="en-AU"/>
        </w:rPr>
        <w:t xml:space="preserv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proofErr w:type="spellStart"/>
      <w:r>
        <w:rPr>
          <w:b/>
          <w:bCs/>
          <w:u w:val="single"/>
          <w:lang w:eastAsia="en-AU"/>
        </w:rPr>
        <w:t>EvtGen</w:t>
      </w:r>
      <w:proofErr w:type="spellEnd"/>
    </w:p>
    <w:p w14:paraId="331502C9" w14:textId="3E4A12CB" w:rsidR="00FE7EFD" w:rsidRDefault="00FE7EFD" w:rsidP="00B401DD">
      <w:pPr>
        <w:rPr>
          <w:lang w:eastAsia="en-AU"/>
        </w:rPr>
      </w:pPr>
      <w:r>
        <w:rPr>
          <w:lang w:eastAsia="en-AU"/>
        </w:rPr>
        <w:t xml:space="preserve">The </w:t>
      </w:r>
      <w:proofErr w:type="spellStart"/>
      <w:r>
        <w:rPr>
          <w:lang w:eastAsia="en-AU"/>
        </w:rPr>
        <w:t>EvtGen</w:t>
      </w:r>
      <w:proofErr w:type="spellEnd"/>
      <w:r>
        <w:rPr>
          <w:lang w:eastAsia="en-AU"/>
        </w:rPr>
        <w:t xml:space="preserve">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rate, and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As with the other decays, kinematics are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w:t>
      </w:r>
      <w:proofErr w:type="spellStart"/>
      <w:r>
        <w:rPr>
          <w:rFonts w:eastAsiaTheme="minorEastAsia"/>
          <w:lang w:eastAsia="en-AU"/>
        </w:rPr>
        <w:t>EvtGen</w:t>
      </w:r>
      <w:proofErr w:type="spellEnd"/>
      <w:r>
        <w:rPr>
          <w:rFonts w:eastAsiaTheme="minorEastAsia"/>
          <w:lang w:eastAsia="en-AU"/>
        </w:rPr>
        <w:t xml:space="preserve">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 xml:space="preserve">Various decay models are implemented in the </w:t>
      </w:r>
      <w:proofErr w:type="spellStart"/>
      <w:r>
        <w:rPr>
          <w:rFonts w:eastAsiaTheme="minorEastAsia"/>
          <w:lang w:eastAsia="en-AU"/>
        </w:rPr>
        <w:t>EvtGen</w:t>
      </w:r>
      <w:proofErr w:type="spellEnd"/>
      <w:r>
        <w:rPr>
          <w:rFonts w:eastAsiaTheme="minorEastAsia"/>
          <w:lang w:eastAsia="en-AU"/>
        </w:rPr>
        <w:t xml:space="preserve"> package, including those for specific CP violating channels, </w:t>
      </w:r>
      <w:proofErr w:type="spellStart"/>
      <w:r>
        <w:rPr>
          <w:rFonts w:eastAsiaTheme="minorEastAsia"/>
          <w:lang w:eastAsia="en-AU"/>
        </w:rPr>
        <w:t>Dalitz</w:t>
      </w:r>
      <w:proofErr w:type="spellEnd"/>
      <w:r>
        <w:rPr>
          <w:rFonts w:eastAsiaTheme="minorEastAsia"/>
          <w:lang w:eastAsia="en-AU"/>
        </w:rPr>
        <w:t xml:space="preserve"> decay models, mixing and </w:t>
      </w:r>
      <w:proofErr w:type="spellStart"/>
      <w:r>
        <w:rPr>
          <w:rFonts w:eastAsiaTheme="minorEastAsia"/>
          <w:lang w:eastAsia="en-AU"/>
        </w:rPr>
        <w:t>semileptonic</w:t>
      </w:r>
      <w:proofErr w:type="spellEnd"/>
      <w:r>
        <w:rPr>
          <w:rFonts w:eastAsiaTheme="minorEastAsia"/>
          <w:lang w:eastAsia="en-AU"/>
        </w:rPr>
        <w:t xml:space="preserve">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xml:space="preserve">, </w:t>
      </w:r>
      <w:proofErr w:type="spellStart"/>
      <w:r w:rsidR="008743A6">
        <w:rPr>
          <w:rFonts w:eastAsiaTheme="minorEastAsia"/>
          <w:lang w:eastAsia="en-AU"/>
        </w:rPr>
        <w:t>transversity</w:t>
      </w:r>
      <w:proofErr w:type="spellEnd"/>
      <w:r w:rsidR="008743A6">
        <w:rPr>
          <w:rFonts w:eastAsiaTheme="minorEastAsia"/>
          <w:lang w:eastAsia="en-AU"/>
        </w:rPr>
        <w:t xml:space="preserve"> amplitudes are specified</w:t>
      </w:r>
    </w:p>
    <w:p w14:paraId="7548A32A" w14:textId="3E92BB08" w:rsidR="004668A2" w:rsidRPr="004668A2" w:rsidRDefault="004668A2" w:rsidP="004668A2">
      <w:pPr>
        <w:ind w:left="360"/>
        <w:rPr>
          <w:rFonts w:eastAsiaTheme="minorEastAsia"/>
          <w:lang w:eastAsia="en-AU"/>
        </w:rPr>
      </w:pPr>
      <w:proofErr w:type="spellStart"/>
      <w:r>
        <w:rPr>
          <w:rFonts w:eastAsiaTheme="minorEastAsia"/>
          <w:lang w:eastAsia="en-AU"/>
        </w:rPr>
        <w:t>Semileptonic</w:t>
      </w:r>
      <w:proofErr w:type="spellEnd"/>
      <w:r>
        <w:rPr>
          <w:rFonts w:eastAsiaTheme="minorEastAsia"/>
          <w:lang w:eastAsia="en-AU"/>
        </w:rPr>
        <w:t xml:space="preserve">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w:t>
      </w:r>
      <w:proofErr w:type="spellStart"/>
      <w:r>
        <w:rPr>
          <w:rFonts w:eastAsiaTheme="minorEastAsia"/>
          <w:lang w:eastAsia="en-AU"/>
        </w:rPr>
        <w:t>EvtGen</w:t>
      </w:r>
      <w:proofErr w:type="spellEnd"/>
      <w:r>
        <w:rPr>
          <w:rFonts w:eastAsiaTheme="minorEastAsia"/>
          <w:lang w:eastAsia="en-AU"/>
        </w:rPr>
        <w:t xml:space="preserve">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 xml:space="preserve">The </w:t>
      </w:r>
      <w:proofErr w:type="spellStart"/>
      <w:r>
        <w:rPr>
          <w:lang w:eastAsia="en-AU"/>
        </w:rPr>
        <w:t>LHCb</w:t>
      </w:r>
      <w:proofErr w:type="spellEnd"/>
      <w:r>
        <w:rPr>
          <w:lang w:eastAsia="en-AU"/>
        </w:rPr>
        <w:t xml:space="preserve"> simulation framework Gauss is built, as all the other </w:t>
      </w:r>
      <w:proofErr w:type="spellStart"/>
      <w:r>
        <w:rPr>
          <w:lang w:eastAsia="en-AU"/>
        </w:rPr>
        <w:t>LHCb</w:t>
      </w:r>
      <w:proofErr w:type="spellEnd"/>
      <w:r>
        <w:rPr>
          <w:lang w:eastAsia="en-AU"/>
        </w:rPr>
        <w:t xml:space="preserve">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 xml:space="preserve">o control the generation of collisions (in most cases, proton-proton collisions) with Pythia, where a specific </w:t>
      </w:r>
      <w:proofErr w:type="spellStart"/>
      <w:r w:rsidR="004F4DD7">
        <w:rPr>
          <w:lang w:eastAsia="en-AU"/>
        </w:rPr>
        <w:t>LHCb</w:t>
      </w:r>
      <w:proofErr w:type="spellEnd"/>
      <w:r w:rsidR="004F4DD7">
        <w:rPr>
          <w:lang w:eastAsia="en-AU"/>
        </w:rPr>
        <w:t xml:space="preserve"> configuration is used. Gauss then makes use of </w:t>
      </w:r>
      <w:proofErr w:type="spellStart"/>
      <w:r w:rsidR="004F4DD7">
        <w:rPr>
          <w:lang w:eastAsia="en-AU"/>
        </w:rPr>
        <w:t>EvtGen</w:t>
      </w:r>
      <w:proofErr w:type="spellEnd"/>
      <w:r w:rsidR="004F4DD7">
        <w:rPr>
          <w:lang w:eastAsia="en-AU"/>
        </w:rPr>
        <w:t xml:space="preserve">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1C3B4D60" w:rsidR="00A56936" w:rsidRPr="00373ADC"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3844997F" w14:textId="77777777"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117CF630" w14:textId="105981F4" w:rsidR="004C081F" w:rsidRDefault="004C081F" w:rsidP="004C081F">
      <w:pPr>
        <w:pStyle w:val="ListParagraph"/>
        <w:numPr>
          <w:ilvl w:val="0"/>
          <w:numId w:val="6"/>
        </w:numPr>
        <w:rPr>
          <w:lang w:eastAsia="en-AU"/>
        </w:rPr>
      </w:pPr>
      <w:r>
        <w:rPr>
          <w:lang w:eastAsia="en-AU"/>
        </w:rPr>
        <w:t>Determined the single event sensitivity of the single photon decay mode using the literature</w:t>
      </w:r>
    </w:p>
    <w:p w14:paraId="65D920BA" w14:textId="79D542EA" w:rsidR="00765360" w:rsidRPr="00765360" w:rsidRDefault="004C081F" w:rsidP="00765360">
      <w:pPr>
        <w:pStyle w:val="ListParagraph"/>
        <w:numPr>
          <w:ilvl w:val="0"/>
          <w:numId w:val="6"/>
        </w:numPr>
        <w:rPr>
          <w:b/>
          <w:bCs/>
          <w:color w:val="FF0000"/>
          <w:lang w:eastAsia="en-AU"/>
        </w:rPr>
      </w:pPr>
      <w:r w:rsidRPr="004C081F">
        <w:rPr>
          <w:b/>
          <w:bCs/>
          <w:color w:val="FF0000"/>
          <w:lang w:eastAsia="en-AU"/>
        </w:rPr>
        <w:t>Need to plot signal selection curves for varying ALP masses (pending</w:t>
      </w:r>
      <w:r w:rsidR="00765360">
        <w:rPr>
          <w:b/>
          <w:bCs/>
          <w:color w:val="FF0000"/>
          <w:lang w:eastAsia="en-AU"/>
        </w:rPr>
        <w:t xml:space="preserve">, </w:t>
      </w:r>
      <w:proofErr w:type="spellStart"/>
      <w:r w:rsidR="00765360">
        <w:rPr>
          <w:b/>
          <w:bCs/>
          <w:color w:val="FF0000"/>
          <w:lang w:eastAsia="en-AU"/>
        </w:rPr>
        <w:t>Ulrik</w:t>
      </w:r>
      <w:proofErr w:type="spellEnd"/>
      <w:r w:rsidR="00765360">
        <w:rPr>
          <w:b/>
          <w:bCs/>
          <w:color w:val="FF0000"/>
          <w:lang w:eastAsia="en-AU"/>
        </w:rPr>
        <w:t xml:space="preserve"> will consult expert and revert)</w:t>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4"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0"/>
  </w:num>
  <w:num w:numId="2" w16cid:durableId="1830945112">
    <w:abstractNumId w:val="5"/>
  </w:num>
  <w:num w:numId="3" w16cid:durableId="1229606155">
    <w:abstractNumId w:val="4"/>
  </w:num>
  <w:num w:numId="4" w16cid:durableId="1119255310">
    <w:abstractNumId w:val="3"/>
  </w:num>
  <w:num w:numId="5" w16cid:durableId="1046027780">
    <w:abstractNumId w:val="11"/>
  </w:num>
  <w:num w:numId="6" w16cid:durableId="1720396450">
    <w:abstractNumId w:val="2"/>
  </w:num>
  <w:num w:numId="7" w16cid:durableId="2119762080">
    <w:abstractNumId w:val="6"/>
  </w:num>
  <w:num w:numId="8" w16cid:durableId="864517985">
    <w:abstractNumId w:val="12"/>
  </w:num>
  <w:num w:numId="9" w16cid:durableId="130752204">
    <w:abstractNumId w:val="13"/>
  </w:num>
  <w:num w:numId="10" w16cid:durableId="1569876369">
    <w:abstractNumId w:val="8"/>
  </w:num>
  <w:num w:numId="11" w16cid:durableId="879827555">
    <w:abstractNumId w:val="0"/>
  </w:num>
  <w:num w:numId="12" w16cid:durableId="1749384159">
    <w:abstractNumId w:val="14"/>
  </w:num>
  <w:num w:numId="13" w16cid:durableId="730234838">
    <w:abstractNumId w:val="7"/>
  </w:num>
  <w:num w:numId="14" w16cid:durableId="1230310610">
    <w:abstractNumId w:val="1"/>
  </w:num>
  <w:num w:numId="15" w16cid:durableId="179206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82223"/>
    <w:rsid w:val="000A5C3C"/>
    <w:rsid w:val="000C4914"/>
    <w:rsid w:val="000F2E21"/>
    <w:rsid w:val="0010043D"/>
    <w:rsid w:val="00151D22"/>
    <w:rsid w:val="00164721"/>
    <w:rsid w:val="001A6127"/>
    <w:rsid w:val="001C38A5"/>
    <w:rsid w:val="001D7ED4"/>
    <w:rsid w:val="001E2ADB"/>
    <w:rsid w:val="001E5159"/>
    <w:rsid w:val="00221010"/>
    <w:rsid w:val="00225CC7"/>
    <w:rsid w:val="00226081"/>
    <w:rsid w:val="002451FA"/>
    <w:rsid w:val="002A452F"/>
    <w:rsid w:val="002C1514"/>
    <w:rsid w:val="002E64DF"/>
    <w:rsid w:val="002F1B2C"/>
    <w:rsid w:val="002F7F35"/>
    <w:rsid w:val="00304F74"/>
    <w:rsid w:val="003270FE"/>
    <w:rsid w:val="003313E8"/>
    <w:rsid w:val="0033587B"/>
    <w:rsid w:val="00345F46"/>
    <w:rsid w:val="00360552"/>
    <w:rsid w:val="0036273D"/>
    <w:rsid w:val="00373ADC"/>
    <w:rsid w:val="0037455A"/>
    <w:rsid w:val="00375CA6"/>
    <w:rsid w:val="00387525"/>
    <w:rsid w:val="004262DD"/>
    <w:rsid w:val="004370E5"/>
    <w:rsid w:val="00446344"/>
    <w:rsid w:val="00457A38"/>
    <w:rsid w:val="004668A2"/>
    <w:rsid w:val="004954E4"/>
    <w:rsid w:val="004C081F"/>
    <w:rsid w:val="004D30B4"/>
    <w:rsid w:val="004E3012"/>
    <w:rsid w:val="004E6226"/>
    <w:rsid w:val="004F4DD7"/>
    <w:rsid w:val="005579D1"/>
    <w:rsid w:val="00596513"/>
    <w:rsid w:val="005B15C2"/>
    <w:rsid w:val="005D0514"/>
    <w:rsid w:val="005D461F"/>
    <w:rsid w:val="005E23EC"/>
    <w:rsid w:val="005F0E6A"/>
    <w:rsid w:val="0061210D"/>
    <w:rsid w:val="00617089"/>
    <w:rsid w:val="00625DB3"/>
    <w:rsid w:val="00667C30"/>
    <w:rsid w:val="00672C95"/>
    <w:rsid w:val="00680052"/>
    <w:rsid w:val="006A46DB"/>
    <w:rsid w:val="006A55FE"/>
    <w:rsid w:val="006D04A3"/>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8459E"/>
    <w:rsid w:val="00984811"/>
    <w:rsid w:val="009939BA"/>
    <w:rsid w:val="009C74D2"/>
    <w:rsid w:val="00A00197"/>
    <w:rsid w:val="00A222E8"/>
    <w:rsid w:val="00A326B2"/>
    <w:rsid w:val="00A33C4E"/>
    <w:rsid w:val="00A56936"/>
    <w:rsid w:val="00A638F9"/>
    <w:rsid w:val="00AA46D5"/>
    <w:rsid w:val="00AE7ED0"/>
    <w:rsid w:val="00AF41B5"/>
    <w:rsid w:val="00AF6E00"/>
    <w:rsid w:val="00B015A9"/>
    <w:rsid w:val="00B401DD"/>
    <w:rsid w:val="00B41504"/>
    <w:rsid w:val="00B434C0"/>
    <w:rsid w:val="00B90E31"/>
    <w:rsid w:val="00B94C45"/>
    <w:rsid w:val="00B9720E"/>
    <w:rsid w:val="00BD79FD"/>
    <w:rsid w:val="00BF55E4"/>
    <w:rsid w:val="00C2446C"/>
    <w:rsid w:val="00C311E7"/>
    <w:rsid w:val="00C33F0A"/>
    <w:rsid w:val="00C4564C"/>
    <w:rsid w:val="00C83953"/>
    <w:rsid w:val="00C86931"/>
    <w:rsid w:val="00C925F5"/>
    <w:rsid w:val="00CD2BA0"/>
    <w:rsid w:val="00D15AE3"/>
    <w:rsid w:val="00D237CA"/>
    <w:rsid w:val="00D32821"/>
    <w:rsid w:val="00D8242A"/>
    <w:rsid w:val="00DA16CF"/>
    <w:rsid w:val="00DB2C41"/>
    <w:rsid w:val="00DD4DB3"/>
    <w:rsid w:val="00DF420D"/>
    <w:rsid w:val="00E7192C"/>
    <w:rsid w:val="00E74FFE"/>
    <w:rsid w:val="00E802FC"/>
    <w:rsid w:val="00EB1160"/>
    <w:rsid w:val="00ED12B8"/>
    <w:rsid w:val="00EE7159"/>
    <w:rsid w:val="00F20D92"/>
    <w:rsid w:val="00F54D93"/>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ww.youtube.com/watch?v=UlyGazWkeu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19230</TotalTime>
  <Pages>1</Pages>
  <Words>7254</Words>
  <Characters>41350</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Subrahmanya Pemmaraju</cp:lastModifiedBy>
  <cp:revision>7</cp:revision>
  <dcterms:created xsi:type="dcterms:W3CDTF">2022-07-31T09:12:00Z</dcterms:created>
  <dcterms:modified xsi:type="dcterms:W3CDTF">2022-09-14T06:56:00Z</dcterms:modified>
</cp:coreProperties>
</file>