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Investment Committee: minutes</w:t>
      </w:r>
    </w:p>
    <w:p>
      <w:r>
        <w:t xml:space="preserve">Meeting held on 15 July 2026.</w:t>
      </w:r>
    </w:p>
    <w:p>
      <w:pPr>
        <w:pStyle w:val="Heading2"/>
      </w:pPr>
      <w:r>
        <w:t xml:space="preserve">Present</w:t>
      </w:r>
    </w:p>
    <w:p>
      <w:r>
        <w:t xml:space="preserve">Chair of the Investment Committee; Head of Investments; Investment Manager; Risk Officer.</w:t>
      </w:r>
    </w:p>
    <w:p>
      <w:pPr>
        <w:pStyle w:val="Heading2"/>
      </w:pPr>
      <w:r>
        <w:t xml:space="preserve">Matters considered</w:t>
      </w:r>
    </w:p>
    <w:p>
      <w:r>
        <w:t xml:space="preserve">The Committee reviewed the model portfolios against the investment policy and agreed the actions below.</w:t>
      </w:r>
    </w:p>
    <w:p>
      <w:pPr>
        <w:pStyle w:val="Heading2"/>
      </w:pPr>
      <w:r>
        <w:t xml:space="preserve">Actions</w:t>
      </w:r>
    </w:p>
    <w:tbl>
      <w:tblPr>
        <w:tblStyle w:val="TableGrid"/>
        <w:tblW w:w="0" w:type="auto"/>
      </w:tblPr>
      <w:tr>
        <w:tc>
          <w:p>
            <w:r>
              <w:t xml:space="preserve">Ref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Owner</w:t>
            </w:r>
          </w:p>
        </w:tc>
        <w:tc>
          <w:p>
            <w:r>
              <w:t xml:space="preserve">Due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A-2026-07-01</w:t>
            </w:r>
          </w:p>
        </w:tc>
        <w:tc>
          <w:p>
            <w:r>
              <w:t xml:space="preserve">Replace Fenwick Strategic Multi-Asset in the Cautious portfolio with a lower-cost multi-asset fund.</w:t>
            </w:r>
          </w:p>
        </w:tc>
        <w:tc>
          <w:p>
            <w:r>
              <w:t xml:space="preserve">Investment Manager</w:t>
            </w:r>
          </w:p>
        </w:tc>
        <w:tc>
          <w:p>
            <w:r>
              <w:t xml:space="preserve">30 September 2026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Shortlist of three alternatives presented.</w:t>
            </w:r>
          </w:p>
        </w:tc>
      </w:tr>
      <w:tr>
        <w:tc>
          <w:p>
            <w:r>
              <w:t xml:space="preserve">A-2026-07-02</w:t>
            </w:r>
          </w:p>
        </w:tc>
        <w:tc>
          <w:p>
            <w:r>
              <w:t xml:space="preserve">Reduce Tarn Property Securities in the Balanced portfolio to no more than 6%.</w:t>
            </w:r>
          </w:p>
        </w:tc>
        <w:tc>
          <w:p>
            <w:r>
              <w:t xml:space="preserve">Investment Manager</w:t>
            </w:r>
          </w:p>
        </w:tc>
        <w:tc>
          <w:p>
            <w:r>
              <w:t xml:space="preserve">30 September 2026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A-2026-07-03</w:t>
            </w:r>
          </w:p>
        </w:tc>
        <w:tc>
          <w:p>
            <w:r>
              <w:t xml:space="preserve">Review provider fee schedules for all multi-asset funds held.</w:t>
            </w:r>
          </w:p>
        </w:tc>
        <w:tc>
          <w:p>
            <w:r>
              <w:t xml:space="preserve">Head of Investments</w:t>
            </w:r>
          </w:p>
        </w:tc>
        <w:tc>
          <w:p>
            <w:r>
              <w:t xml:space="preserve">31 December 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A-2026-07-04</w:t>
            </w:r>
          </w:p>
        </w:tc>
        <w:tc>
          <w:p>
            <w:r>
              <w:t xml:space="preserve">Notify the Committee if any portfolio's quarterly return is below -5.0%.</w:t>
            </w:r>
          </w:p>
        </w:tc>
        <w:tc>
          <w:p>
            <w:r>
              <w:t xml:space="preserve">Investment Manager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Standing</w:t>
            </w:r>
          </w:p>
        </w:tc>
        <w:tc>
          <w:p>
            <w:r>
              <w:t xml:space="preserve">Standing instruction.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