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5F74"/>
          <w:sz w:val="44"/>
          <w:szCs w:val="44"/>
        </w:rPr>
        <w:t xml:space="preserve">Residential Care Facility Map</w:t>
      </w:r>
    </w:p>
    <w:p>
      <w:pPr>
        <w:spacing w:after="400"/>
      </w:pPr>
      <w:r>
        <w:rPr>
          <w:rFonts w:ascii="Calibri" w:cs="Calibri" w:eastAsia="Calibri" w:hAnsi="Calibri"/>
          <w:color w:val="6B6156"/>
          <w:sz w:val="24"/>
          <w:szCs w:val="24"/>
        </w:rPr>
        <w:t xml:space="preserve">Competitive mapping for California RCFEs</w:t>
      </w:r>
    </w:p>
    <w:p>
      <w:pPr>
        <w:pBdr>
          <w:top w:val="single" w:color="1F5F74" w:sz="12" w:space="8"/>
        </w:pBdr>
        <w:spacing w:after="120"/>
      </w:pPr>
    </w:p>
    <w:p>
      <w:pPr>
        <w:spacing w:after="600"/>
      </w:pPr>
      <w:r>
        <w:rPr>
          <w:rFonts w:ascii="Calibri" w:cs="Calibri" w:eastAsia="Calibri" w:hAnsi="Calibri"/>
          <w:b/>
          <w:bCs/>
          <w:color w:val="2B2620"/>
          <w:sz w:val="32"/>
          <w:szCs w:val="32"/>
        </w:rPr>
        <w:t xml:space="preserve">User Guide and Administrator Manual</w:t>
      </w: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3120"/>
        <w:gridCol w:w="6240"/>
      </w:tblGrid>
      <w:tr>
        <w:trPr>
          <w:tblHeader/>
        </w:trPr>
        <w:tc>
          <w:tcPr>
            <w:tcW w:type="dxa" w:w="312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Field</w:t>
            </w:r>
          </w:p>
        </w:tc>
        <w:tc>
          <w:tcPr>
            <w:tcW w:type="dxa" w:w="624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Value</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Document title</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User Guide and Administrator Manual</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Product</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Residential Care Facility Map</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Software version documented</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1.0</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Document version</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1.0</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Document date</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September 20, 2026</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Author and copyright owner</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Spencer Rogers</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Medium</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Single self-contained HTML file, executed in a web browser</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Document status</w:t>
            </w:r>
          </w:p>
        </w:tc>
        <w:tc>
          <w:tcPr>
            <w:tcW w:type="dxa" w:w="624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Complete, released</w:t>
            </w:r>
          </w:p>
        </w:tc>
      </w:tr>
    </w:tbl>
    <w:p>
      <w:pPr>
        <w:spacing w:after="160"/>
      </w:pPr>
    </w:p>
    <w:p>
      <w:pPr>
        <w:spacing w:after="140" w:line="276"/>
      </w:pPr>
      <w:r>
        <w:rPr>
          <w:rFonts w:ascii="Calibri" w:cs="Calibri" w:eastAsia="Calibri" w:hAnsi="Calibri"/>
          <w:color w:val="2B2620"/>
          <w:sz w:val="21"/>
          <w:szCs w:val="21"/>
        </w:rPr>
        <w:t xml:space="preserve">Copyright © 2026 Spencer Rogers. All rights reserved.</w:t>
      </w:r>
    </w:p>
    <w:p>
      <w:pPr>
        <w:spacing w:after="140" w:line="276"/>
      </w:pPr>
      <w:r>
        <w:rPr>
          <w:rFonts w:ascii="Calibri" w:cs="Calibri" w:eastAsia="Calibri" w:hAnsi="Calibri"/>
          <w:color w:val="2B2620"/>
          <w:sz w:val="21"/>
          <w:szCs w:val="21"/>
        </w:rPr>
        <w:t xml:space="preserve">This manual and the software it describes are original works of authorship. Government datasets consumed by the software are separately produced public records and are not claimed as part of this work; see the Data Sources section for attribution and terms.</w:t>
      </w:r>
    </w:p>
    <w:p>
      <w:r>
        <w:br w:type="page"/>
      </w:r>
    </w:p>
    <w:p>
      <w:pPr>
        <w:pStyle w:val="Heading1"/>
        <w:spacing w:after="160" w:before="360"/>
      </w:pPr>
      <w:r>
        <w:rPr>
          <w:rFonts w:ascii="Calibri" w:cs="Calibri" w:eastAsia="Calibri" w:hAnsi="Calibri"/>
          <w:b/>
          <w:bCs/>
          <w:color w:val="1F5F74"/>
          <w:sz w:val="30"/>
          <w:szCs w:val="30"/>
        </w:rPr>
        <w:t xml:space="preserve">1. About This Manual</w:t>
      </w:r>
    </w:p>
    <w:p>
      <w:pPr>
        <w:pStyle w:val="Heading2"/>
        <w:spacing w:after="120" w:before="280"/>
      </w:pPr>
      <w:r>
        <w:rPr>
          <w:rFonts w:ascii="Calibri" w:cs="Calibri" w:eastAsia="Calibri" w:hAnsi="Calibri"/>
          <w:b/>
          <w:bCs/>
          <w:color w:val="2B2620"/>
          <w:sz w:val="24"/>
          <w:szCs w:val="24"/>
        </w:rPr>
        <w:t xml:space="preserve">1.1 Purpose</w:t>
      </w:r>
    </w:p>
    <w:p>
      <w:pPr>
        <w:spacing w:after="140" w:line="276"/>
      </w:pPr>
      <w:r>
        <w:rPr>
          <w:rFonts w:ascii="Calibri" w:cs="Calibri" w:eastAsia="Calibri" w:hAnsi="Calibri"/>
          <w:color w:val="2B2620"/>
          <w:sz w:val="21"/>
          <w:szCs w:val="21"/>
        </w:rPr>
        <w:t xml:space="preserve">This manual documents Residential Care Facility Map, a single-file browser application that maps California residential care facilities from a published state government dataset. It is written to serve two audiences in one volume: an operator who uses the tool day to day, and an administrator who deploys it, refreshes its data, adjusts its configuration, and diagnoses problems.</w:t>
      </w:r>
    </w:p>
    <w:p>
      <w:pPr>
        <w:spacing w:after="140" w:line="276"/>
      </w:pPr>
      <w:r>
        <w:rPr>
          <w:rFonts w:ascii="Calibri" w:cs="Calibri" w:eastAsia="Calibri" w:hAnsi="Calibri"/>
          <w:color w:val="2B2620"/>
          <w:sz w:val="21"/>
          <w:szCs w:val="21"/>
        </w:rPr>
        <w:t xml:space="preserve">The manual is complete in itself. It assumes no prior familiarity with the software, with mapping tools generally, or with the structure of the underlying dataset. Where the software behaves in a way that could surprise a reasonable person, the manual says so plainly rather than describing the ideal case.</w:t>
      </w:r>
    </w:p>
    <w:p>
      <w:pPr>
        <w:pStyle w:val="Heading2"/>
        <w:spacing w:after="120" w:before="280"/>
      </w:pPr>
      <w:r>
        <w:rPr>
          <w:rFonts w:ascii="Calibri" w:cs="Calibri" w:eastAsia="Calibri" w:hAnsi="Calibri"/>
          <w:b/>
          <w:bCs/>
          <w:color w:val="2B2620"/>
          <w:sz w:val="24"/>
          <w:szCs w:val="24"/>
        </w:rPr>
        <w:t xml:space="preserve">1.2 Audience</w:t>
      </w:r>
    </w:p>
    <w:p>
      <w:pPr>
        <w:pStyle w:val="ListParagraph"/>
        <w:numPr>
          <w:ilvl w:val="0"/>
          <w:numId w:val="2"/>
        </w:numPr>
        <w:spacing w:after="90" w:line="276"/>
      </w:pPr>
      <w:r>
        <w:rPr>
          <w:rFonts w:ascii="Calibri" w:cs="Calibri" w:eastAsia="Calibri" w:hAnsi="Calibri"/>
          <w:b/>
          <w:bCs/>
          <w:color w:val="2B2620"/>
          <w:sz w:val="21"/>
          <w:szCs w:val="21"/>
        </w:rPr>
        <w:t xml:space="preserve">Operators</w:t>
      </w:r>
      <w:r>
        <w:rPr>
          <w:rFonts w:ascii="Calibri" w:cs="Calibri" w:eastAsia="Calibri" w:hAnsi="Calibri"/>
          <w:color w:val="2B2620"/>
          <w:sz w:val="21"/>
          <w:szCs w:val="21"/>
        </w:rPr>
        <w:t xml:space="preserve"> read Parts 2 through 4. These parts assume competence with a web browser and a spreadsheet, and nothing more.</w:t>
      </w:r>
    </w:p>
    <w:p>
      <w:pPr>
        <w:pStyle w:val="ListParagraph"/>
        <w:numPr>
          <w:ilvl w:val="0"/>
          <w:numId w:val="2"/>
        </w:numPr>
        <w:spacing w:after="90" w:line="276"/>
      </w:pPr>
      <w:r>
        <w:rPr>
          <w:rFonts w:ascii="Calibri" w:cs="Calibri" w:eastAsia="Calibri" w:hAnsi="Calibri"/>
          <w:b/>
          <w:bCs/>
          <w:color w:val="2B2620"/>
          <w:sz w:val="21"/>
          <w:szCs w:val="21"/>
        </w:rPr>
        <w:t xml:space="preserve">Administrators</w:t>
      </w:r>
      <w:r>
        <w:rPr>
          <w:rFonts w:ascii="Calibri" w:cs="Calibri" w:eastAsia="Calibri" w:hAnsi="Calibri"/>
          <w:color w:val="2B2620"/>
          <w:sz w:val="21"/>
          <w:szCs w:val="21"/>
        </w:rPr>
        <w:t xml:space="preserve"> read Parts 5 through 7. These parts assume familiarity with HTML, JavaScript, and browser developer tools, and describe internal structures an operator never needs to see.</w:t>
      </w:r>
    </w:p>
    <w:p>
      <w:pPr>
        <w:pStyle w:val="ListParagraph"/>
        <w:numPr>
          <w:ilvl w:val="0"/>
          <w:numId w:val="2"/>
        </w:numPr>
        <w:spacing w:after="90" w:line="276"/>
      </w:pPr>
      <w:r>
        <w:rPr>
          <w:rFonts w:ascii="Calibri" w:cs="Calibri" w:eastAsia="Calibri" w:hAnsi="Calibri"/>
          <w:b/>
          <w:bCs/>
          <w:color w:val="2B2620"/>
          <w:sz w:val="21"/>
          <w:szCs w:val="21"/>
        </w:rPr>
        <w:t xml:space="preserve">Reviewers and auditors</w:t>
      </w:r>
      <w:r>
        <w:rPr>
          <w:rFonts w:ascii="Calibri" w:cs="Calibri" w:eastAsia="Calibri" w:hAnsi="Calibri"/>
          <w:color w:val="2B2620"/>
          <w:sz w:val="21"/>
          <w:szCs w:val="21"/>
        </w:rPr>
        <w:t xml:space="preserve"> may read Part 1 and Part 8, which establish provenance of the data and the boundaries of what the software does and does not assert.</w:t>
      </w:r>
    </w:p>
    <w:p>
      <w:pPr>
        <w:pStyle w:val="Heading2"/>
        <w:spacing w:after="120" w:before="280"/>
      </w:pPr>
      <w:r>
        <w:rPr>
          <w:rFonts w:ascii="Calibri" w:cs="Calibri" w:eastAsia="Calibri" w:hAnsi="Calibri"/>
          <w:b/>
          <w:bCs/>
          <w:color w:val="2B2620"/>
          <w:sz w:val="24"/>
          <w:szCs w:val="24"/>
        </w:rPr>
        <w:t xml:space="preserve">1.3 How this manual is organised</w:t>
      </w: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1337"/>
        <w:gridCol w:w="5349"/>
        <w:gridCol w:w="2674"/>
      </w:tblGrid>
      <w:tr>
        <w:trPr>
          <w:tblHeader/>
        </w:trPr>
        <w:tc>
          <w:tcPr>
            <w:tcW w:type="dxa" w:w="1337"/>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Part</w:t>
            </w:r>
          </w:p>
        </w:tc>
        <w:tc>
          <w:tcPr>
            <w:tcW w:type="dxa" w:w="5349"/>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Title</w:t>
            </w:r>
          </w:p>
        </w:tc>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Audience</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About this manual</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2</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Product overview</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3</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Release history</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4</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User guide</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Operators</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5</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Use-case walkthroughs</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Operators</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6</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Administrator manual</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Administrators</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7</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Troubleshooting</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8</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Data sources, attribution and refresh</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r>
        <w:tc>
          <w:tcPr>
            <w:tcW w:type="dxa" w:w="133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A–C</w:t>
            </w:r>
          </w:p>
        </w:tc>
        <w:tc>
          <w:tcPr>
            <w:tcW w:type="dxa" w:w="534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Appendices: field mapping, glossary, notices</w:t>
            </w:r>
          </w:p>
        </w:tc>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w:t>
            </w:r>
          </w:p>
        </w:tc>
      </w:tr>
    </w:tbl>
    <w:p>
      <w:pPr>
        <w:spacing w:after="160"/>
      </w:pPr>
    </w:p>
    <w:p>
      <w:pPr>
        <w:pStyle w:val="Heading2"/>
        <w:spacing w:after="120" w:before="280"/>
      </w:pPr>
      <w:r>
        <w:rPr>
          <w:rFonts w:ascii="Calibri" w:cs="Calibri" w:eastAsia="Calibri" w:hAnsi="Calibri"/>
          <w:b/>
          <w:bCs/>
          <w:color w:val="2B2620"/>
          <w:sz w:val="24"/>
          <w:szCs w:val="24"/>
        </w:rPr>
        <w:t xml:space="preserve">1.4 Conventions</w:t>
      </w:r>
    </w:p>
    <w:p>
      <w:pPr>
        <w:pStyle w:val="ListParagraph"/>
        <w:numPr>
          <w:ilvl w:val="0"/>
          <w:numId w:val="2"/>
        </w:numPr>
        <w:spacing w:after="90" w:line="276"/>
      </w:pPr>
      <w:r>
        <w:rPr>
          <w:rFonts w:ascii="Calibri" w:cs="Calibri" w:eastAsia="Calibri" w:hAnsi="Calibri"/>
          <w:color w:val="2B2620"/>
          <w:sz w:val="21"/>
          <w:szCs w:val="21"/>
        </w:rPr>
        <w:t xml:space="preserve">Names of on-screen controls appear in </w:t>
      </w:r>
      <w:r>
        <w:rPr>
          <w:rFonts w:ascii="Calibri" w:cs="Calibri" w:eastAsia="Calibri" w:hAnsi="Calibri"/>
          <w:b/>
          <w:bCs/>
          <w:color w:val="2B2620"/>
          <w:sz w:val="21"/>
          <w:szCs w:val="21"/>
        </w:rPr>
        <w:t xml:space="preserve">bold</w:t>
      </w:r>
      <w:r>
        <w:rPr>
          <w:rFonts w:ascii="Calibri" w:cs="Calibri" w:eastAsia="Calibri" w:hAnsi="Calibri"/>
          <w:color w:val="2B2620"/>
          <w:sz w:val="21"/>
          <w:szCs w:val="21"/>
        </w:rPr>
        <w:t xml:space="preserve">, exactly as they are labelled in the interface.</w:t>
      </w:r>
    </w:p>
    <w:p>
      <w:pPr>
        <w:pStyle w:val="ListParagraph"/>
        <w:numPr>
          <w:ilvl w:val="0"/>
          <w:numId w:val="2"/>
        </w:numPr>
        <w:spacing w:after="90" w:line="276"/>
      </w:pPr>
      <w:r>
        <w:rPr>
          <w:rFonts w:ascii="Calibri" w:cs="Calibri" w:eastAsia="Calibri" w:hAnsi="Calibri"/>
          <w:color w:val="2B2620"/>
          <w:sz w:val="21"/>
          <w:szCs w:val="21"/>
        </w:rPr>
        <w:t xml:space="preserve">Names of files, columns, code identifiers and literal values appear in </w:t>
      </w:r>
      <w:r>
        <w:rPr>
          <w:rFonts w:ascii="Consolas" w:cs="Consolas" w:eastAsia="Consolas" w:hAnsi="Consolas"/>
          <w:color w:val="2B2620"/>
          <w:sz w:val="19"/>
          <w:szCs w:val="19"/>
        </w:rPr>
        <w:t xml:space="preserve">monospace</w:t>
      </w:r>
      <w:r>
        <w:rPr>
          <w:rFonts w:ascii="Calibri" w:cs="Calibri" w:eastAsia="Calibri" w:hAnsi="Calibri"/>
          <w:color w:val="2B2620"/>
          <w:sz w:val="21"/>
          <w:szCs w:val="21"/>
        </w:rPr>
        <w:t xml:space="preserve">.</w:t>
      </w:r>
    </w:p>
    <w:p>
      <w:pPr>
        <w:pStyle w:val="ListParagraph"/>
        <w:numPr>
          <w:ilvl w:val="0"/>
          <w:numId w:val="2"/>
        </w:numPr>
        <w:spacing w:after="90" w:line="276"/>
      </w:pPr>
      <w:r>
        <w:rPr>
          <w:rFonts w:ascii="Calibri" w:cs="Calibri" w:eastAsia="Calibri" w:hAnsi="Calibri"/>
          <w:color w:val="2B2620"/>
          <w:sz w:val="21"/>
          <w:szCs w:val="21"/>
        </w:rPr>
        <w:t xml:space="preserve">Counts and percentages quoted throughout were measured against the reference dataset described in Part 8, not estimated.</w:t>
      </w:r>
    </w:p>
    <w:p>
      <w:pPr>
        <w:pStyle w:val="ListParagraph"/>
        <w:numPr>
          <w:ilvl w:val="0"/>
          <w:numId w:val="2"/>
        </w:numPr>
        <w:spacing w:after="90" w:line="276"/>
      </w:pPr>
      <w:r>
        <w:rPr>
          <w:rFonts w:ascii="Calibri" w:cs="Calibri" w:eastAsia="Calibri" w:hAnsi="Calibri"/>
          <w:color w:val="2B2620"/>
          <w:sz w:val="21"/>
          <w:szCs w:val="21"/>
        </w:rPr>
        <w:t xml:space="preserve">Where behaviour depends on the browser rather than on the software, the manual says which browser behaviour is involved.</w:t>
      </w:r>
    </w:p>
    <w:p>
      <w:r>
        <w:br w:type="page"/>
      </w:r>
    </w:p>
    <w:p>
      <w:pPr>
        <w:pStyle w:val="Heading1"/>
        <w:spacing w:after="160" w:before="360"/>
      </w:pPr>
      <w:r>
        <w:rPr>
          <w:rFonts w:ascii="Calibri" w:cs="Calibri" w:eastAsia="Calibri" w:hAnsi="Calibri"/>
          <w:b/>
          <w:bCs/>
          <w:color w:val="1F5F74"/>
          <w:sz w:val="30"/>
          <w:szCs w:val="30"/>
        </w:rPr>
        <w:t xml:space="preserve">2. Product Overview</w:t>
      </w:r>
    </w:p>
    <w:p>
      <w:pPr>
        <w:pStyle w:val="Heading2"/>
        <w:spacing w:after="120" w:before="280"/>
      </w:pPr>
      <w:r>
        <w:rPr>
          <w:rFonts w:ascii="Calibri" w:cs="Calibri" w:eastAsia="Calibri" w:hAnsi="Calibri"/>
          <w:b/>
          <w:bCs/>
          <w:color w:val="2B2620"/>
          <w:sz w:val="24"/>
          <w:szCs w:val="24"/>
        </w:rPr>
        <w:t xml:space="preserve">2.1 What the software does</w:t>
      </w:r>
    </w:p>
    <w:p>
      <w:pPr>
        <w:spacing w:after="140" w:line="276"/>
      </w:pPr>
      <w:r>
        <w:rPr>
          <w:rFonts w:ascii="Calibri" w:cs="Calibri" w:eastAsia="Calibri" w:hAnsi="Calibri"/>
          <w:color w:val="2B2620"/>
          <w:sz w:val="21"/>
          <w:szCs w:val="21"/>
        </w:rPr>
        <w:t xml:space="preserve">The Residential Care Facility Map turns the California Department of Social Services residential elder care file into a map that can be read at a glance. It plots every licensed and pending RCFE in the state, colours each one by its citation history, sizes each one by its licensed bed count, and lets the operator narrow the view by county, city, facility size, facility type, citation level or distance from any address.</w:t>
      </w:r>
    </w:p>
    <w:p>
      <w:pPr>
        <w:spacing w:after="140" w:line="276"/>
      </w:pPr>
      <w:r>
        <w:rPr>
          <w:rFonts w:ascii="Calibri" w:cs="Calibri" w:eastAsia="Calibri" w:hAnsi="Calibri"/>
          <w:color w:val="2B2620"/>
          <w:sz w:val="21"/>
          <w:szCs w:val="21"/>
        </w:rPr>
        <w:t xml:space="preserve">The application performs six functions in sequence, each of which is described in detail later in this manual:</w:t>
      </w:r>
    </w:p>
    <w:p>
      <w:pPr>
        <w:pStyle w:val="ListParagraph"/>
        <w:numPr>
          <w:ilvl w:val="0"/>
          <w:numId w:val="3"/>
        </w:numPr>
        <w:spacing w:after="100" w:line="276"/>
      </w:pPr>
      <w:r>
        <w:rPr>
          <w:rFonts w:ascii="Calibri" w:cs="Calibri" w:eastAsia="Calibri" w:hAnsi="Calibri"/>
          <w:color w:val="2B2620"/>
          <w:sz w:val="21"/>
          <w:szCs w:val="21"/>
        </w:rPr>
        <w:t xml:space="preserve">Reads a government dataset file that the operator supplies from their own computer.</w:t>
      </w:r>
    </w:p>
    <w:p>
      <w:pPr>
        <w:pStyle w:val="ListParagraph"/>
        <w:numPr>
          <w:ilvl w:val="0"/>
          <w:numId w:val="3"/>
        </w:numPr>
        <w:spacing w:after="100" w:line="276"/>
      </w:pPr>
      <w:r>
        <w:rPr>
          <w:rFonts w:ascii="Calibri" w:cs="Calibri" w:eastAsia="Calibri" w:hAnsi="Calibri"/>
          <w:color w:val="2B2620"/>
          <w:sz w:val="21"/>
          <w:szCs w:val="21"/>
        </w:rPr>
        <w:t xml:space="preserve">Parses that file into structured records, discarding or setting aside rows that do not meet the criteria described in Part 6.</w:t>
      </w:r>
    </w:p>
    <w:p>
      <w:pPr>
        <w:pStyle w:val="ListParagraph"/>
        <w:numPr>
          <w:ilvl w:val="0"/>
          <w:numId w:val="3"/>
        </w:numPr>
        <w:spacing w:after="100" w:line="276"/>
      </w:pPr>
      <w:r>
        <w:rPr>
          <w:rFonts w:ascii="Calibri" w:cs="Calibri" w:eastAsia="Calibri" w:hAnsi="Calibri"/>
          <w:color w:val="2B2620"/>
          <w:sz w:val="21"/>
          <w:szCs w:val="21"/>
        </w:rPr>
        <w:t xml:space="preserve">Places each record on a map of California.</w:t>
      </w:r>
    </w:p>
    <w:p>
      <w:pPr>
        <w:pStyle w:val="ListParagraph"/>
        <w:numPr>
          <w:ilvl w:val="0"/>
          <w:numId w:val="3"/>
        </w:numPr>
        <w:spacing w:after="100" w:line="276"/>
      </w:pPr>
      <w:r>
        <w:rPr>
          <w:rFonts w:ascii="Calibri" w:cs="Calibri" w:eastAsia="Calibri" w:hAnsi="Calibri"/>
          <w:color w:val="2B2620"/>
          <w:sz w:val="21"/>
          <w:szCs w:val="21"/>
        </w:rPr>
        <w:t xml:space="preserve">Presents the records as a sortable, filterable table alongside the map.</w:t>
      </w:r>
    </w:p>
    <w:p>
      <w:pPr>
        <w:pStyle w:val="ListParagraph"/>
        <w:numPr>
          <w:ilvl w:val="0"/>
          <w:numId w:val="3"/>
        </w:numPr>
        <w:spacing w:after="100" w:line="276"/>
      </w:pPr>
      <w:r>
        <w:rPr>
          <w:rFonts w:ascii="Calibri" w:cs="Calibri" w:eastAsia="Calibri" w:hAnsi="Calibri"/>
          <w:color w:val="2B2620"/>
          <w:sz w:val="21"/>
          <w:szCs w:val="21"/>
        </w:rPr>
        <w:t xml:space="preserve">Lets the operator narrow the set by geography, category and other attributes, with the map and table always in agreement.</w:t>
      </w:r>
    </w:p>
    <w:p>
      <w:pPr>
        <w:pStyle w:val="ListParagraph"/>
        <w:numPr>
          <w:ilvl w:val="0"/>
          <w:numId w:val="3"/>
        </w:numPr>
        <w:spacing w:after="100" w:line="276"/>
      </w:pPr>
      <w:r>
        <w:rPr>
          <w:rFonts w:ascii="Calibri" w:cs="Calibri" w:eastAsia="Calibri" w:hAnsi="Calibri"/>
          <w:color w:val="2B2620"/>
          <w:sz w:val="21"/>
          <w:szCs w:val="21"/>
        </w:rPr>
        <w:t xml:space="preserve">Exports the narrowed set as a spreadsheet file, or prints the map and table together.</w:t>
      </w:r>
    </w:p>
    <w:p>
      <w:pPr>
        <w:pStyle w:val="Heading2"/>
        <w:spacing w:after="120" w:before="280"/>
      </w:pPr>
      <w:r>
        <w:rPr>
          <w:rFonts w:ascii="Calibri" w:cs="Calibri" w:eastAsia="Calibri" w:hAnsi="Calibri"/>
          <w:b/>
          <w:bCs/>
          <w:color w:val="2B2620"/>
          <w:sz w:val="24"/>
          <w:szCs w:val="24"/>
        </w:rPr>
        <w:t xml:space="preserve">2.2 Intended use</w:t>
      </w:r>
    </w:p>
    <w:p>
      <w:pPr>
        <w:spacing w:after="140" w:line="276"/>
      </w:pPr>
      <w:r>
        <w:rPr>
          <w:rFonts w:ascii="Calibri" w:cs="Calibri" w:eastAsia="Calibri" w:hAnsi="Calibri"/>
          <w:color w:val="2B2620"/>
          <w:sz w:val="21"/>
          <w:szCs w:val="21"/>
        </w:rPr>
        <w:t xml:space="preserve">The primary user is an owner or operator of a residential care facility for the elderly assessing competition in a service area, or a consultant advising one. Because the source file carries licensed capacity, the tool also supports questions the home care equivalent cannot answer: how many beds exist in a market, how they are distributed between small board and care homes and large communities, and where a particular size of facility is scarce.</w:t>
      </w:r>
    </w:p>
    <w:p>
      <w:pPr>
        <w:pStyle w:val="Heading2"/>
        <w:spacing w:after="120" w:before="280"/>
      </w:pPr>
      <w:r>
        <w:rPr>
          <w:rFonts w:ascii="Calibri" w:cs="Calibri" w:eastAsia="Calibri" w:hAnsi="Calibri"/>
          <w:b/>
          <w:bCs/>
          <w:color w:val="2B2620"/>
          <w:sz w:val="24"/>
          <w:szCs w:val="24"/>
        </w:rPr>
        <w:t xml:space="preserve">2.3 What the software is not</w:t>
      </w:r>
    </w:p>
    <w:p>
      <w:pPr>
        <w:spacing w:after="140" w:line="276"/>
      </w:pPr>
      <w:r>
        <w:rPr>
          <w:rFonts w:ascii="Calibri" w:cs="Calibri" w:eastAsia="Calibri" w:hAnsi="Calibri"/>
          <w:color w:val="2B2620"/>
          <w:sz w:val="21"/>
          <w:szCs w:val="21"/>
        </w:rPr>
        <w:t xml:space="preserve">Stating the boundaries plainly protects the operator from over-reading the output:</w:t>
      </w:r>
    </w:p>
    <w:p>
      <w:pPr>
        <w:pStyle w:val="ListParagraph"/>
        <w:numPr>
          <w:ilvl w:val="0"/>
          <w:numId w:val="2"/>
        </w:numPr>
        <w:spacing w:after="90" w:line="276"/>
      </w:pPr>
      <w:r>
        <w:rPr>
          <w:rFonts w:ascii="Calibri" w:cs="Calibri" w:eastAsia="Calibri" w:hAnsi="Calibri"/>
          <w:color w:val="2B2620"/>
          <w:sz w:val="21"/>
          <w:szCs w:val="21"/>
        </w:rPr>
        <w:t xml:space="preserve">It is </w:t>
      </w:r>
      <w:r>
        <w:rPr>
          <w:rFonts w:ascii="Calibri" w:cs="Calibri" w:eastAsia="Calibri" w:hAnsi="Calibri"/>
          <w:b/>
          <w:bCs/>
          <w:color w:val="2B2620"/>
          <w:sz w:val="21"/>
          <w:szCs w:val="21"/>
        </w:rPr>
        <w:t xml:space="preserve">not a quality rating</w:t>
      </w:r>
      <w:r>
        <w:rPr>
          <w:rFonts w:ascii="Calibri" w:cs="Calibri" w:eastAsia="Calibri" w:hAnsi="Calibri"/>
          <w:color w:val="2B2620"/>
          <w:sz w:val="21"/>
          <w:szCs w:val="21"/>
        </w:rPr>
        <w:t xml:space="preserve">. Citation counts are cumulative, unweighted, and carry no indication of whether a problem was corrected.</w:t>
      </w:r>
    </w:p>
    <w:p>
      <w:pPr>
        <w:pStyle w:val="ListParagraph"/>
        <w:numPr>
          <w:ilvl w:val="0"/>
          <w:numId w:val="2"/>
        </w:numPr>
        <w:spacing w:after="90" w:line="276"/>
      </w:pPr>
      <w:r>
        <w:rPr>
          <w:rFonts w:ascii="Calibri" w:cs="Calibri" w:eastAsia="Calibri" w:hAnsi="Calibri"/>
          <w:color w:val="2B2620"/>
          <w:sz w:val="21"/>
          <w:szCs w:val="21"/>
        </w:rPr>
        <w:t xml:space="preserve">It is </w:t>
      </w:r>
      <w:r>
        <w:rPr>
          <w:rFonts w:ascii="Calibri" w:cs="Calibri" w:eastAsia="Calibri" w:hAnsi="Calibri"/>
          <w:b/>
          <w:bCs/>
          <w:color w:val="2B2620"/>
          <w:sz w:val="21"/>
          <w:szCs w:val="21"/>
        </w:rPr>
        <w:t xml:space="preserve">not an occupancy figure</w:t>
      </w:r>
      <w:r>
        <w:rPr>
          <w:rFonts w:ascii="Calibri" w:cs="Calibri" w:eastAsia="Calibri" w:hAnsi="Calibri"/>
          <w:color w:val="2B2620"/>
          <w:sz w:val="21"/>
          <w:szCs w:val="21"/>
        </w:rPr>
        <w:t xml:space="preserve">. Capacity is licensed beds, not beds filled. A 120-bed community running at half occupancy looks identical to one running full.</w:t>
      </w:r>
    </w:p>
    <w:p>
      <w:pPr>
        <w:pStyle w:val="ListParagraph"/>
        <w:numPr>
          <w:ilvl w:val="0"/>
          <w:numId w:val="2"/>
        </w:numPr>
        <w:spacing w:after="90" w:line="276"/>
      </w:pPr>
      <w:r>
        <w:rPr>
          <w:rFonts w:ascii="Calibri" w:cs="Calibri" w:eastAsia="Calibri" w:hAnsi="Calibri"/>
          <w:color w:val="2B2620"/>
          <w:sz w:val="21"/>
          <w:szCs w:val="21"/>
        </w:rPr>
        <w:t xml:space="preserve">It is </w:t>
      </w:r>
      <w:r>
        <w:rPr>
          <w:rFonts w:ascii="Calibri" w:cs="Calibri" w:eastAsia="Calibri" w:hAnsi="Calibri"/>
          <w:b/>
          <w:bCs/>
          <w:color w:val="2B2620"/>
          <w:sz w:val="21"/>
          <w:szCs w:val="21"/>
        </w:rPr>
        <w:t xml:space="preserve">not current to the day</w:t>
      </w:r>
      <w:r>
        <w:rPr>
          <w:rFonts w:ascii="Calibri" w:cs="Calibri" w:eastAsia="Calibri" w:hAnsi="Calibri"/>
          <w:color w:val="2B2620"/>
          <w:sz w:val="21"/>
          <w:szCs w:val="21"/>
        </w:rPr>
        <w:t xml:space="preserve">. The source file is a periodic extract.</w:t>
      </w:r>
    </w:p>
    <w:p>
      <w:pPr>
        <w:pStyle w:val="ListParagraph"/>
        <w:numPr>
          <w:ilvl w:val="0"/>
          <w:numId w:val="2"/>
        </w:numPr>
        <w:spacing w:after="90" w:line="276"/>
      </w:pPr>
      <w:r>
        <w:rPr>
          <w:rFonts w:ascii="Calibri" w:cs="Calibri" w:eastAsia="Calibri" w:hAnsi="Calibri"/>
          <w:color w:val="2B2620"/>
          <w:sz w:val="21"/>
          <w:szCs w:val="21"/>
        </w:rPr>
        <w:t xml:space="preserve">It is </w:t>
      </w:r>
      <w:r>
        <w:rPr>
          <w:rFonts w:ascii="Calibri" w:cs="Calibri" w:eastAsia="Calibri" w:hAnsi="Calibri"/>
          <w:b/>
          <w:bCs/>
          <w:color w:val="2B2620"/>
          <w:sz w:val="21"/>
          <w:szCs w:val="21"/>
        </w:rPr>
        <w:t xml:space="preserve">not a substitute for the state licensing lookup</w:t>
      </w:r>
      <w:r>
        <w:rPr>
          <w:rFonts w:ascii="Calibri" w:cs="Calibri" w:eastAsia="Calibri" w:hAnsi="Calibri"/>
          <w:color w:val="2B2620"/>
          <w:sz w:val="21"/>
          <w:szCs w:val="21"/>
        </w:rPr>
        <w:t xml:space="preserve"> when verifying a specific facility.</w:t>
      </w:r>
    </w:p>
    <w:p>
      <w:pPr>
        <w:pStyle w:val="ListParagraph"/>
        <w:numPr>
          <w:ilvl w:val="0"/>
          <w:numId w:val="2"/>
        </w:numPr>
        <w:spacing w:after="90" w:line="276"/>
      </w:pPr>
      <w:r>
        <w:rPr>
          <w:rFonts w:ascii="Calibri" w:cs="Calibri" w:eastAsia="Calibri" w:hAnsi="Calibri"/>
          <w:color w:val="2B2620"/>
          <w:sz w:val="21"/>
          <w:szCs w:val="21"/>
        </w:rPr>
        <w:t xml:space="preserve">It </w:t>
      </w:r>
      <w:r>
        <w:rPr>
          <w:rFonts w:ascii="Calibri" w:cs="Calibri" w:eastAsia="Calibri" w:hAnsi="Calibri"/>
          <w:b/>
          <w:bCs/>
          <w:color w:val="2B2620"/>
          <w:sz w:val="21"/>
          <w:szCs w:val="21"/>
        </w:rPr>
        <w:t xml:space="preserve">excludes facilities on probation</w:t>
      </w:r>
      <w:r>
        <w:rPr>
          <w:rFonts w:ascii="Calibri" w:cs="Calibri" w:eastAsia="Calibri" w:hAnsi="Calibri"/>
          <w:color w:val="2B2620"/>
          <w:sz w:val="21"/>
          <w:szCs w:val="21"/>
        </w:rPr>
        <w:t xml:space="preserve">. Twenty-two facilities in the reference extract carry an ON PROBATION status and are deliberately left out alongside closed facilities. An administrator can change this; see section 6.4.</w:t>
      </w:r>
    </w:p>
    <w:p>
      <w:pPr>
        <w:pStyle w:val="Heading2"/>
        <w:spacing w:after="120" w:before="280"/>
      </w:pPr>
      <w:r>
        <w:rPr>
          <w:rFonts w:ascii="Calibri" w:cs="Calibri" w:eastAsia="Calibri" w:hAnsi="Calibri"/>
          <w:b/>
          <w:bCs/>
          <w:color w:val="2B2620"/>
          <w:sz w:val="24"/>
          <w:szCs w:val="24"/>
        </w:rPr>
        <w:t xml:space="preserve">2.4 Design principles</w:t>
      </w:r>
    </w:p>
    <w:p>
      <w:pPr>
        <w:spacing w:after="140" w:line="276"/>
      </w:pPr>
      <w:r>
        <w:rPr>
          <w:rFonts w:ascii="Calibri" w:cs="Calibri" w:eastAsia="Calibri" w:hAnsi="Calibri"/>
          <w:color w:val="2B2620"/>
          <w:sz w:val="21"/>
          <w:szCs w:val="21"/>
        </w:rPr>
        <w:t xml:space="preserve">Four decisions shape everything else about this software, and an administrator changing it should understand why they were made.</w:t>
      </w:r>
    </w:p>
    <w:p>
      <w:pPr>
        <w:pStyle w:val="Heading3"/>
        <w:spacing w:after="100" w:before="220"/>
      </w:pPr>
      <w:r>
        <w:rPr>
          <w:rFonts w:ascii="Calibri" w:cs="Calibri" w:eastAsia="Calibri" w:hAnsi="Calibri"/>
          <w:b/>
          <w:bCs/>
          <w:color w:val="6B6156"/>
          <w:sz w:val="21"/>
          <w:szCs w:val="21"/>
        </w:rPr>
        <w:t xml:space="preserve">Single file, no installation</w:t>
      </w:r>
    </w:p>
    <w:p>
      <w:pPr>
        <w:spacing w:after="140" w:line="276"/>
      </w:pPr>
      <w:r>
        <w:rPr>
          <w:rFonts w:ascii="Calibri" w:cs="Calibri" w:eastAsia="Calibri" w:hAnsi="Calibri"/>
          <w:color w:val="2B2620"/>
          <w:sz w:val="21"/>
          <w:szCs w:val="21"/>
        </w:rPr>
        <w:t xml:space="preserve">The entire application, including the mapping library it depends on, is one HTML file. There is no installer, no runtime to provision, no server to maintain, no account to create and no dependency that can be withdrawn by a third party. The operator opens the file and it runs. This makes the software trivially distributable and trivially archivable: a copy of the file is a complete, working copy of the product.</w:t>
      </w:r>
    </w:p>
    <w:p>
      <w:pPr>
        <w:pStyle w:val="Heading3"/>
        <w:spacing w:after="100" w:before="220"/>
      </w:pPr>
      <w:r>
        <w:rPr>
          <w:rFonts w:ascii="Calibri" w:cs="Calibri" w:eastAsia="Calibri" w:hAnsi="Calibri"/>
          <w:b/>
          <w:bCs/>
          <w:color w:val="6B6156"/>
          <w:sz w:val="21"/>
          <w:szCs w:val="21"/>
        </w:rPr>
        <w:t xml:space="preserve">The data never leaves the operator’s computer</w:t>
      </w:r>
    </w:p>
    <w:p>
      <w:pPr>
        <w:spacing w:after="140" w:line="276"/>
      </w:pPr>
      <w:r>
        <w:rPr>
          <w:rFonts w:ascii="Calibri" w:cs="Calibri" w:eastAsia="Calibri" w:hAnsi="Calibri"/>
          <w:color w:val="2B2620"/>
          <w:sz w:val="21"/>
          <w:szCs w:val="21"/>
        </w:rPr>
        <w:t xml:space="preserve">The dataset the operator loads is read in the browser and held in the browser. It is not uploaded, transmitted, logged or synchronised anywhere. The only outbound network requests the application makes during normal operation are for map background tiles, which carry no information about the loaded dataset.</w:t>
      </w:r>
    </w:p>
    <w:p>
      <w:pPr>
        <w:pStyle w:val="Heading3"/>
        <w:spacing w:after="100" w:before="220"/>
      </w:pPr>
      <w:r>
        <w:rPr>
          <w:rFonts w:ascii="Calibri" w:cs="Calibri" w:eastAsia="Calibri" w:hAnsi="Calibri"/>
          <w:b/>
          <w:bCs/>
          <w:color w:val="6B6156"/>
          <w:sz w:val="21"/>
          <w:szCs w:val="21"/>
        </w:rPr>
        <w:t xml:space="preserve">Honest failure over silent failure</w:t>
      </w:r>
    </w:p>
    <w:p>
      <w:pPr>
        <w:spacing w:after="140" w:line="276"/>
      </w:pPr>
      <w:r>
        <w:rPr>
          <w:rFonts w:ascii="Calibri" w:cs="Calibri" w:eastAsia="Calibri" w:hAnsi="Calibri"/>
          <w:color w:val="2B2620"/>
          <w:sz w:val="21"/>
          <w:szCs w:val="21"/>
        </w:rPr>
        <w:t xml:space="preserve">Where the software cannot do something, it says so and says why. A row it cannot read is counted and reported rather than dropped quietly. A browser that refuses to save the session produces a plain message rather than the appearance of success. This principle was adopted after a parsing defect described in Part 3 caused thousands of records to disappear without any visible symptom.</w:t>
      </w:r>
    </w:p>
    <w:p>
      <w:pPr>
        <w:pStyle w:val="Heading3"/>
        <w:spacing w:after="100" w:before="220"/>
      </w:pPr>
      <w:r>
        <w:rPr>
          <w:rFonts w:ascii="Calibri" w:cs="Calibri" w:eastAsia="Calibri" w:hAnsi="Calibri"/>
          <w:b/>
          <w:bCs/>
          <w:color w:val="6B6156"/>
          <w:sz w:val="21"/>
          <w:szCs w:val="21"/>
        </w:rPr>
        <w:t xml:space="preserve">Narrow first, then look closely</w:t>
      </w:r>
    </w:p>
    <w:p>
      <w:pPr>
        <w:spacing w:after="140" w:line="276"/>
      </w:pPr>
      <w:r>
        <w:rPr>
          <w:rFonts w:ascii="Calibri" w:cs="Calibri" w:eastAsia="Calibri" w:hAnsi="Calibri"/>
          <w:color w:val="2B2620"/>
          <w:sz w:val="21"/>
          <w:szCs w:val="21"/>
        </w:rPr>
        <w:t xml:space="preserve">At statewide scale the map shows one pin per city, because several thousand individual markers is not a map. The operator narrows by county, city or category, and only then switches to individual pins. The interface enforces this rather than merely suggesting it.</w:t>
      </w:r>
    </w:p>
    <w:p>
      <w:r>
        <w:br w:type="page"/>
      </w:r>
    </w:p>
    <w:p>
      <w:pPr>
        <w:pStyle w:val="Heading1"/>
        <w:spacing w:after="160" w:before="360"/>
      </w:pPr>
      <w:r>
        <w:rPr>
          <w:rFonts w:ascii="Calibri" w:cs="Calibri" w:eastAsia="Calibri" w:hAnsi="Calibri"/>
          <w:b/>
          <w:bCs/>
          <w:color w:val="1F5F74"/>
          <w:sz w:val="30"/>
          <w:szCs w:val="30"/>
        </w:rPr>
        <w:t xml:space="preserve">3. Release History</w:t>
      </w:r>
    </w:p>
    <w:p>
      <w:pPr>
        <w:spacing w:after="140" w:line="276"/>
      </w:pPr>
      <w:r>
        <w:rPr>
          <w:rFonts w:ascii="Calibri" w:cs="Calibri" w:eastAsia="Calibri" w:hAnsi="Calibri"/>
          <w:color w:val="2B2620"/>
          <w:sz w:val="21"/>
          <w:szCs w:val="21"/>
        </w:rPr>
        <w:t xml:space="preserve">Versions are listed newest first. Each entry states what changed and, where the change was made in response to a defect or a constraint discovered in testing, what prompted it.</w:t>
      </w:r>
    </w:p>
    <w:p>
      <w:pPr>
        <w:spacing w:after="160"/>
      </w:pPr>
    </w:p>
    <w:p>
      <w:pPr>
        <w:pStyle w:val="Heading2"/>
        <w:spacing w:after="120" w:before="280"/>
      </w:pPr>
      <w:r>
        <w:rPr>
          <w:rFonts w:ascii="Calibri" w:cs="Calibri" w:eastAsia="Calibri" w:hAnsi="Calibri"/>
          <w:b/>
          <w:bCs/>
          <w:color w:val="2B2620"/>
          <w:sz w:val="24"/>
          <w:szCs w:val="24"/>
        </w:rPr>
        <w:t xml:space="preserve">Version 1.0 — September 20, 2026</w:t>
      </w:r>
    </w:p>
    <w:p>
      <w:pPr>
        <w:spacing w:after="140" w:line="276"/>
      </w:pPr>
      <w:r>
        <w:rPr>
          <w:rFonts w:ascii="Calibri" w:cs="Calibri" w:eastAsia="Calibri" w:hAnsi="Calibri"/>
          <w:color w:val="2B2620"/>
          <w:sz w:val="21"/>
          <w:szCs w:val="21"/>
        </w:rPr>
        <w:t xml:space="preserve">Initial release. Built on the codebase of the Home Care Agency Map at version 1.4, which supplied the map, filter, table, persistence and export machinery, then adapted to a materially different dataset.</w:t>
      </w:r>
    </w:p>
    <w:p>
      <w:pPr>
        <w:pStyle w:val="Heading3"/>
        <w:spacing w:after="100" w:before="220"/>
      </w:pPr>
      <w:r>
        <w:rPr>
          <w:rFonts w:ascii="Calibri" w:cs="Calibri" w:eastAsia="Calibri" w:hAnsi="Calibri"/>
          <w:b/>
          <w:bCs/>
          <w:color w:val="6B6156"/>
          <w:sz w:val="21"/>
          <w:szCs w:val="21"/>
        </w:rPr>
        <w:t xml:space="preserve">Added</w:t>
      </w:r>
    </w:p>
    <w:p>
      <w:pPr>
        <w:pStyle w:val="ListParagraph"/>
        <w:numPr>
          <w:ilvl w:val="0"/>
          <w:numId w:val="2"/>
        </w:numPr>
        <w:spacing w:after="90" w:line="276"/>
      </w:pPr>
      <w:r>
        <w:rPr>
          <w:rFonts w:ascii="Calibri" w:cs="Calibri" w:eastAsia="Calibri" w:hAnsi="Calibri"/>
          <w:color w:val="2B2620"/>
          <w:sz w:val="21"/>
          <w:szCs w:val="21"/>
        </w:rPr>
        <w:t xml:space="preserve">A parser for the CDSS residential elder care export. The file carries 37 fixed columns followed by a variable-length complaint tail in repeating blocks of seven fields, one more than the home care file, because it separates unfounded allegations.</w:t>
      </w:r>
    </w:p>
    <w:p>
      <w:pPr>
        <w:pStyle w:val="ListParagraph"/>
        <w:numPr>
          <w:ilvl w:val="0"/>
          <w:numId w:val="2"/>
        </w:numPr>
        <w:spacing w:after="90" w:line="276"/>
      </w:pPr>
      <w:r>
        <w:rPr>
          <w:rFonts w:ascii="Calibri" w:cs="Calibri" w:eastAsia="Calibri" w:hAnsi="Calibri"/>
          <w:color w:val="2B2620"/>
          <w:sz w:val="21"/>
          <w:szCs w:val="21"/>
        </w:rPr>
        <w:t xml:space="preserve">Bed-count bands as a filter: 1 to 6, 7 to 15, 16 to 49, 50 to 99, and 100 or more. The bands match how the market actually divides rather than being evenly spaced: 10,664 of 13,230 facilities in the reference extract have six beds or fewer.</w:t>
      </w:r>
    </w:p>
    <w:p>
      <w:pPr>
        <w:pStyle w:val="ListParagraph"/>
        <w:numPr>
          <w:ilvl w:val="0"/>
          <w:numId w:val="2"/>
        </w:numPr>
        <w:spacing w:after="90" w:line="276"/>
      </w:pPr>
      <w:r>
        <w:rPr>
          <w:rFonts w:ascii="Calibri" w:cs="Calibri" w:eastAsia="Calibri" w:hAnsi="Calibri"/>
          <w:color w:val="2B2620"/>
          <w:sz w:val="21"/>
          <w:szCs w:val="21"/>
        </w:rPr>
        <w:t xml:space="preserve">Pin sizing by licensed beds in the one-pin-per-facility mode, across five diameters from 11 to 26 pixels.</w:t>
      </w:r>
    </w:p>
    <w:p>
      <w:pPr>
        <w:pStyle w:val="ListParagraph"/>
        <w:numPr>
          <w:ilvl w:val="0"/>
          <w:numId w:val="2"/>
        </w:numPr>
        <w:spacing w:after="90" w:line="276"/>
      </w:pPr>
      <w:r>
        <w:rPr>
          <w:rFonts w:ascii="Calibri" w:cs="Calibri" w:eastAsia="Calibri" w:hAnsi="Calibri"/>
          <w:color w:val="2B2620"/>
          <w:sz w:val="21"/>
          <w:szCs w:val="21"/>
        </w:rPr>
        <w:t xml:space="preserve">A facility type filter separating plain RCFEs from continuing care retirement communities, of which the reference extract has 114. Continuing care communities are tagged in the table.</w:t>
      </w:r>
    </w:p>
    <w:p>
      <w:pPr>
        <w:pStyle w:val="ListParagraph"/>
        <w:numPr>
          <w:ilvl w:val="0"/>
          <w:numId w:val="2"/>
        </w:numPr>
        <w:spacing w:after="90" w:line="276"/>
      </w:pPr>
      <w:r>
        <w:rPr>
          <w:rFonts w:ascii="Calibri" w:cs="Calibri" w:eastAsia="Calibri" w:hAnsi="Calibri"/>
          <w:color w:val="2B2620"/>
          <w:sz w:val="21"/>
          <w:szCs w:val="21"/>
        </w:rPr>
        <w:t xml:space="preserve">A Substantiated Allegations column, sortable, drawn from the dedicated column the RCFE file provides.</w:t>
      </w:r>
    </w:p>
    <w:p>
      <w:pPr>
        <w:pStyle w:val="ListParagraph"/>
        <w:numPr>
          <w:ilvl w:val="0"/>
          <w:numId w:val="2"/>
        </w:numPr>
        <w:spacing w:after="90" w:line="276"/>
      </w:pPr>
      <w:r>
        <w:rPr>
          <w:rFonts w:ascii="Calibri" w:cs="Calibri" w:eastAsia="Calibri" w:hAnsi="Calibri"/>
          <w:color w:val="2B2620"/>
          <w:sz w:val="21"/>
          <w:szCs w:val="21"/>
        </w:rPr>
        <w:t xml:space="preserve">A total licensed bed count in the hover card for each city pin.</w:t>
      </w:r>
    </w:p>
    <w:p>
      <w:pPr>
        <w:pStyle w:val="ListParagraph"/>
        <w:numPr>
          <w:ilvl w:val="0"/>
          <w:numId w:val="2"/>
        </w:numPr>
        <w:spacing w:after="90" w:line="276"/>
      </w:pPr>
      <w:r>
        <w:rPr>
          <w:rFonts w:ascii="Calibri" w:cs="Calibri" w:eastAsia="Calibri" w:hAnsi="Calibri"/>
          <w:color w:val="2B2620"/>
          <w:sz w:val="21"/>
          <w:szCs w:val="21"/>
        </w:rPr>
        <w:t xml:space="preserve">A guard that checks the status cell against the known status vocabulary, setting aside rows whose columns have shifted rather than mapping them with values read from the wrong columns.</w:t>
      </w:r>
    </w:p>
    <w:p>
      <w:pPr>
        <w:pStyle w:val="Heading3"/>
        <w:spacing w:after="100" w:before="220"/>
      </w:pPr>
      <w:r>
        <w:rPr>
          <w:rFonts w:ascii="Calibri" w:cs="Calibri" w:eastAsia="Calibri" w:hAnsi="Calibri"/>
          <w:b/>
          <w:bCs/>
          <w:color w:val="6B6156"/>
          <w:sz w:val="21"/>
          <w:szCs w:val="21"/>
        </w:rPr>
        <w:t xml:space="preserve">Changed</w:t>
      </w:r>
    </w:p>
    <w:p>
      <w:pPr>
        <w:pStyle w:val="ListParagraph"/>
        <w:numPr>
          <w:ilvl w:val="0"/>
          <w:numId w:val="2"/>
        </w:numPr>
        <w:spacing w:after="90" w:line="276"/>
      </w:pPr>
      <w:r>
        <w:rPr>
          <w:rFonts w:ascii="Calibri" w:cs="Calibri" w:eastAsia="Calibri" w:hAnsi="Calibri"/>
          <w:color w:val="2B2620"/>
          <w:sz w:val="21"/>
          <w:szCs w:val="21"/>
        </w:rPr>
        <w:t xml:space="preserve">Type A and Type B totals are drawn from the dedicated </w:t>
      </w:r>
      <w:r>
        <w:rPr>
          <w:rFonts w:ascii="Consolas" w:cs="Consolas" w:eastAsia="Consolas" w:hAnsi="Consolas"/>
          <w:color w:val="2B2620"/>
          <w:sz w:val="19"/>
          <w:szCs w:val="19"/>
        </w:rPr>
        <w:t xml:space="preserve">Complaint Type A</w:t>
      </w:r>
      <w:r>
        <w:rPr>
          <w:rFonts w:ascii="Calibri" w:cs="Calibri" w:eastAsia="Calibri" w:hAnsi="Calibri"/>
          <w:color w:val="2B2620"/>
          <w:sz w:val="21"/>
          <w:szCs w:val="21"/>
        </w:rPr>
        <w:t xml:space="preserve"> and </w:t>
      </w:r>
      <w:r>
        <w:rPr>
          <w:rFonts w:ascii="Consolas" w:cs="Consolas" w:eastAsia="Consolas" w:hAnsi="Consolas"/>
          <w:color w:val="2B2620"/>
          <w:sz w:val="19"/>
          <w:szCs w:val="19"/>
        </w:rPr>
        <w:t xml:space="preserve">Complaint Type B</w:t>
      </w:r>
      <w:r>
        <w:rPr>
          <w:rFonts w:ascii="Calibri" w:cs="Calibri" w:eastAsia="Calibri" w:hAnsi="Calibri"/>
          <w:color w:val="2B2620"/>
          <w:sz w:val="21"/>
          <w:szCs w:val="21"/>
        </w:rPr>
        <w:t xml:space="preserve"> columns rather than summed out of the complaint tail, since this file provides them directly. They are added to the inspection and other-visit figures as before.</w:t>
      </w:r>
    </w:p>
    <w:p>
      <w:pPr>
        <w:pStyle w:val="ListParagraph"/>
        <w:numPr>
          <w:ilvl w:val="0"/>
          <w:numId w:val="2"/>
        </w:numPr>
        <w:spacing w:after="90" w:line="276"/>
      </w:pPr>
      <w:r>
        <w:rPr>
          <w:rFonts w:ascii="Calibri" w:cs="Calibri" w:eastAsia="Calibri" w:hAnsi="Calibri"/>
          <w:color w:val="2B2620"/>
          <w:sz w:val="21"/>
          <w:szCs w:val="21"/>
        </w:rPr>
        <w:t xml:space="preserve">Storage keys are namespaced </w:t>
      </w:r>
      <w:r>
        <w:rPr>
          <w:rFonts w:ascii="Consolas" w:cs="Consolas" w:eastAsia="Consolas" w:hAnsi="Consolas"/>
          <w:color w:val="2B2620"/>
          <w:sz w:val="19"/>
          <w:szCs w:val="19"/>
        </w:rPr>
        <w:t xml:space="preserve">rcfemap_</w:t>
      </w:r>
      <w:r>
        <w:rPr>
          <w:rFonts w:ascii="Calibri" w:cs="Calibri" w:eastAsia="Calibri" w:hAnsi="Calibri"/>
          <w:color w:val="2B2620"/>
          <w:sz w:val="21"/>
          <w:szCs w:val="21"/>
        </w:rPr>
        <w:t xml:space="preserve"> so this product and the Home Care Agency Map can each hold a saved session in the same browser without colliding.</w:t>
      </w:r>
    </w:p>
    <w:p>
      <w:pPr>
        <w:pStyle w:val="ListParagraph"/>
        <w:numPr>
          <w:ilvl w:val="0"/>
          <w:numId w:val="2"/>
        </w:numPr>
        <w:spacing w:after="90" w:line="276"/>
      </w:pPr>
      <w:r>
        <w:rPr>
          <w:rFonts w:ascii="Calibri" w:cs="Calibri" w:eastAsia="Calibri" w:hAnsi="Calibri"/>
          <w:color w:val="2B2620"/>
          <w:sz w:val="21"/>
          <w:szCs w:val="21"/>
        </w:rPr>
        <w:t xml:space="preserve">The interface accent colour is plum rather than teal, so the two tools are distinguishable at a glance.</w:t>
      </w:r>
    </w:p>
    <w:p>
      <w:pPr>
        <w:pStyle w:val="Heading3"/>
        <w:spacing w:after="100" w:before="220"/>
      </w:pPr>
      <w:r>
        <w:rPr>
          <w:rFonts w:ascii="Calibri" w:cs="Calibri" w:eastAsia="Calibri" w:hAnsi="Calibri"/>
          <w:b/>
          <w:bCs/>
          <w:color w:val="6B6156"/>
          <w:sz w:val="21"/>
          <w:szCs w:val="21"/>
        </w:rPr>
        <w:t xml:space="preserve">Fixed</w:t>
      </w:r>
    </w:p>
    <w:p>
      <w:pPr>
        <w:pStyle w:val="ListParagraph"/>
        <w:numPr>
          <w:ilvl w:val="0"/>
          <w:numId w:val="2"/>
        </w:numPr>
        <w:spacing w:after="90" w:line="276"/>
      </w:pPr>
      <w:r>
        <w:rPr>
          <w:rFonts w:ascii="Calibri" w:cs="Calibri" w:eastAsia="Calibri" w:hAnsi="Calibri"/>
          <w:color w:val="2B2620"/>
          <w:sz w:val="21"/>
          <w:szCs w:val="21"/>
        </w:rPr>
        <w:t xml:space="preserve">The CSV reader inherited from version 1.4 of the home care tool handles the stray quotation mark that appears inside a citation number in this file. Without that handling the file loses roughly 4,500 records silently. This dataset is where that defect was found.</w:t>
      </w:r>
    </w:p>
    <w:p>
      <w:r>
        <w:br w:type="page"/>
      </w:r>
    </w:p>
    <w:p>
      <w:pPr>
        <w:pStyle w:val="Heading1"/>
        <w:spacing w:after="160" w:before="360"/>
      </w:pPr>
      <w:r>
        <w:rPr>
          <w:rFonts w:ascii="Calibri" w:cs="Calibri" w:eastAsia="Calibri" w:hAnsi="Calibri"/>
          <w:b/>
          <w:bCs/>
          <w:color w:val="1F5F74"/>
          <w:sz w:val="30"/>
          <w:szCs w:val="30"/>
        </w:rPr>
        <w:t xml:space="preserve">4. User Guide</w:t>
      </w:r>
    </w:p>
    <w:p>
      <w:pPr>
        <w:pStyle w:val="Heading2"/>
        <w:spacing w:after="120" w:before="280"/>
      </w:pPr>
      <w:r>
        <w:rPr>
          <w:rFonts w:ascii="Calibri" w:cs="Calibri" w:eastAsia="Calibri" w:hAnsi="Calibri"/>
          <w:b/>
          <w:bCs/>
          <w:color w:val="2B2620"/>
          <w:sz w:val="24"/>
          <w:szCs w:val="24"/>
        </w:rPr>
        <w:t xml:space="preserve">4.1 Opening the tool</w:t>
      </w:r>
    </w:p>
    <w:p>
      <w:pPr>
        <w:spacing w:after="140" w:line="276"/>
      </w:pPr>
      <w:r>
        <w:rPr>
          <w:rFonts w:ascii="Calibri" w:cs="Calibri" w:eastAsia="Calibri" w:hAnsi="Calibri"/>
          <w:color w:val="2B2620"/>
          <w:sz w:val="21"/>
          <w:szCs w:val="21"/>
        </w:rPr>
        <w:t xml:space="preserve">Save the application file somewhere permanent and open it from there every time. Double-clicking the file opens it in your default browser. Nothing installs and nothing is added to your computer beyond the file itself.</w:t>
      </w:r>
    </w:p>
    <w:p>
      <w:pPr>
        <w:pBdr>
          <w:left w:val="single" w:color="1F5F74" w:sz="12" w:space="12"/>
        </w:pBdr>
        <w:spacing w:after="160" w:before="120" w:line="276"/>
        <w:ind w:left="360"/>
      </w:pPr>
      <w:r>
        <w:rPr>
          <w:rFonts w:ascii="Calibri" w:cs="Calibri" w:eastAsia="Calibri" w:hAnsi="Calibri"/>
          <w:i/>
          <w:iCs/>
          <w:color w:val="2B2620"/>
          <w:sz w:val="20"/>
          <w:szCs w:val="20"/>
        </w:rPr>
        <w:t xml:space="preserve">Keep the file in one fixed folder. Saved sessions are tied to the file’s location, so opening a second copy out of your Downloads folder starts you over with an empty map. This trips people up more than any other single thing.</w:t>
      </w:r>
    </w:p>
    <w:p>
      <w:pPr>
        <w:spacing w:after="140" w:line="276"/>
      </w:pPr>
      <w:r>
        <w:rPr>
          <w:rFonts w:ascii="Calibri" w:cs="Calibri" w:eastAsia="Calibri" w:hAnsi="Calibri"/>
          <w:color w:val="2B2620"/>
          <w:sz w:val="21"/>
          <w:szCs w:val="21"/>
        </w:rPr>
        <w:t xml:space="preserve">Any current browser works. If saved sessions do not survive a refresh, try Chrome or Edge; Safari restricts local storage more aggressively than other browsers when a page is opened from a file rather than a web address.</w:t>
      </w:r>
    </w:p>
    <w:p>
      <w:pPr>
        <w:pStyle w:val="Heading2"/>
        <w:spacing w:after="120" w:before="280"/>
      </w:pPr>
      <w:r>
        <w:rPr>
          <w:rFonts w:ascii="Calibri" w:cs="Calibri" w:eastAsia="Calibri" w:hAnsi="Calibri"/>
          <w:b/>
          <w:bCs/>
          <w:color w:val="2B2620"/>
          <w:sz w:val="24"/>
          <w:szCs w:val="24"/>
        </w:rPr>
        <w:t xml:space="preserve">4.2 Loading the dataset</w:t>
      </w:r>
    </w:p>
    <w:p>
      <w:pPr>
        <w:spacing w:after="140" w:line="276"/>
      </w:pPr>
      <w:r>
        <w:rPr>
          <w:rFonts w:ascii="Calibri" w:cs="Calibri" w:eastAsia="Calibri" w:hAnsi="Calibri"/>
          <w:color w:val="2B2620"/>
          <w:sz w:val="21"/>
          <w:szCs w:val="21"/>
        </w:rPr>
        <w:t xml:space="preserve">Click </w:t>
      </w:r>
      <w:r>
        <w:rPr>
          <w:rFonts w:ascii="Calibri" w:cs="Calibri" w:eastAsia="Calibri" w:hAnsi="Calibri"/>
          <w:b/>
          <w:bCs/>
          <w:color w:val="2B2620"/>
          <w:sz w:val="21"/>
          <w:szCs w:val="21"/>
        </w:rPr>
        <w:t xml:space="preserve">Choose file</w:t>
      </w:r>
      <w:r>
        <w:rPr>
          <w:rFonts w:ascii="Calibri" w:cs="Calibri" w:eastAsia="Calibri" w:hAnsi="Calibri"/>
          <w:color w:val="2B2620"/>
          <w:sz w:val="21"/>
          <w:szCs w:val="21"/>
        </w:rPr>
        <w:t xml:space="preserve"> under </w:t>
      </w:r>
      <w:r>
        <w:rPr>
          <w:rFonts w:ascii="Calibri" w:cs="Calibri" w:eastAsia="Calibri" w:hAnsi="Calibri"/>
          <w:b/>
          <w:bCs/>
          <w:color w:val="2B2620"/>
          <w:sz w:val="21"/>
          <w:szCs w:val="21"/>
        </w:rPr>
        <w:t xml:space="preserve">Load CDSS file</w:t>
      </w:r>
      <w:r>
        <w:rPr>
          <w:rFonts w:ascii="Calibri" w:cs="Calibri" w:eastAsia="Calibri" w:hAnsi="Calibri"/>
          <w:color w:val="2B2620"/>
          <w:sz w:val="21"/>
          <w:szCs w:val="21"/>
        </w:rPr>
        <w:t xml:space="preserve"> and select the CDSS residential elder care export. Facilities appear on the map immediately; nothing is geocoded and nothing is sent anywhere.</w:t>
      </w:r>
    </w:p>
    <w:p>
      <w:pPr>
        <w:spacing w:after="140" w:line="276"/>
      </w:pPr>
      <w:r>
        <w:rPr>
          <w:rFonts w:ascii="Calibri" w:cs="Calibri" w:eastAsia="Calibri" w:hAnsi="Calibri"/>
          <w:color w:val="2B2620"/>
          <w:sz w:val="21"/>
          <w:szCs w:val="21"/>
        </w:rPr>
        <w:t xml:space="preserve">A message appears beneath the button stating exactly what happened. It is worth reading every time, because it is the authoritative account of what the software accepted and what it set aside. For the reference dataset it reads:</w:t>
      </w:r>
    </w:p>
    <w:p>
      <w:pPr>
        <w:spacing w:after="140" w:line="276"/>
      </w:pPr>
      <w:r>
        <w:rPr>
          <w:rFonts w:ascii="Calibri" w:cs="Calibri" w:eastAsia="Calibri" w:hAnsi="Calibri"/>
          <w:i/>
          <w:iCs/>
          <w:color w:val="2B2620"/>
          <w:sz w:val="21"/>
          <w:szCs w:val="21"/>
        </w:rPr>
        <w:t xml:space="preserve">“9,420 licensed and pending facilities loaded, 3,791 closed and on-probation facilities skipped, 17 skipped with no city, 2 skipped as unreadable rows.”</w:t>
      </w:r>
    </w:p>
    <w:p>
      <w:pPr>
        <w:pStyle w:val="ListParagraph"/>
        <w:numPr>
          <w:ilvl w:val="0"/>
          <w:numId w:val="2"/>
        </w:numPr>
        <w:spacing w:after="90" w:line="276"/>
      </w:pPr>
      <w:r>
        <w:rPr>
          <w:rFonts w:ascii="Calibri" w:cs="Calibri" w:eastAsia="Calibri" w:hAnsi="Calibri"/>
          <w:color w:val="2B2620"/>
          <w:sz w:val="21"/>
          <w:szCs w:val="21"/>
        </w:rPr>
        <w:t xml:space="preserve">Facilities marked LICENSED or PENDING are kept. CLOSED and ON PROBATION are left out.</w:t>
      </w:r>
    </w:p>
    <w:p>
      <w:pPr>
        <w:pStyle w:val="ListParagraph"/>
        <w:numPr>
          <w:ilvl w:val="0"/>
          <w:numId w:val="2"/>
        </w:numPr>
        <w:spacing w:after="90" w:line="276"/>
      </w:pPr>
      <w:r>
        <w:rPr>
          <w:rFonts w:ascii="Calibri" w:cs="Calibri" w:eastAsia="Calibri" w:hAnsi="Calibri"/>
          <w:color w:val="2B2620"/>
          <w:sz w:val="21"/>
          <w:szCs w:val="21"/>
        </w:rPr>
        <w:t xml:space="preserve">Records with no city cannot be placed or grouped and are set aside; the reference extract has 17.</w:t>
      </w:r>
    </w:p>
    <w:p>
      <w:pPr>
        <w:pStyle w:val="ListParagraph"/>
        <w:numPr>
          <w:ilvl w:val="0"/>
          <w:numId w:val="2"/>
        </w:numPr>
        <w:spacing w:after="90" w:line="276"/>
      </w:pPr>
      <w:r>
        <w:rPr>
          <w:rFonts w:ascii="Calibri" w:cs="Calibri" w:eastAsia="Calibri" w:hAnsi="Calibri"/>
          <w:color w:val="2B2620"/>
          <w:sz w:val="21"/>
          <w:szCs w:val="21"/>
        </w:rPr>
        <w:t xml:space="preserve">Rows whose columns have shifted, which happens when a data field contains quoted text such as an administrator name written </w:t>
      </w:r>
      <w:r>
        <w:rPr>
          <w:rFonts w:ascii="Consolas" w:cs="Consolas" w:eastAsia="Consolas" w:hAnsi="Consolas"/>
          <w:color w:val="2B2620"/>
          <w:sz w:val="19"/>
          <w:szCs w:val="19"/>
        </w:rPr>
        <w:t xml:space="preserve">ZHU, XIAOTONG "SHERRY"</w:t>
      </w:r>
      <w:r>
        <w:rPr>
          <w:rFonts w:ascii="Calibri" w:cs="Calibri" w:eastAsia="Calibri" w:hAnsi="Calibri"/>
          <w:color w:val="2B2620"/>
          <w:sz w:val="21"/>
          <w:szCs w:val="21"/>
        </w:rPr>
        <w:t xml:space="preserve">, are counted separately. The reference extract has two.</w:t>
      </w:r>
    </w:p>
    <w:p>
      <w:pPr>
        <w:pStyle w:val="Heading3"/>
        <w:spacing w:after="100" w:before="220"/>
      </w:pPr>
      <w:r>
        <w:rPr>
          <w:rFonts w:ascii="Calibri" w:cs="Calibri" w:eastAsia="Calibri" w:hAnsi="Calibri"/>
          <w:b/>
          <w:bCs/>
          <w:color w:val="6B6156"/>
          <w:sz w:val="21"/>
          <w:szCs w:val="21"/>
        </w:rPr>
        <w:t xml:space="preserve">Merging a second file</w:t>
      </w:r>
    </w:p>
    <w:p>
      <w:pPr>
        <w:spacing w:after="140" w:line="276"/>
      </w:pPr>
      <w:r>
        <w:rPr>
          <w:rFonts w:ascii="Calibri" w:cs="Calibri" w:eastAsia="Calibri" w:hAnsi="Calibri"/>
          <w:b/>
          <w:bCs/>
          <w:color w:val="2B2620"/>
          <w:sz w:val="21"/>
          <w:szCs w:val="21"/>
        </w:rPr>
        <w:t xml:space="preserve">Add to what’s already loaded</w:t>
      </w:r>
      <w:r>
        <w:rPr>
          <w:rFonts w:ascii="Calibri" w:cs="Calibri" w:eastAsia="Calibri" w:hAnsi="Calibri"/>
          <w:color w:val="2B2620"/>
          <w:sz w:val="21"/>
          <w:szCs w:val="21"/>
        </w:rPr>
        <w:t xml:space="preserve"> merges a second extract into the current set instead of replacing it, skipping any facility number already present. Use it to combine two different extracts. Do not use it when refreshing with a newer version of the same extract: records that have since closed would remain on the map indefinitely, because merging never removes anything.</w:t>
      </w:r>
    </w:p>
    <w:p>
      <w:pPr>
        <w:pStyle w:val="Heading3"/>
        <w:spacing w:after="100" w:before="220"/>
      </w:pPr>
      <w:r>
        <w:rPr>
          <w:rFonts w:ascii="Calibri" w:cs="Calibri" w:eastAsia="Calibri" w:hAnsi="Calibri"/>
          <w:b/>
          <w:bCs/>
          <w:color w:val="6B6156"/>
          <w:sz w:val="21"/>
          <w:szCs w:val="21"/>
        </w:rPr>
        <w:t xml:space="preserve">Clearing</w:t>
      </w:r>
    </w:p>
    <w:p>
      <w:pPr>
        <w:spacing w:after="140" w:line="276"/>
      </w:pPr>
      <w:r>
        <w:rPr>
          <w:rFonts w:ascii="Calibri" w:cs="Calibri" w:eastAsia="Calibri" w:hAnsi="Calibri"/>
          <w:b/>
          <w:bCs/>
          <w:color w:val="2B2620"/>
          <w:sz w:val="21"/>
          <w:szCs w:val="21"/>
        </w:rPr>
        <w:t xml:space="preserve">Clear all</w:t>
      </w:r>
      <w:r>
        <w:rPr>
          <w:rFonts w:ascii="Calibri" w:cs="Calibri" w:eastAsia="Calibri" w:hAnsi="Calibri"/>
          <w:color w:val="2B2620"/>
          <w:sz w:val="21"/>
          <w:szCs w:val="21"/>
        </w:rPr>
        <w:t xml:space="preserve"> empties the map and deletes the saved session. It is the reset.</w:t>
      </w:r>
    </w:p>
    <w:p>
      <w:pPr>
        <w:pStyle w:val="Heading2"/>
        <w:spacing w:after="120" w:before="280"/>
      </w:pPr>
      <w:r>
        <w:rPr>
          <w:rFonts w:ascii="Calibri" w:cs="Calibri" w:eastAsia="Calibri" w:hAnsi="Calibri"/>
          <w:b/>
          <w:bCs/>
          <w:color w:val="2B2620"/>
          <w:sz w:val="24"/>
          <w:szCs w:val="24"/>
        </w:rPr>
        <w:t xml:space="preserve">4.3 Optional: exact street addresses</w:t>
      </w:r>
    </w:p>
    <w:p>
      <w:pPr>
        <w:spacing w:after="140" w:line="276"/>
      </w:pPr>
      <w:r>
        <w:rPr>
          <w:rFonts w:ascii="Calibri" w:cs="Calibri" w:eastAsia="Calibri" w:hAnsi="Calibri"/>
          <w:color w:val="2B2620"/>
          <w:sz w:val="21"/>
          <w:szCs w:val="21"/>
        </w:rPr>
        <w:t xml:space="preserve">By default each facility sits at the centre of its ZIP code, which is accurate at county and city zoom and wrong by a few blocks close up. To place facilities at their real addresses, run the file through the U.S. Census Bureau batch address geocoder, which is free and requires no account.</w:t>
      </w:r>
    </w:p>
    <w:p>
      <w:pPr>
        <w:pStyle w:val="ListParagraph"/>
        <w:numPr>
          <w:ilvl w:val="0"/>
          <w:numId w:val="4"/>
        </w:numPr>
        <w:spacing w:after="100" w:line="276"/>
      </w:pPr>
      <w:r>
        <w:rPr>
          <w:rFonts w:ascii="Calibri" w:cs="Calibri" w:eastAsia="Calibri" w:hAnsi="Calibri"/>
          <w:color w:val="2B2620"/>
          <w:sz w:val="21"/>
          <w:szCs w:val="21"/>
        </w:rPr>
        <w:t xml:space="preserve">Click </w:t>
      </w:r>
      <w:r>
        <w:rPr>
          <w:rFonts w:ascii="Calibri" w:cs="Calibri" w:eastAsia="Calibri" w:hAnsi="Calibri"/>
          <w:b/>
          <w:bCs/>
          <w:color w:val="2B2620"/>
          <w:sz w:val="21"/>
          <w:szCs w:val="21"/>
        </w:rPr>
        <w:t xml:space="preserve">Export address list</w:t>
      </w:r>
      <w:r>
        <w:rPr>
          <w:rFonts w:ascii="Calibri" w:cs="Calibri" w:eastAsia="Calibri" w:hAnsi="Calibri"/>
          <w:color w:val="2B2620"/>
          <w:sz w:val="21"/>
          <w:szCs w:val="21"/>
        </w:rPr>
        <w:t xml:space="preserve">. A file named </w:t>
      </w:r>
      <w:r>
        <w:rPr>
          <w:rFonts w:ascii="Consolas" w:cs="Consolas" w:eastAsia="Consolas" w:hAnsi="Consolas"/>
          <w:color w:val="2B2620"/>
          <w:sz w:val="19"/>
          <w:szCs w:val="19"/>
        </w:rPr>
        <w:t xml:space="preserve">rcfe-address-batch.csv</w:t>
      </w:r>
      <w:r>
        <w:rPr>
          <w:rFonts w:ascii="Calibri" w:cs="Calibri" w:eastAsia="Calibri" w:hAnsi="Calibri"/>
          <w:color w:val="2B2620"/>
          <w:sz w:val="21"/>
          <w:szCs w:val="21"/>
        </w:rPr>
        <w:t xml:space="preserve"> downloads, already in the layout the Census form expects.</w:t>
      </w:r>
    </w:p>
    <w:p>
      <w:pPr>
        <w:pStyle w:val="ListParagraph"/>
        <w:numPr>
          <w:ilvl w:val="0"/>
          <w:numId w:val="4"/>
        </w:numPr>
        <w:spacing w:after="100" w:line="276"/>
      </w:pPr>
      <w:r>
        <w:rPr>
          <w:rFonts w:ascii="Calibri" w:cs="Calibri" w:eastAsia="Calibri" w:hAnsi="Calibri"/>
          <w:color w:val="2B2620"/>
          <w:sz w:val="21"/>
          <w:szCs w:val="21"/>
        </w:rPr>
        <w:t xml:space="preserve">Open the Census batch address geocoder, linked in that card, upload the file, leave the benchmark on its default, and submit.</w:t>
      </w:r>
    </w:p>
    <w:p>
      <w:pPr>
        <w:pStyle w:val="ListParagraph"/>
        <w:numPr>
          <w:ilvl w:val="0"/>
          <w:numId w:val="4"/>
        </w:numPr>
        <w:spacing w:after="100" w:line="276"/>
      </w:pPr>
      <w:r>
        <w:rPr>
          <w:rFonts w:ascii="Calibri" w:cs="Calibri" w:eastAsia="Calibri" w:hAnsi="Calibri"/>
          <w:color w:val="2B2620"/>
          <w:sz w:val="21"/>
          <w:szCs w:val="21"/>
        </w:rPr>
        <w:t xml:space="preserve">Download the result file the Census returns.</w:t>
      </w:r>
    </w:p>
    <w:p>
      <w:pPr>
        <w:pStyle w:val="ListParagraph"/>
        <w:numPr>
          <w:ilvl w:val="0"/>
          <w:numId w:val="4"/>
        </w:numPr>
        <w:spacing w:after="100" w:line="276"/>
      </w:pPr>
      <w:r>
        <w:rPr>
          <w:rFonts w:ascii="Calibri" w:cs="Calibri" w:eastAsia="Calibri" w:hAnsi="Calibri"/>
          <w:color w:val="2B2620"/>
          <w:sz w:val="21"/>
          <w:szCs w:val="21"/>
        </w:rPr>
        <w:t xml:space="preserve">Back in the tool, click </w:t>
      </w:r>
      <w:r>
        <w:rPr>
          <w:rFonts w:ascii="Calibri" w:cs="Calibri" w:eastAsia="Calibri" w:hAnsi="Calibri"/>
          <w:b/>
          <w:bCs/>
          <w:color w:val="2B2620"/>
          <w:sz w:val="21"/>
          <w:szCs w:val="21"/>
        </w:rPr>
        <w:t xml:space="preserve">Import Census results</w:t>
      </w:r>
      <w:r>
        <w:rPr>
          <w:rFonts w:ascii="Calibri" w:cs="Calibri" w:eastAsia="Calibri" w:hAnsi="Calibri"/>
          <w:color w:val="2B2620"/>
          <w:sz w:val="21"/>
          <w:szCs w:val="21"/>
        </w:rPr>
        <w:t xml:space="preserve"> and select that downloaded file.</w:t>
      </w:r>
    </w:p>
    <w:p>
      <w:pPr>
        <w:spacing w:after="140" w:line="276"/>
      </w:pPr>
      <w:r>
        <w:rPr>
          <w:rFonts w:ascii="Calibri" w:cs="Calibri" w:eastAsia="Calibri" w:hAnsi="Calibri"/>
          <w:color w:val="2B2620"/>
          <w:sz w:val="21"/>
          <w:szCs w:val="21"/>
        </w:rPr>
        <w:t xml:space="preserve">On the reference dataset this placed 9,099 of 9,422 addresses, or 96.6 percent, with 8,274 matched exactly and the remainder interpolated along the street. The 323 the Census could not match keep their ZIP centre automatically.</w:t>
      </w:r>
    </w:p>
    <w:p>
      <w:pPr>
        <w:pBdr>
          <w:left w:val="single" w:color="1F5F74" w:sz="12" w:space="12"/>
        </w:pBdr>
        <w:spacing w:after="160" w:before="120" w:line="276"/>
        <w:ind w:left="360"/>
      </w:pPr>
      <w:r>
        <w:rPr>
          <w:rFonts w:ascii="Calibri" w:cs="Calibri" w:eastAsia="Calibri" w:hAnsi="Calibri"/>
          <w:i/>
          <w:iCs/>
          <w:color w:val="2B2620"/>
          <w:sz w:val="20"/>
          <w:szCs w:val="20"/>
        </w:rPr>
        <w:t xml:space="preserve">The Census batch endpoint accepts up to 10,000 addresses per upload, so a full RCFE file fits in one submission. If a future file exceeds that, split it. The uploaded file must keep a </w:t>
      </w:r>
      <w:r>
        <w:rPr>
          <w:rFonts w:ascii="Consolas" w:cs="Consolas" w:eastAsia="Consolas" w:hAnsi="Consolas"/>
          <w:i/>
          <w:iCs/>
          <w:color w:val="2B2620"/>
          <w:sz w:val="19"/>
          <w:szCs w:val="19"/>
        </w:rPr>
        <w:t xml:space="preserve">.csv</w:t>
      </w:r>
      <w:r>
        <w:rPr>
          <w:rFonts w:ascii="Calibri" w:cs="Calibri" w:eastAsia="Calibri" w:hAnsi="Calibri"/>
          <w:i/>
          <w:iCs/>
          <w:color w:val="2B2620"/>
          <w:sz w:val="20"/>
          <w:szCs w:val="20"/>
        </w:rPr>
        <w:t xml:space="preserve"> extension or the Census rejects it as malformed.</w:t>
      </w:r>
    </w:p>
    <w:p>
      <w:pPr>
        <w:spacing w:after="140" w:line="276"/>
      </w:pPr>
      <w:r>
        <w:rPr>
          <w:rFonts w:ascii="Calibri" w:cs="Calibri" w:eastAsia="Calibri" w:hAnsi="Calibri"/>
          <w:b/>
          <w:bCs/>
          <w:color w:val="2B2620"/>
          <w:sz w:val="21"/>
          <w:szCs w:val="21"/>
        </w:rPr>
        <w:t xml:space="preserve">Forget exact addresses</w:t>
      </w:r>
      <w:r>
        <w:rPr>
          <w:rFonts w:ascii="Calibri" w:cs="Calibri" w:eastAsia="Calibri" w:hAnsi="Calibri"/>
          <w:color w:val="2B2620"/>
          <w:sz w:val="21"/>
          <w:szCs w:val="21"/>
        </w:rPr>
        <w:t xml:space="preserve"> returns every facility to its ZIP centre. The Location Source column in the CSV export records which of the three each coordinate is.</w:t>
      </w:r>
    </w:p>
    <w:p>
      <w:pPr>
        <w:pStyle w:val="Heading2"/>
        <w:spacing w:after="120" w:before="280"/>
      </w:pPr>
      <w:r>
        <w:rPr>
          <w:rFonts w:ascii="Calibri" w:cs="Calibri" w:eastAsia="Calibri" w:hAnsi="Calibri"/>
          <w:b/>
          <w:bCs/>
          <w:color w:val="2B2620"/>
          <w:sz w:val="24"/>
          <w:szCs w:val="24"/>
        </w:rPr>
        <w:t xml:space="preserve">4.4 Reading the map</w:t>
      </w:r>
    </w:p>
    <w:p>
      <w:pPr>
        <w:spacing w:after="140" w:line="276"/>
      </w:pPr>
      <w:r>
        <w:rPr>
          <w:rFonts w:ascii="Calibri" w:cs="Calibri" w:eastAsia="Calibri" w:hAnsi="Calibri"/>
          <w:color w:val="2B2620"/>
          <w:sz w:val="21"/>
          <w:szCs w:val="21"/>
        </w:rPr>
        <w:t xml:space="preserve">Colour carries the worst citation level present, exactly as in the sibling home care product. Type A is the more serious classification. Size carries bed count, and the two are independent: a small facility with a Type A citation is a small red pin.</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674"/>
        <w:gridCol w:w="6686"/>
      </w:tblGrid>
      <w:tr>
        <w:trPr>
          <w:tblHeader/>
        </w:trPr>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Colour</w:t>
            </w:r>
          </w:p>
        </w:tc>
        <w:tc>
          <w:tcPr>
            <w:tcW w:type="dxa" w:w="6686"/>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Meaning</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Green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No Type A and no Type B citations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Yellow</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At least one Type B citation and no Type A</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Red</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At least one Type A citation</w:t>
            </w:r>
          </w:p>
        </w:tc>
      </w:tr>
    </w:tbl>
    <w:p>
      <w:pPr>
        <w:spacing w:after="160"/>
      </w:pPr>
    </w:p>
    <w:p>
      <w:pPr>
        <w:pStyle w:val="Heading3"/>
        <w:spacing w:after="100" w:before="220"/>
      </w:pPr>
      <w:r>
        <w:rPr>
          <w:rFonts w:ascii="Calibri" w:cs="Calibri" w:eastAsia="Calibri" w:hAnsi="Calibri"/>
          <w:b/>
          <w:bCs/>
          <w:color w:val="6B6156"/>
          <w:sz w:val="21"/>
          <w:szCs w:val="21"/>
        </w:rPr>
        <w:t xml:space="preserve">The two pin modes</w:t>
      </w:r>
    </w:p>
    <w:p>
      <w:pPr>
        <w:spacing w:after="140" w:line="276"/>
      </w:pPr>
      <w:r>
        <w:rPr>
          <w:rFonts w:ascii="Calibri" w:cs="Calibri" w:eastAsia="Calibri" w:hAnsi="Calibri"/>
          <w:color w:val="2B2620"/>
          <w:sz w:val="21"/>
          <w:szCs w:val="21"/>
        </w:rPr>
        <w:t xml:space="preserve">The </w:t>
      </w:r>
      <w:r>
        <w:rPr>
          <w:rFonts w:ascii="Calibri" w:cs="Calibri" w:eastAsia="Calibri" w:hAnsi="Calibri"/>
          <w:b/>
          <w:bCs/>
          <w:color w:val="2B2620"/>
          <w:sz w:val="21"/>
          <w:szCs w:val="21"/>
        </w:rPr>
        <w:t xml:space="preserve">Pins</w:t>
      </w:r>
      <w:r>
        <w:rPr>
          <w:rFonts w:ascii="Calibri" w:cs="Calibri" w:eastAsia="Calibri" w:hAnsi="Calibri"/>
          <w:color w:val="2B2620"/>
          <w:sz w:val="21"/>
          <w:szCs w:val="21"/>
        </w:rPr>
        <w:t xml:space="preserve"> control beside </w:t>
      </w:r>
      <w:r>
        <w:rPr>
          <w:rFonts w:ascii="Calibri" w:cs="Calibri" w:eastAsia="Calibri" w:hAnsi="Calibri"/>
          <w:b/>
          <w:bCs/>
          <w:color w:val="2B2620"/>
          <w:sz w:val="21"/>
          <w:szCs w:val="21"/>
        </w:rPr>
        <w:t xml:space="preserve">Zoom to results</w:t>
      </w:r>
      <w:r>
        <w:rPr>
          <w:rFonts w:ascii="Calibri" w:cs="Calibri" w:eastAsia="Calibri" w:hAnsi="Calibri"/>
          <w:color w:val="2B2620"/>
          <w:sz w:val="21"/>
          <w:szCs w:val="21"/>
        </w:rPr>
        <w:t xml:space="preserve"> switches between them.</w:t>
      </w:r>
    </w:p>
    <w:p>
      <w:pPr>
        <w:spacing w:after="140" w:line="276"/>
      </w:pPr>
      <w:r>
        <w:rPr>
          <w:rFonts w:ascii="Calibri" w:cs="Calibri" w:eastAsia="Calibri" w:hAnsi="Calibri"/>
          <w:b/>
          <w:bCs/>
          <w:color w:val="2B2620"/>
          <w:sz w:val="21"/>
          <w:szCs w:val="21"/>
        </w:rPr>
        <w:t xml:space="preserve">One per city</w:t>
      </w:r>
      <w:r>
        <w:rPr>
          <w:rFonts w:ascii="Calibri" w:cs="Calibri" w:eastAsia="Calibri" w:hAnsi="Calibri"/>
          <w:color w:val="2B2620"/>
          <w:sz w:val="21"/>
          <w:szCs w:val="21"/>
        </w:rPr>
        <w:t xml:space="preserve"> is the default. Each pin carries the number of residential care facilities in that city and sits at the centre of them. City pins are sized by facility count rather than by beds, since a count is what a cluster means; the hover card gives the total licensed beds in that city. Clicking a city pin filters the table to that city, which is the quickest way to drill into a market.</w:t>
      </w:r>
    </w:p>
    <w:p>
      <w:pPr>
        <w:spacing w:after="140" w:line="276"/>
      </w:pPr>
      <w:r>
        <w:rPr>
          <w:rFonts w:ascii="Calibri" w:cs="Calibri" w:eastAsia="Calibri" w:hAnsi="Calibri"/>
          <w:b/>
          <w:bCs/>
          <w:color w:val="2B2620"/>
          <w:sz w:val="21"/>
          <w:szCs w:val="21"/>
        </w:rPr>
        <w:t xml:space="preserve">One per facility</w:t>
      </w:r>
      <w:r>
        <w:rPr>
          <w:rFonts w:ascii="Calibri" w:cs="Calibri" w:eastAsia="Calibri" w:hAnsi="Calibri"/>
          <w:color w:val="2B2620"/>
          <w:sz w:val="21"/>
          <w:szCs w:val="21"/>
        </w:rPr>
        <w:t xml:space="preserve"> draws each record separately. Pin diameter shows the bed band, from 11 pixels for a six-bed home to 26 pixels for a facility of 100 beds or more. Each pin carries the facility name, address, bed count, citation counts and substantiated allegations on hover. The mode refuses to draw more than 600 records at once and says so in the legend, falling back to city pins until you narrow the set. This is deliberate: beyond a few hundred, overlapping markers stop conveying anything.</w:t>
      </w:r>
    </w:p>
    <w:p>
      <w:pPr>
        <w:pStyle w:val="Heading3"/>
        <w:spacing w:after="100" w:before="220"/>
      </w:pPr>
      <w:r>
        <w:rPr>
          <w:rFonts w:ascii="Calibri" w:cs="Calibri" w:eastAsia="Calibri" w:hAnsi="Calibri"/>
          <w:b/>
          <w:bCs/>
          <w:color w:val="6B6156"/>
          <w:sz w:val="21"/>
          <w:szCs w:val="21"/>
        </w:rPr>
        <w:t xml:space="preserve">Zoom to results</w:t>
      </w:r>
    </w:p>
    <w:p>
      <w:pPr>
        <w:spacing w:after="140" w:line="276"/>
      </w:pPr>
      <w:r>
        <w:rPr>
          <w:rFonts w:ascii="Calibri" w:cs="Calibri" w:eastAsia="Calibri" w:hAnsi="Calibri"/>
          <w:b/>
          <w:bCs/>
          <w:color w:val="2B2620"/>
          <w:sz w:val="21"/>
          <w:szCs w:val="21"/>
        </w:rPr>
        <w:t xml:space="preserve">Zoom to results</w:t>
      </w:r>
      <w:r>
        <w:rPr>
          <w:rFonts w:ascii="Calibri" w:cs="Calibri" w:eastAsia="Calibri" w:hAnsi="Calibri"/>
          <w:color w:val="2B2620"/>
          <w:sz w:val="21"/>
          <w:szCs w:val="21"/>
        </w:rPr>
        <w:t xml:space="preserve"> refits the map around whatever is currently filtered. Use it when you have changed filters and the view has drifted away from what you are looking at.</w:t>
      </w:r>
    </w:p>
    <w:p>
      <w:pPr>
        <w:pStyle w:val="Heading3"/>
        <w:spacing w:after="100" w:before="220"/>
      </w:pPr>
      <w:r>
        <w:rPr>
          <w:rFonts w:ascii="Calibri" w:cs="Calibri" w:eastAsia="Calibri" w:hAnsi="Calibri"/>
          <w:b/>
          <w:bCs/>
          <w:color w:val="6B6156"/>
          <w:sz w:val="21"/>
          <w:szCs w:val="21"/>
        </w:rPr>
        <w:t xml:space="preserve">Hover cards</w:t>
      </w:r>
    </w:p>
    <w:p>
      <w:pPr>
        <w:spacing w:after="140" w:line="276"/>
      </w:pPr>
      <w:r>
        <w:rPr>
          <w:rFonts w:ascii="Calibri" w:cs="Calibri" w:eastAsia="Calibri" w:hAnsi="Calibri"/>
          <w:color w:val="2B2620"/>
          <w:sz w:val="21"/>
          <w:szCs w:val="21"/>
        </w:rPr>
        <w:t xml:space="preserve">Hovering a city pin gives the city and county, the facility count, the total licensed beds there, how many facilities carry Type A and Type B citations, and the distance from your reference pin if one is set. Hovering an individual facility pin gives its name, address, licensed beds, whether it is a continuing care community, substantiated allegations, citation counts and distance.</w:t>
      </w:r>
    </w:p>
    <w:p>
      <w:pPr>
        <w:pStyle w:val="Heading2"/>
        <w:spacing w:after="120" w:before="280"/>
      </w:pPr>
      <w:r>
        <w:rPr>
          <w:rFonts w:ascii="Calibri" w:cs="Calibri" w:eastAsia="Calibri" w:hAnsi="Calibri"/>
          <w:b/>
          <w:bCs/>
          <w:color w:val="2B2620"/>
          <w:sz w:val="24"/>
          <w:szCs w:val="24"/>
        </w:rPr>
        <w:t xml:space="preserve">4.5 Filtering</w:t>
      </w:r>
    </w:p>
    <w:p>
      <w:pPr>
        <w:spacing w:after="140" w:line="276"/>
      </w:pPr>
      <w:r>
        <w:rPr>
          <w:rFonts w:ascii="Calibri" w:cs="Calibri" w:eastAsia="Calibri" w:hAnsi="Calibri"/>
          <w:color w:val="2B2620"/>
          <w:sz w:val="21"/>
          <w:szCs w:val="21"/>
        </w:rPr>
        <w:t xml:space="preserve">Filters stack. Each one you add narrows the set further, and the map and the table always agree with each other. The count beside the buttons tells you how many records currently match.</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674"/>
        <w:gridCol w:w="6686"/>
      </w:tblGrid>
      <w:tr>
        <w:trPr>
          <w:tblHeader/>
        </w:trPr>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Filter</w:t>
            </w:r>
          </w:p>
        </w:tc>
        <w:tc>
          <w:tcPr>
            <w:tcW w:type="dxa" w:w="6686"/>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What it does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County</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One or many. Type in the dropdown to find one quickly.</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City</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One or many, from over 560 in a full file.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Citations</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Type A, Type B, or no citations.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Status</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Licensed or pending.</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Size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Bed bands: 1 to 6, 7 to 15, 16 to 49, 50 to 99, 100 or more.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Type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Residential care for the elderly, or continuing care retirement community.</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Search</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Matches facility name, licensee, administrator, address, ZIP and facility number.</w:t>
            </w:r>
          </w:p>
        </w:tc>
      </w:tr>
    </w:tbl>
    <w:p>
      <w:pPr>
        <w:spacing w:after="160"/>
      </w:pPr>
    </w:p>
    <w:p>
      <w:pPr>
        <w:spacing w:after="140" w:line="276"/>
      </w:pPr>
      <w:r>
        <w:rPr>
          <w:rFonts w:ascii="Calibri" w:cs="Calibri" w:eastAsia="Calibri" w:hAnsi="Calibri"/>
          <w:b/>
          <w:bCs/>
          <w:color w:val="2B2620"/>
          <w:sz w:val="21"/>
          <w:szCs w:val="21"/>
        </w:rPr>
        <w:t xml:space="preserve">Clear filters</w:t>
      </w:r>
      <w:r>
        <w:rPr>
          <w:rFonts w:ascii="Calibri" w:cs="Calibri" w:eastAsia="Calibri" w:hAnsi="Calibri"/>
          <w:color w:val="2B2620"/>
          <w:sz w:val="21"/>
          <w:szCs w:val="21"/>
        </w:rPr>
        <w:t xml:space="preserve"> resets every filter at once, including the search box. Filters with long lists have a search box inside the dropdown, so you can type a few letters of a county or city rather than scrolling.</w:t>
      </w:r>
    </w:p>
    <w:p>
      <w:pPr>
        <w:pStyle w:val="Heading2"/>
        <w:spacing w:after="120" w:before="280"/>
      </w:pPr>
      <w:r>
        <w:rPr>
          <w:rFonts w:ascii="Calibri" w:cs="Calibri" w:eastAsia="Calibri" w:hAnsi="Calibri"/>
          <w:b/>
          <w:bCs/>
          <w:color w:val="2B2620"/>
          <w:sz w:val="24"/>
          <w:szCs w:val="24"/>
        </w:rPr>
        <w:t xml:space="preserve">4.6 The table</w:t>
      </w:r>
    </w:p>
    <w:p>
      <w:pPr>
        <w:spacing w:after="140" w:line="276"/>
      </w:pPr>
      <w:r>
        <w:rPr>
          <w:rFonts w:ascii="Calibri" w:cs="Calibri" w:eastAsia="Calibri" w:hAnsi="Calibri"/>
          <w:color w:val="2B2620"/>
          <w:sz w:val="21"/>
          <w:szCs w:val="21"/>
        </w:rPr>
        <w:t xml:space="preserve">Every column header sorts. Click once for ascending, again for descending; a small arrow marks the sorted column and its direction.</w:t>
      </w:r>
    </w:p>
    <w:p>
      <w:pPr>
        <w:spacing w:after="140" w:line="276"/>
      </w:pPr>
      <w:r>
        <w:rPr>
          <w:rFonts w:ascii="Calibri" w:cs="Calibri" w:eastAsia="Calibri" w:hAnsi="Calibri"/>
          <w:color w:val="2B2620"/>
          <w:sz w:val="21"/>
          <w:szCs w:val="21"/>
        </w:rPr>
        <w:t xml:space="preserve">Sorting by Beds descending finds the large communities in a county quickly. Sorting by Type A descending puts the worst compliance records on top. Setting a reference pin switches the sort to distance automatically.</w:t>
      </w:r>
    </w:p>
    <w:p>
      <w:pPr>
        <w:spacing w:after="140" w:line="276"/>
      </w:pPr>
      <w:r>
        <w:rPr>
          <w:rFonts w:ascii="Calibri" w:cs="Calibri" w:eastAsia="Calibri" w:hAnsi="Calibri"/>
          <w:color w:val="2B2620"/>
          <w:sz w:val="21"/>
          <w:szCs w:val="21"/>
        </w:rPr>
        <w:t xml:space="preserve">The table displays the first 400 matching rows and states plainly when there are more. The cap keeps filtering responsive on large sets. Narrow the filters to see the rest, or export, which is never capped.</w:t>
      </w:r>
    </w:p>
    <w:p>
      <w:pPr>
        <w:pStyle w:val="Heading2"/>
        <w:spacing w:after="120" w:before="280"/>
      </w:pPr>
      <w:r>
        <w:rPr>
          <w:rFonts w:ascii="Calibri" w:cs="Calibri" w:eastAsia="Calibri" w:hAnsi="Calibri"/>
          <w:b/>
          <w:bCs/>
          <w:color w:val="2B2620"/>
          <w:sz w:val="24"/>
          <w:szCs w:val="24"/>
        </w:rPr>
        <w:t xml:space="preserve">4.7 Exporting and printing</w:t>
      </w:r>
    </w:p>
    <w:p>
      <w:pPr>
        <w:spacing w:after="140" w:line="276"/>
      </w:pPr>
      <w:r>
        <w:rPr>
          <w:rFonts w:ascii="Calibri" w:cs="Calibri" w:eastAsia="Calibri" w:hAnsi="Calibri"/>
          <w:b/>
          <w:bCs/>
          <w:color w:val="2B2620"/>
          <w:sz w:val="21"/>
          <w:szCs w:val="21"/>
        </w:rPr>
        <w:t xml:space="preserve">Export CSV</w:t>
      </w:r>
      <w:r>
        <w:rPr>
          <w:rFonts w:ascii="Calibri" w:cs="Calibri" w:eastAsia="Calibri" w:hAnsi="Calibri"/>
          <w:color w:val="2B2620"/>
          <w:sz w:val="21"/>
          <w:szCs w:val="21"/>
        </w:rPr>
        <w:t xml:space="preserve"> writes every row matching the current filters, in the order the table is currently sorted, ignoring the 400-row display limit. The file carries licensed beds, facility type, the full allegation breakdown, citation counts, distance, coordinates and location source.</w:t>
      </w:r>
    </w:p>
    <w:p>
      <w:pPr>
        <w:spacing w:after="140" w:line="276"/>
      </w:pPr>
      <w:r>
        <w:rPr>
          <w:rFonts w:ascii="Calibri" w:cs="Calibri" w:eastAsia="Calibri" w:hAnsi="Calibri"/>
          <w:b/>
          <w:bCs/>
          <w:color w:val="2B2620"/>
          <w:sz w:val="21"/>
          <w:szCs w:val="21"/>
        </w:rPr>
        <w:t xml:space="preserve">Print / Save as PDF</w:t>
      </w:r>
      <w:r>
        <w:rPr>
          <w:rFonts w:ascii="Calibri" w:cs="Calibri" w:eastAsia="Calibri" w:hAnsi="Calibri"/>
          <w:color w:val="2B2620"/>
          <w:sz w:val="21"/>
          <w:szCs w:val="21"/>
        </w:rPr>
        <w:t xml:space="preserve"> prints the map and table together and hides the controls, so the output is the content rather than the interface. It prints what is currently on screen, so filter first. In the browser print dialogue choose "Save as PDF" as the destination for a file rather than paper.</w:t>
      </w:r>
    </w:p>
    <w:p>
      <w:pPr>
        <w:pStyle w:val="Heading2"/>
        <w:spacing w:after="120" w:before="280"/>
      </w:pPr>
      <w:r>
        <w:rPr>
          <w:rFonts w:ascii="Calibri" w:cs="Calibri" w:eastAsia="Calibri" w:hAnsi="Calibri"/>
          <w:b/>
          <w:bCs/>
          <w:color w:val="2B2620"/>
          <w:sz w:val="24"/>
          <w:szCs w:val="24"/>
        </w:rPr>
        <w:t xml:space="preserve">4.8 What is remembered between sessions</w:t>
      </w:r>
    </w:p>
    <w:p>
      <w:pPr>
        <w:spacing w:after="140" w:line="276"/>
      </w:pPr>
      <w:r>
        <w:rPr>
          <w:rFonts w:ascii="Calibri" w:cs="Calibri" w:eastAsia="Calibri" w:hAnsi="Calibri"/>
          <w:color w:val="2B2620"/>
          <w:sz w:val="21"/>
          <w:szCs w:val="21"/>
        </w:rPr>
        <w:t xml:space="preserve">Close the browser, reopen the file, and you return to where you were. On load, a message states what was restored.</w:t>
      </w:r>
    </w:p>
    <w:p>
      <w:pPr>
        <w:spacing w:after="140" w:line="276"/>
      </w:pPr>
      <w:r>
        <w:rPr>
          <w:rFonts w:ascii="Calibri" w:cs="Calibri" w:eastAsia="Calibri" w:hAnsi="Calibri"/>
          <w:color w:val="2B2620"/>
          <w:sz w:val="21"/>
          <w:szCs w:val="21"/>
        </w:rPr>
        <w:t xml:space="preserve">Remembered: the loaded record set, every filter, the search text, the sort column and direction, the pin mode, and the reference pin. Street addresses imported from the Census step are remembered as well.</w:t>
      </w:r>
    </w:p>
    <w:p>
      <w:pPr>
        <w:spacing w:after="140" w:line="276"/>
      </w:pPr>
      <w:r>
        <w:rPr>
          <w:rFonts w:ascii="Calibri" w:cs="Calibri" w:eastAsia="Calibri" w:hAnsi="Calibri"/>
          <w:color w:val="2B2620"/>
          <w:sz w:val="21"/>
          <w:szCs w:val="21"/>
        </w:rPr>
        <w:t xml:space="preserve">On the reference dataset a saved session occupies roughly 2.9 MB, or 3.7 MB with street addresses imported of browser storage. Browsers typically allow about 5 MB, so a full session with street addresses leaves roughly 1.3 MB of headroom. This is the tightest of the three products; if it ever becomes a problem, the cleanest reduction is to stop persisting the citation-number text, which is the bulkiest single field.</w:t>
      </w:r>
    </w:p>
    <w:p>
      <w:pPr>
        <w:spacing w:after="140" w:line="276"/>
      </w:pPr>
      <w:r>
        <w:rPr>
          <w:rFonts w:ascii="Calibri" w:cs="Calibri" w:eastAsia="Calibri" w:hAnsi="Calibri"/>
          <w:color w:val="2B2620"/>
          <w:sz w:val="21"/>
          <w:szCs w:val="21"/>
        </w:rPr>
        <w:t xml:space="preserve">Saved data belongs to one browser and one file location. A different browser, a different computer, or a copy of the file in another folder starts fresh. If storage is unavailable or full, the software says so in plain language and continues to work normally in every respect except persistence.</w:t>
      </w:r>
    </w:p>
    <w:p>
      <w:r>
        <w:br w:type="page"/>
      </w:r>
    </w:p>
    <w:p>
      <w:pPr>
        <w:pStyle w:val="Heading1"/>
        <w:spacing w:after="160" w:before="360"/>
      </w:pPr>
      <w:r>
        <w:rPr>
          <w:rFonts w:ascii="Calibri" w:cs="Calibri" w:eastAsia="Calibri" w:hAnsi="Calibri"/>
          <w:b/>
          <w:bCs/>
          <w:color w:val="1F5F74"/>
          <w:sz w:val="30"/>
          <w:szCs w:val="30"/>
        </w:rPr>
        <w:t xml:space="preserve">5. Use-Case Walkthroughs</w:t>
      </w:r>
    </w:p>
    <w:p>
      <w:pPr>
        <w:spacing w:after="140" w:line="276"/>
      </w:pPr>
      <w:r>
        <w:rPr>
          <w:rFonts w:ascii="Calibri" w:cs="Calibri" w:eastAsia="Calibri" w:hAnsi="Calibri"/>
          <w:color w:val="2B2620"/>
          <w:sz w:val="21"/>
          <w:szCs w:val="21"/>
        </w:rPr>
        <w:t xml:space="preserve">Each walkthrough states a goal, gives the steps, and then explains how to read the result. The reading matters as much as the steps: these datasets reward care in interpretation, and the most common mistake is treating a number on screen as more definite than the underlying record supports.</w:t>
      </w:r>
    </w:p>
    <w:p>
      <w:pPr>
        <w:pStyle w:val="Heading2"/>
        <w:spacing w:after="120" w:before="280"/>
      </w:pPr>
      <w:r>
        <w:rPr>
          <w:rFonts w:ascii="Calibri" w:cs="Calibri" w:eastAsia="Calibri" w:hAnsi="Calibri"/>
          <w:b/>
          <w:bCs/>
          <w:color w:val="2B2620"/>
          <w:sz w:val="24"/>
          <w:szCs w:val="24"/>
        </w:rPr>
        <w:t xml:space="preserve">5.1 Counting beds in a market, not just facilities</w:t>
      </w:r>
    </w:p>
    <w:p>
      <w:pPr>
        <w:spacing w:after="140" w:line="276"/>
      </w:pPr>
      <w:r>
        <w:rPr>
          <w:rFonts w:ascii="Calibri" w:cs="Calibri" w:eastAsia="Calibri" w:hAnsi="Calibri"/>
          <w:b/>
          <w:bCs/>
          <w:color w:val="2B2620"/>
          <w:sz w:val="21"/>
          <w:szCs w:val="21"/>
        </w:rPr>
        <w:t xml:space="preserve">Goal.</w:t>
      </w:r>
      <w:r>
        <w:rPr>
          <w:rFonts w:ascii="Calibri" w:cs="Calibri" w:eastAsia="Calibri" w:hAnsi="Calibri"/>
          <w:color w:val="2B2620"/>
          <w:sz w:val="21"/>
          <w:szCs w:val="21"/>
        </w:rPr>
        <w:t xml:space="preserve"> You want to know the supply of licensed beds in a county, and how it splits between small homes and large communities.</w:t>
      </w:r>
    </w:p>
    <w:p>
      <w:pPr>
        <w:pStyle w:val="Heading3"/>
        <w:spacing w:after="100" w:before="220"/>
      </w:pPr>
      <w:r>
        <w:rPr>
          <w:rFonts w:ascii="Calibri" w:cs="Calibri" w:eastAsia="Calibri" w:hAnsi="Calibri"/>
          <w:b/>
          <w:bCs/>
          <w:color w:val="6B6156"/>
          <w:sz w:val="21"/>
          <w:szCs w:val="21"/>
        </w:rPr>
        <w:t xml:space="preserve">Steps</w:t>
      </w:r>
    </w:p>
    <w:p>
      <w:pPr>
        <w:pStyle w:val="ListParagraph"/>
        <w:numPr>
          <w:ilvl w:val="0"/>
          <w:numId w:val="5"/>
        </w:numPr>
        <w:spacing w:after="100" w:line="276"/>
      </w:pPr>
      <w:r>
        <w:rPr>
          <w:rFonts w:ascii="Calibri" w:cs="Calibri" w:eastAsia="Calibri" w:hAnsi="Calibri"/>
          <w:color w:val="2B2620"/>
          <w:sz w:val="21"/>
          <w:szCs w:val="21"/>
        </w:rPr>
        <w:t xml:space="preserve">Load the CDSS file and select your county.</w:t>
      </w:r>
    </w:p>
    <w:p>
      <w:pPr>
        <w:pStyle w:val="ListParagraph"/>
        <w:numPr>
          <w:ilvl w:val="0"/>
          <w:numId w:val="5"/>
        </w:numPr>
        <w:spacing w:after="100" w:line="276"/>
      </w:pPr>
      <w:r>
        <w:rPr>
          <w:rFonts w:ascii="Calibri" w:cs="Calibri" w:eastAsia="Calibri" w:hAnsi="Calibri"/>
          <w:color w:val="2B2620"/>
          <w:sz w:val="21"/>
          <w:szCs w:val="21"/>
        </w:rPr>
        <w:t xml:space="preserve">Note the facility count, then hover the city pins to read total licensed beds per city.</w:t>
      </w:r>
    </w:p>
    <w:p>
      <w:pPr>
        <w:pStyle w:val="ListParagraph"/>
        <w:numPr>
          <w:ilvl w:val="0"/>
          <w:numId w:val="5"/>
        </w:numPr>
        <w:spacing w:after="100" w:line="276"/>
      </w:pPr>
      <w:r>
        <w:rPr>
          <w:rFonts w:ascii="Calibri" w:cs="Calibri" w:eastAsia="Calibri" w:hAnsi="Calibri"/>
          <w:color w:val="2B2620"/>
          <w:sz w:val="21"/>
          <w:szCs w:val="21"/>
        </w:rPr>
        <w:t xml:space="preserve">Open the </w:t>
      </w:r>
      <w:r>
        <w:rPr>
          <w:rFonts w:ascii="Calibri" w:cs="Calibri" w:eastAsia="Calibri" w:hAnsi="Calibri"/>
          <w:b/>
          <w:bCs/>
          <w:color w:val="2B2620"/>
          <w:sz w:val="21"/>
          <w:szCs w:val="21"/>
        </w:rPr>
        <w:t xml:space="preserve">Size</w:t>
      </w:r>
      <w:r>
        <w:rPr>
          <w:rFonts w:ascii="Calibri" w:cs="Calibri" w:eastAsia="Calibri" w:hAnsi="Calibri"/>
          <w:color w:val="2B2620"/>
          <w:sz w:val="21"/>
          <w:szCs w:val="21"/>
        </w:rPr>
        <w:t xml:space="preserve"> filter and select </w:t>
      </w:r>
      <w:r>
        <w:rPr>
          <w:rFonts w:ascii="Calibri" w:cs="Calibri" w:eastAsia="Calibri" w:hAnsi="Calibri"/>
          <w:b/>
          <w:bCs/>
          <w:color w:val="2B2620"/>
          <w:sz w:val="21"/>
          <w:szCs w:val="21"/>
        </w:rPr>
        <w:t xml:space="preserve">100 beds or more</w:t>
      </w:r>
      <w:r>
        <w:rPr>
          <w:rFonts w:ascii="Calibri" w:cs="Calibri" w:eastAsia="Calibri" w:hAnsi="Calibri"/>
          <w:color w:val="2B2620"/>
          <w:sz w:val="21"/>
          <w:szCs w:val="21"/>
        </w:rPr>
        <w:t xml:space="preserve">. The count is now large communities only.</w:t>
      </w:r>
    </w:p>
    <w:p>
      <w:pPr>
        <w:pStyle w:val="ListParagraph"/>
        <w:numPr>
          <w:ilvl w:val="0"/>
          <w:numId w:val="5"/>
        </w:numPr>
        <w:spacing w:after="100" w:line="276"/>
      </w:pPr>
      <w:r>
        <w:rPr>
          <w:rFonts w:ascii="Calibri" w:cs="Calibri" w:eastAsia="Calibri" w:hAnsi="Calibri"/>
          <w:color w:val="2B2620"/>
          <w:sz w:val="21"/>
          <w:szCs w:val="21"/>
        </w:rPr>
        <w:t xml:space="preserve">Clear that and select </w:t>
      </w:r>
      <w:r>
        <w:rPr>
          <w:rFonts w:ascii="Calibri" w:cs="Calibri" w:eastAsia="Calibri" w:hAnsi="Calibri"/>
          <w:b/>
          <w:bCs/>
          <w:color w:val="2B2620"/>
          <w:sz w:val="21"/>
          <w:szCs w:val="21"/>
        </w:rPr>
        <w:t xml:space="preserve">1 to 6 beds</w:t>
      </w:r>
      <w:r>
        <w:rPr>
          <w:rFonts w:ascii="Calibri" w:cs="Calibri" w:eastAsia="Calibri" w:hAnsi="Calibri"/>
          <w:color w:val="2B2620"/>
          <w:sz w:val="21"/>
          <w:szCs w:val="21"/>
        </w:rPr>
        <w:t xml:space="preserve"> instead for the board and care segment.</w:t>
      </w:r>
    </w:p>
    <w:p>
      <w:pPr>
        <w:pStyle w:val="ListParagraph"/>
        <w:numPr>
          <w:ilvl w:val="0"/>
          <w:numId w:val="5"/>
        </w:numPr>
        <w:spacing w:after="100" w:line="276"/>
      </w:pPr>
      <w:r>
        <w:rPr>
          <w:rFonts w:ascii="Calibri" w:cs="Calibri" w:eastAsia="Calibri" w:hAnsi="Calibri"/>
          <w:color w:val="2B2620"/>
          <w:sz w:val="21"/>
          <w:szCs w:val="21"/>
        </w:rPr>
        <w:t xml:space="preserve">Export each segment separately if you need the underlying lists.</w:t>
      </w:r>
    </w:p>
    <w:p>
      <w:pPr>
        <w:pStyle w:val="Heading3"/>
        <w:spacing w:after="100" w:before="220"/>
      </w:pPr>
      <w:r>
        <w:rPr>
          <w:rFonts w:ascii="Calibri" w:cs="Calibri" w:eastAsia="Calibri" w:hAnsi="Calibri"/>
          <w:b/>
          <w:bCs/>
          <w:color w:val="6B6156"/>
          <w:sz w:val="21"/>
          <w:szCs w:val="21"/>
        </w:rPr>
        <w:t xml:space="preserve">Reading the result</w:t>
      </w:r>
    </w:p>
    <w:p>
      <w:pPr>
        <w:spacing w:after="140" w:line="276"/>
      </w:pPr>
      <w:r>
        <w:rPr>
          <w:rFonts w:ascii="Calibri" w:cs="Calibri" w:eastAsia="Calibri" w:hAnsi="Calibri"/>
          <w:color w:val="2B2620"/>
          <w:sz w:val="21"/>
          <w:szCs w:val="21"/>
        </w:rPr>
        <w:t xml:space="preserve">These are two different businesses competing for different residents, at different price points, with different staffing models. A county with 60 facilities that are almost all six-bed homes is a very different market from one with 20 facilities averaging 90 beds, even though the bed totals may be similar.</w:t>
      </w:r>
    </w:p>
    <w:p>
      <w:pPr>
        <w:pStyle w:val="Heading2"/>
        <w:spacing w:after="120" w:before="280"/>
      </w:pPr>
      <w:r>
        <w:rPr>
          <w:rFonts w:ascii="Calibri" w:cs="Calibri" w:eastAsia="Calibri" w:hAnsi="Calibri"/>
          <w:b/>
          <w:bCs/>
          <w:color w:val="2B2620"/>
          <w:sz w:val="24"/>
          <w:szCs w:val="24"/>
        </w:rPr>
        <w:t xml:space="preserve">5.2 Finding an underserved size segment</w:t>
      </w:r>
    </w:p>
    <w:p>
      <w:pPr>
        <w:spacing w:after="140" w:line="276"/>
      </w:pPr>
      <w:r>
        <w:rPr>
          <w:rFonts w:ascii="Calibri" w:cs="Calibri" w:eastAsia="Calibri" w:hAnsi="Calibri"/>
          <w:b/>
          <w:bCs/>
          <w:color w:val="2B2620"/>
          <w:sz w:val="21"/>
          <w:szCs w:val="21"/>
        </w:rPr>
        <w:t xml:space="preserve">Goal.</w:t>
      </w:r>
      <w:r>
        <w:rPr>
          <w:rFonts w:ascii="Calibri" w:cs="Calibri" w:eastAsia="Calibri" w:hAnsi="Calibri"/>
          <w:color w:val="2B2620"/>
          <w:sz w:val="21"/>
          <w:szCs w:val="21"/>
        </w:rPr>
        <w:t xml:space="preserve"> You are considering what size of facility to open, and where.</w:t>
      </w:r>
    </w:p>
    <w:p>
      <w:pPr>
        <w:pStyle w:val="Heading3"/>
        <w:spacing w:after="100" w:before="220"/>
      </w:pPr>
      <w:r>
        <w:rPr>
          <w:rFonts w:ascii="Calibri" w:cs="Calibri" w:eastAsia="Calibri" w:hAnsi="Calibri"/>
          <w:b/>
          <w:bCs/>
          <w:color w:val="6B6156"/>
          <w:sz w:val="21"/>
          <w:szCs w:val="21"/>
        </w:rPr>
        <w:t xml:space="preserve">Steps</w:t>
      </w:r>
    </w:p>
    <w:p>
      <w:pPr>
        <w:pStyle w:val="ListParagraph"/>
        <w:numPr>
          <w:ilvl w:val="0"/>
          <w:numId w:val="6"/>
        </w:numPr>
        <w:spacing w:after="100" w:line="276"/>
      </w:pPr>
      <w:r>
        <w:rPr>
          <w:rFonts w:ascii="Calibri" w:cs="Calibri" w:eastAsia="Calibri" w:hAnsi="Calibri"/>
          <w:color w:val="2B2620"/>
          <w:sz w:val="21"/>
          <w:szCs w:val="21"/>
        </w:rPr>
        <w:t xml:space="preserve">Load the CDSS file.</w:t>
      </w:r>
    </w:p>
    <w:p>
      <w:pPr>
        <w:pStyle w:val="ListParagraph"/>
        <w:numPr>
          <w:ilvl w:val="0"/>
          <w:numId w:val="6"/>
        </w:numPr>
        <w:spacing w:after="100" w:line="276"/>
      </w:pPr>
      <w:r>
        <w:rPr>
          <w:rFonts w:ascii="Calibri" w:cs="Calibri" w:eastAsia="Calibri" w:hAnsi="Calibri"/>
          <w:color w:val="2B2620"/>
          <w:sz w:val="21"/>
          <w:szCs w:val="21"/>
        </w:rPr>
        <w:t xml:space="preserve">Select a </w:t>
      </w:r>
      <w:r>
        <w:rPr>
          <w:rFonts w:ascii="Calibri" w:cs="Calibri" w:eastAsia="Calibri" w:hAnsi="Calibri"/>
          <w:b/>
          <w:bCs/>
          <w:color w:val="2B2620"/>
          <w:sz w:val="21"/>
          <w:szCs w:val="21"/>
        </w:rPr>
        <w:t xml:space="preserve">Size</w:t>
      </w:r>
      <w:r>
        <w:rPr>
          <w:rFonts w:ascii="Calibri" w:cs="Calibri" w:eastAsia="Calibri" w:hAnsi="Calibri"/>
          <w:color w:val="2B2620"/>
          <w:sz w:val="21"/>
          <w:szCs w:val="21"/>
        </w:rPr>
        <w:t xml:space="preserve"> band, for example 16 to 49 beds.</w:t>
      </w:r>
    </w:p>
    <w:p>
      <w:pPr>
        <w:pStyle w:val="ListParagraph"/>
        <w:numPr>
          <w:ilvl w:val="0"/>
          <w:numId w:val="6"/>
        </w:numPr>
        <w:spacing w:after="100" w:line="276"/>
      </w:pPr>
      <w:r>
        <w:rPr>
          <w:rFonts w:ascii="Calibri" w:cs="Calibri" w:eastAsia="Calibri" w:hAnsi="Calibri"/>
          <w:color w:val="2B2620"/>
          <w:sz w:val="21"/>
          <w:szCs w:val="21"/>
        </w:rPr>
        <w:t xml:space="preserve">Leave the county filter open and look at the statewide map. Sparse regions are visible immediately.</w:t>
      </w:r>
    </w:p>
    <w:p>
      <w:pPr>
        <w:pStyle w:val="ListParagraph"/>
        <w:numPr>
          <w:ilvl w:val="0"/>
          <w:numId w:val="6"/>
        </w:numPr>
        <w:spacing w:after="100" w:line="276"/>
      </w:pPr>
      <w:r>
        <w:rPr>
          <w:rFonts w:ascii="Calibri" w:cs="Calibri" w:eastAsia="Calibri" w:hAnsi="Calibri"/>
          <w:color w:val="2B2620"/>
          <w:sz w:val="21"/>
          <w:szCs w:val="21"/>
        </w:rPr>
        <w:t xml:space="preserve">Select a promising county and read the facility count for that band.</w:t>
      </w:r>
    </w:p>
    <w:p>
      <w:pPr>
        <w:pStyle w:val="ListParagraph"/>
        <w:numPr>
          <w:ilvl w:val="0"/>
          <w:numId w:val="6"/>
        </w:numPr>
        <w:spacing w:after="100" w:line="276"/>
      </w:pPr>
      <w:r>
        <w:rPr>
          <w:rFonts w:ascii="Calibri" w:cs="Calibri" w:eastAsia="Calibri" w:hAnsi="Calibri"/>
          <w:color w:val="2B2620"/>
          <w:sz w:val="21"/>
          <w:szCs w:val="21"/>
        </w:rPr>
        <w:t xml:space="preserve">Clear the size filter and compare against the county total to see what share that band represents.</w:t>
      </w:r>
    </w:p>
    <w:p>
      <w:pPr>
        <w:pStyle w:val="Heading3"/>
        <w:spacing w:after="100" w:before="220"/>
      </w:pPr>
      <w:r>
        <w:rPr>
          <w:rFonts w:ascii="Calibri" w:cs="Calibri" w:eastAsia="Calibri" w:hAnsi="Calibri"/>
          <w:b/>
          <w:bCs/>
          <w:color w:val="6B6156"/>
          <w:sz w:val="21"/>
          <w:szCs w:val="21"/>
        </w:rPr>
        <w:t xml:space="preserve">Reading the result</w:t>
      </w:r>
    </w:p>
    <w:p>
      <w:pPr>
        <w:spacing w:after="140" w:line="276"/>
      </w:pPr>
      <w:r>
        <w:rPr>
          <w:rFonts w:ascii="Calibri" w:cs="Calibri" w:eastAsia="Calibri" w:hAnsi="Calibri"/>
          <w:color w:val="2B2620"/>
          <w:sz w:val="21"/>
          <w:szCs w:val="21"/>
        </w:rPr>
        <w:t xml:space="preserve">A thin band in a populous county may be a genuine gap or may reflect a regulatory or economic reason that band does not work there. The map raises the question; it does not answer it.</w:t>
      </w:r>
    </w:p>
    <w:p>
      <w:pPr>
        <w:pStyle w:val="Heading2"/>
        <w:spacing w:after="120" w:before="280"/>
      </w:pPr>
      <w:r>
        <w:rPr>
          <w:rFonts w:ascii="Calibri" w:cs="Calibri" w:eastAsia="Calibri" w:hAnsi="Calibri"/>
          <w:b/>
          <w:bCs/>
          <w:color w:val="2B2620"/>
          <w:sz w:val="24"/>
          <w:szCs w:val="24"/>
        </w:rPr>
        <w:t xml:space="preserve">5.3 Reviewing enforcement history before an acquisition</w:t>
      </w:r>
    </w:p>
    <w:p>
      <w:pPr>
        <w:spacing w:after="140" w:line="276"/>
      </w:pPr>
      <w:r>
        <w:rPr>
          <w:rFonts w:ascii="Calibri" w:cs="Calibri" w:eastAsia="Calibri" w:hAnsi="Calibri"/>
          <w:b/>
          <w:bCs/>
          <w:color w:val="2B2620"/>
          <w:sz w:val="21"/>
          <w:szCs w:val="21"/>
        </w:rPr>
        <w:t xml:space="preserve">Goal.</w:t>
      </w:r>
      <w:r>
        <w:rPr>
          <w:rFonts w:ascii="Calibri" w:cs="Calibri" w:eastAsia="Calibri" w:hAnsi="Calibri"/>
          <w:color w:val="2B2620"/>
          <w:sz w:val="21"/>
          <w:szCs w:val="21"/>
        </w:rPr>
        <w:t xml:space="preserve"> You are evaluating a facility or a group of facilities and want their compliance record in context.</w:t>
      </w:r>
    </w:p>
    <w:p>
      <w:pPr>
        <w:pStyle w:val="Heading3"/>
        <w:spacing w:after="100" w:before="220"/>
      </w:pPr>
      <w:r>
        <w:rPr>
          <w:rFonts w:ascii="Calibri" w:cs="Calibri" w:eastAsia="Calibri" w:hAnsi="Calibri"/>
          <w:b/>
          <w:bCs/>
          <w:color w:val="6B6156"/>
          <w:sz w:val="21"/>
          <w:szCs w:val="21"/>
        </w:rPr>
        <w:t xml:space="preserve">Steps</w:t>
      </w:r>
    </w:p>
    <w:p>
      <w:pPr>
        <w:pStyle w:val="ListParagraph"/>
        <w:numPr>
          <w:ilvl w:val="0"/>
          <w:numId w:val="7"/>
        </w:numPr>
        <w:spacing w:after="100" w:line="276"/>
      </w:pPr>
      <w:r>
        <w:rPr>
          <w:rFonts w:ascii="Calibri" w:cs="Calibri" w:eastAsia="Calibri" w:hAnsi="Calibri"/>
          <w:color w:val="2B2620"/>
          <w:sz w:val="21"/>
          <w:szCs w:val="21"/>
        </w:rPr>
        <w:t xml:space="preserve">Load the CDSS file.</w:t>
      </w:r>
    </w:p>
    <w:p>
      <w:pPr>
        <w:pStyle w:val="ListParagraph"/>
        <w:numPr>
          <w:ilvl w:val="0"/>
          <w:numId w:val="7"/>
        </w:numPr>
        <w:spacing w:after="100" w:line="276"/>
      </w:pPr>
      <w:r>
        <w:rPr>
          <w:rFonts w:ascii="Calibri" w:cs="Calibri" w:eastAsia="Calibri" w:hAnsi="Calibri"/>
          <w:color w:val="2B2620"/>
          <w:sz w:val="21"/>
          <w:szCs w:val="21"/>
        </w:rPr>
        <w:t xml:space="preserve">Type the facility or licensee name into the search box.</w:t>
      </w:r>
    </w:p>
    <w:p>
      <w:pPr>
        <w:pStyle w:val="ListParagraph"/>
        <w:numPr>
          <w:ilvl w:val="0"/>
          <w:numId w:val="7"/>
        </w:numPr>
        <w:spacing w:after="100" w:line="276"/>
      </w:pPr>
      <w:r>
        <w:rPr>
          <w:rFonts w:ascii="Calibri" w:cs="Calibri" w:eastAsia="Calibri" w:hAnsi="Calibri"/>
          <w:color w:val="2B2620"/>
          <w:sz w:val="21"/>
          <w:szCs w:val="21"/>
        </w:rPr>
        <w:t xml:space="preserve">Read the Type A, Type B, Complaints and Substantiated columns for each match.</w:t>
      </w:r>
    </w:p>
    <w:p>
      <w:pPr>
        <w:pStyle w:val="ListParagraph"/>
        <w:numPr>
          <w:ilvl w:val="0"/>
          <w:numId w:val="7"/>
        </w:numPr>
        <w:spacing w:after="100" w:line="276"/>
      </w:pPr>
      <w:r>
        <w:rPr>
          <w:rFonts w:ascii="Calibri" w:cs="Calibri" w:eastAsia="Calibri" w:hAnsi="Calibri"/>
          <w:color w:val="2B2620"/>
          <w:sz w:val="21"/>
          <w:szCs w:val="21"/>
        </w:rPr>
        <w:t xml:space="preserve">Hover the Citations count to see the citation numbers in full.</w:t>
      </w:r>
    </w:p>
    <w:p>
      <w:pPr>
        <w:pStyle w:val="ListParagraph"/>
        <w:numPr>
          <w:ilvl w:val="0"/>
          <w:numId w:val="7"/>
        </w:numPr>
        <w:spacing w:after="100" w:line="276"/>
      </w:pPr>
      <w:r>
        <w:rPr>
          <w:rFonts w:ascii="Calibri" w:cs="Calibri" w:eastAsia="Calibri" w:hAnsi="Calibri"/>
          <w:color w:val="2B2620"/>
          <w:sz w:val="21"/>
          <w:szCs w:val="21"/>
        </w:rPr>
        <w:t xml:space="preserve">Filter to the same county and sort by Type A descending to see where the target sits relative to its neighbours.</w:t>
      </w:r>
    </w:p>
    <w:p>
      <w:pPr>
        <w:pStyle w:val="Heading3"/>
        <w:spacing w:after="100" w:before="220"/>
      </w:pPr>
      <w:r>
        <w:rPr>
          <w:rFonts w:ascii="Calibri" w:cs="Calibri" w:eastAsia="Calibri" w:hAnsi="Calibri"/>
          <w:b/>
          <w:bCs/>
          <w:color w:val="6B6156"/>
          <w:sz w:val="21"/>
          <w:szCs w:val="21"/>
        </w:rPr>
        <w:t xml:space="preserve">Reading the result</w:t>
      </w:r>
    </w:p>
    <w:p>
      <w:pPr>
        <w:spacing w:after="140" w:line="276"/>
      </w:pPr>
      <w:r>
        <w:rPr>
          <w:rFonts w:ascii="Calibri" w:cs="Calibri" w:eastAsia="Calibri" w:hAnsi="Calibri"/>
          <w:color w:val="2B2620"/>
          <w:sz w:val="21"/>
          <w:szCs w:val="21"/>
        </w:rPr>
        <w:t xml:space="preserve">Context matters more than the raw number. A facility with three citations in a county where the median is four is unremarkable; the same three in a county where most facilities have none is worth asking about. Note also that a licensee may hold several facilities, which the search will surface together.</w:t>
      </w:r>
    </w:p>
    <w:p>
      <w:pPr>
        <w:pStyle w:val="Heading2"/>
        <w:spacing w:after="120" w:before="280"/>
      </w:pPr>
      <w:r>
        <w:rPr>
          <w:rFonts w:ascii="Calibri" w:cs="Calibri" w:eastAsia="Calibri" w:hAnsi="Calibri"/>
          <w:b/>
          <w:bCs/>
          <w:color w:val="2B2620"/>
          <w:sz w:val="24"/>
          <w:szCs w:val="24"/>
        </w:rPr>
        <w:t xml:space="preserve">5.4 Mapping competitors near a specific site</w:t>
      </w:r>
    </w:p>
    <w:p>
      <w:pPr>
        <w:spacing w:after="140" w:line="276"/>
      </w:pPr>
      <w:r>
        <w:rPr>
          <w:rFonts w:ascii="Calibri" w:cs="Calibri" w:eastAsia="Calibri" w:hAnsi="Calibri"/>
          <w:b/>
          <w:bCs/>
          <w:color w:val="2B2620"/>
          <w:sz w:val="21"/>
          <w:szCs w:val="21"/>
        </w:rPr>
        <w:t xml:space="preserve">Goal.</w:t>
      </w:r>
      <w:r>
        <w:rPr>
          <w:rFonts w:ascii="Calibri" w:cs="Calibri" w:eastAsia="Calibri" w:hAnsi="Calibri"/>
          <w:color w:val="2B2620"/>
          <w:sz w:val="21"/>
          <w:szCs w:val="21"/>
        </w:rPr>
        <w:t xml:space="preserve"> You have a site and want the nearest competitors ranked, with their sizes visible.</w:t>
      </w:r>
    </w:p>
    <w:p>
      <w:pPr>
        <w:pStyle w:val="Heading3"/>
        <w:spacing w:after="100" w:before="220"/>
      </w:pPr>
      <w:r>
        <w:rPr>
          <w:rFonts w:ascii="Calibri" w:cs="Calibri" w:eastAsia="Calibri" w:hAnsi="Calibri"/>
          <w:b/>
          <w:bCs/>
          <w:color w:val="6B6156"/>
          <w:sz w:val="21"/>
          <w:szCs w:val="21"/>
        </w:rPr>
        <w:t xml:space="preserve">Steps</w:t>
      </w:r>
    </w:p>
    <w:p>
      <w:pPr>
        <w:pStyle w:val="ListParagraph"/>
        <w:numPr>
          <w:ilvl w:val="0"/>
          <w:numId w:val="8"/>
        </w:numPr>
        <w:spacing w:after="100" w:line="276"/>
      </w:pPr>
      <w:r>
        <w:rPr>
          <w:rFonts w:ascii="Calibri" w:cs="Calibri" w:eastAsia="Calibri" w:hAnsi="Calibri"/>
          <w:color w:val="2B2620"/>
          <w:sz w:val="21"/>
          <w:szCs w:val="21"/>
        </w:rPr>
        <w:t xml:space="preserve">Load the CDSS file.</w:t>
      </w:r>
    </w:p>
    <w:p>
      <w:pPr>
        <w:pStyle w:val="ListParagraph"/>
        <w:numPr>
          <w:ilvl w:val="0"/>
          <w:numId w:val="8"/>
        </w:numPr>
        <w:spacing w:after="100" w:line="276"/>
      </w:pPr>
      <w:r>
        <w:rPr>
          <w:rFonts w:ascii="Calibri" w:cs="Calibri" w:eastAsia="Calibri" w:hAnsi="Calibri"/>
          <w:color w:val="2B2620"/>
          <w:sz w:val="21"/>
          <w:szCs w:val="21"/>
        </w:rPr>
        <w:t xml:space="preserve">Enter the address, city or ZIP in </w:t>
      </w:r>
      <w:r>
        <w:rPr>
          <w:rFonts w:ascii="Calibri" w:cs="Calibri" w:eastAsia="Calibri" w:hAnsi="Calibri"/>
          <w:b/>
          <w:bCs/>
          <w:color w:val="2B2620"/>
          <w:sz w:val="21"/>
          <w:szCs w:val="21"/>
        </w:rPr>
        <w:t xml:space="preserve">Reference location</w:t>
      </w:r>
      <w:r>
        <w:rPr>
          <w:rFonts w:ascii="Calibri" w:cs="Calibri" w:eastAsia="Calibri" w:hAnsi="Calibri"/>
          <w:color w:val="2B2620"/>
          <w:sz w:val="21"/>
          <w:szCs w:val="21"/>
        </w:rPr>
        <w:t xml:space="preserve"> and click </w:t>
      </w:r>
      <w:r>
        <w:rPr>
          <w:rFonts w:ascii="Calibri" w:cs="Calibri" w:eastAsia="Calibri" w:hAnsi="Calibri"/>
          <w:b/>
          <w:bCs/>
          <w:color w:val="2B2620"/>
          <w:sz w:val="21"/>
          <w:szCs w:val="21"/>
        </w:rPr>
        <w:t xml:space="preserve">Set reference pin</w:t>
      </w:r>
      <w:r>
        <w:rPr>
          <w:rFonts w:ascii="Calibri" w:cs="Calibri" w:eastAsia="Calibri" w:hAnsi="Calibri"/>
          <w:color w:val="2B2620"/>
          <w:sz w:val="21"/>
          <w:szCs w:val="21"/>
        </w:rPr>
        <w:t xml:space="preserve">.</w:t>
      </w:r>
    </w:p>
    <w:p>
      <w:pPr>
        <w:pStyle w:val="ListParagraph"/>
        <w:numPr>
          <w:ilvl w:val="0"/>
          <w:numId w:val="8"/>
        </w:numPr>
        <w:spacing w:after="100" w:line="276"/>
      </w:pPr>
      <w:r>
        <w:rPr>
          <w:rFonts w:ascii="Calibri" w:cs="Calibri" w:eastAsia="Calibri" w:hAnsi="Calibri"/>
          <w:color w:val="2B2620"/>
          <w:sz w:val="21"/>
          <w:szCs w:val="21"/>
        </w:rPr>
        <w:t xml:space="preserve">Filter to the surrounding county.</w:t>
      </w:r>
    </w:p>
    <w:p>
      <w:pPr>
        <w:pStyle w:val="ListParagraph"/>
        <w:numPr>
          <w:ilvl w:val="0"/>
          <w:numId w:val="8"/>
        </w:numPr>
        <w:spacing w:after="100" w:line="276"/>
      </w:pPr>
      <w:r>
        <w:rPr>
          <w:rFonts w:ascii="Calibri" w:cs="Calibri" w:eastAsia="Calibri" w:hAnsi="Calibri"/>
          <w:color w:val="2B2620"/>
          <w:sz w:val="21"/>
          <w:szCs w:val="21"/>
        </w:rPr>
        <w:t xml:space="preserve">Switch </w:t>
      </w:r>
      <w:r>
        <w:rPr>
          <w:rFonts w:ascii="Calibri" w:cs="Calibri" w:eastAsia="Calibri" w:hAnsi="Calibri"/>
          <w:b/>
          <w:bCs/>
          <w:color w:val="2B2620"/>
          <w:sz w:val="21"/>
          <w:szCs w:val="21"/>
        </w:rPr>
        <w:t xml:space="preserve">Pins</w:t>
      </w:r>
      <w:r>
        <w:rPr>
          <w:rFonts w:ascii="Calibri" w:cs="Calibri" w:eastAsia="Calibri" w:hAnsi="Calibri"/>
          <w:color w:val="2B2620"/>
          <w:sz w:val="21"/>
          <w:szCs w:val="21"/>
        </w:rPr>
        <w:t xml:space="preserve"> to </w:t>
      </w:r>
      <w:r>
        <w:rPr>
          <w:rFonts w:ascii="Calibri" w:cs="Calibri" w:eastAsia="Calibri" w:hAnsi="Calibri"/>
          <w:b/>
          <w:bCs/>
          <w:color w:val="2B2620"/>
          <w:sz w:val="21"/>
          <w:szCs w:val="21"/>
        </w:rPr>
        <w:t xml:space="preserve">One per facility</w:t>
      </w:r>
      <w:r>
        <w:rPr>
          <w:rFonts w:ascii="Calibri" w:cs="Calibri" w:eastAsia="Calibri" w:hAnsi="Calibri"/>
          <w:color w:val="2B2620"/>
          <w:sz w:val="21"/>
          <w:szCs w:val="21"/>
        </w:rPr>
        <w:t xml:space="preserve">.</w:t>
      </w:r>
    </w:p>
    <w:p>
      <w:pPr>
        <w:pStyle w:val="ListParagraph"/>
        <w:numPr>
          <w:ilvl w:val="0"/>
          <w:numId w:val="8"/>
        </w:numPr>
        <w:spacing w:after="100" w:line="276"/>
      </w:pPr>
      <w:r>
        <w:rPr>
          <w:rFonts w:ascii="Calibri" w:cs="Calibri" w:eastAsia="Calibri" w:hAnsi="Calibri"/>
          <w:color w:val="2B2620"/>
          <w:sz w:val="21"/>
          <w:szCs w:val="21"/>
        </w:rPr>
        <w:t xml:space="preserve">Read the map: pin size shows scale, colour shows compliance, and the table below is sorted nearest first.</w:t>
      </w:r>
    </w:p>
    <w:p>
      <w:pPr>
        <w:pStyle w:val="Heading3"/>
        <w:spacing w:after="100" w:before="220"/>
      </w:pPr>
      <w:r>
        <w:rPr>
          <w:rFonts w:ascii="Calibri" w:cs="Calibri" w:eastAsia="Calibri" w:hAnsi="Calibri"/>
          <w:b/>
          <w:bCs/>
          <w:color w:val="6B6156"/>
          <w:sz w:val="21"/>
          <w:szCs w:val="21"/>
        </w:rPr>
        <w:t xml:space="preserve">Reading the result</w:t>
      </w:r>
    </w:p>
    <w:p>
      <w:pPr>
        <w:spacing w:after="140" w:line="276"/>
      </w:pPr>
      <w:r>
        <w:rPr>
          <w:rFonts w:ascii="Calibri" w:cs="Calibri" w:eastAsia="Calibri" w:hAnsi="Calibri"/>
          <w:color w:val="2B2620"/>
          <w:sz w:val="21"/>
          <w:szCs w:val="21"/>
        </w:rPr>
        <w:t xml:space="preserve">This is the view the tool was designed around. Straight-line distance is a ranking, not a travel estimate. Without the Census address step, facilities sharing a ZIP code share a coordinate and therefore a distance.</w:t>
      </w:r>
    </w:p>
    <w:p>
      <w:r>
        <w:br w:type="page"/>
      </w:r>
    </w:p>
    <w:p>
      <w:pPr>
        <w:pStyle w:val="Heading1"/>
        <w:spacing w:after="160" w:before="360"/>
      </w:pPr>
      <w:r>
        <w:rPr>
          <w:rFonts w:ascii="Calibri" w:cs="Calibri" w:eastAsia="Calibri" w:hAnsi="Calibri"/>
          <w:b/>
          <w:bCs/>
          <w:color w:val="1F5F74"/>
          <w:sz w:val="30"/>
          <w:szCs w:val="30"/>
        </w:rPr>
        <w:t xml:space="preserve">6. Administrator Manual</w:t>
      </w:r>
    </w:p>
    <w:p>
      <w:pPr>
        <w:spacing w:after="140" w:line="276"/>
      </w:pPr>
      <w:r>
        <w:rPr>
          <w:rFonts w:ascii="Calibri" w:cs="Calibri" w:eastAsia="Calibri" w:hAnsi="Calibri"/>
          <w:color w:val="2B2620"/>
          <w:sz w:val="21"/>
          <w:szCs w:val="21"/>
        </w:rPr>
        <w:t xml:space="preserve">This part describes the software from the inside: how it is built, where its behaviour is configured, how it stores data, how its parser decides what to accept, and what an administrator should check when maintaining it. It assumes familiarity with HTML, JavaScript and browser developer tools.</w:t>
      </w:r>
    </w:p>
    <w:p>
      <w:pPr>
        <w:pStyle w:val="Heading2"/>
        <w:spacing w:after="120" w:before="280"/>
      </w:pPr>
      <w:r>
        <w:rPr>
          <w:rFonts w:ascii="Calibri" w:cs="Calibri" w:eastAsia="Calibri" w:hAnsi="Calibri"/>
          <w:b/>
          <w:bCs/>
          <w:color w:val="2B2620"/>
          <w:sz w:val="24"/>
          <w:szCs w:val="24"/>
        </w:rPr>
        <w:t xml:space="preserve">6.1 Deployment and distribution</w:t>
      </w:r>
    </w:p>
    <w:p>
      <w:pPr>
        <w:spacing w:after="140" w:line="276"/>
      </w:pPr>
      <w:r>
        <w:rPr>
          <w:rFonts w:ascii="Calibri" w:cs="Calibri" w:eastAsia="Calibri" w:hAnsi="Calibri"/>
          <w:color w:val="2B2620"/>
          <w:sz w:val="21"/>
          <w:szCs w:val="21"/>
        </w:rPr>
        <w:t xml:space="preserve">The product is one file, </w:t>
      </w:r>
      <w:r>
        <w:rPr>
          <w:rFonts w:ascii="Consolas" w:cs="Consolas" w:eastAsia="Consolas" w:hAnsi="Consolas"/>
          <w:color w:val="2B2620"/>
          <w:sz w:val="19"/>
          <w:szCs w:val="19"/>
        </w:rPr>
        <w:t xml:space="preserve">RCFE_Map_Tool.html</w:t>
      </w:r>
      <w:r>
        <w:rPr>
          <w:rFonts w:ascii="Calibri" w:cs="Calibri" w:eastAsia="Calibri" w:hAnsi="Calibri"/>
          <w:color w:val="2B2620"/>
          <w:sz w:val="21"/>
          <w:szCs w:val="21"/>
        </w:rPr>
        <w:t xml:space="preserve">, approximately 316 KB. Deployment is copying that file to wherever the operator will keep it. There is no build step, no package manager, no server component and no configuration file.</w:t>
      </w:r>
    </w:p>
    <w:p>
      <w:pPr>
        <w:spacing w:after="140" w:line="276"/>
      </w:pPr>
      <w:r>
        <w:rPr>
          <w:rFonts w:ascii="Calibri" w:cs="Calibri" w:eastAsia="Calibri" w:hAnsi="Calibri"/>
          <w:color w:val="2B2620"/>
          <w:sz w:val="21"/>
          <w:szCs w:val="21"/>
        </w:rPr>
        <w:t xml:space="preserve">Distribution options, in rough order of how commonly they are used:</w:t>
      </w:r>
    </w:p>
    <w:p>
      <w:pPr>
        <w:pStyle w:val="ListParagraph"/>
        <w:numPr>
          <w:ilvl w:val="0"/>
          <w:numId w:val="2"/>
        </w:numPr>
        <w:spacing w:after="90" w:line="276"/>
      </w:pPr>
      <w:r>
        <w:rPr>
          <w:rFonts w:ascii="Calibri" w:cs="Calibri" w:eastAsia="Calibri" w:hAnsi="Calibri"/>
          <w:b/>
          <w:bCs/>
          <w:color w:val="2B2620"/>
          <w:sz w:val="21"/>
          <w:szCs w:val="21"/>
        </w:rPr>
        <w:t xml:space="preserve">Direct file copy.</w:t>
      </w:r>
      <w:r>
        <w:rPr>
          <w:rFonts w:ascii="Calibri" w:cs="Calibri" w:eastAsia="Calibri" w:hAnsi="Calibri"/>
          <w:color w:val="2B2620"/>
          <w:sz w:val="21"/>
          <w:szCs w:val="21"/>
        </w:rPr>
        <w:t xml:space="preserve"> Email, shared drive or USB. The recipient saves it and opens it. Remind them to keep it in a fixed folder.</w:t>
      </w:r>
    </w:p>
    <w:p>
      <w:pPr>
        <w:pStyle w:val="ListParagraph"/>
        <w:numPr>
          <w:ilvl w:val="0"/>
          <w:numId w:val="2"/>
        </w:numPr>
        <w:spacing w:after="90" w:line="276"/>
      </w:pPr>
      <w:r>
        <w:rPr>
          <w:rFonts w:ascii="Calibri" w:cs="Calibri" w:eastAsia="Calibri" w:hAnsi="Calibri"/>
          <w:b/>
          <w:bCs/>
          <w:color w:val="2B2620"/>
          <w:sz w:val="21"/>
          <w:szCs w:val="21"/>
        </w:rPr>
        <w:t xml:space="preserve">Shared network folder.</w:t>
      </w:r>
      <w:r>
        <w:rPr>
          <w:rFonts w:ascii="Calibri" w:cs="Calibri" w:eastAsia="Calibri" w:hAnsi="Calibri"/>
          <w:color w:val="2B2620"/>
          <w:sz w:val="21"/>
          <w:szCs w:val="21"/>
        </w:rPr>
        <w:t xml:space="preserve"> Works, with the caveat that each user’s saved session is per-browser, not per-file, so two users of the same copy do not share state.</w:t>
      </w:r>
    </w:p>
    <w:p>
      <w:pPr>
        <w:pStyle w:val="ListParagraph"/>
        <w:numPr>
          <w:ilvl w:val="0"/>
          <w:numId w:val="2"/>
        </w:numPr>
        <w:spacing w:after="90" w:line="276"/>
      </w:pPr>
      <w:r>
        <w:rPr>
          <w:rFonts w:ascii="Calibri" w:cs="Calibri" w:eastAsia="Calibri" w:hAnsi="Calibri"/>
          <w:b/>
          <w:bCs/>
          <w:color w:val="2B2620"/>
          <w:sz w:val="21"/>
          <w:szCs w:val="21"/>
        </w:rPr>
        <w:t xml:space="preserve">Internal web server.</w:t>
      </w:r>
      <w:r>
        <w:rPr>
          <w:rFonts w:ascii="Calibri" w:cs="Calibri" w:eastAsia="Calibri" w:hAnsi="Calibri"/>
          <w:color w:val="2B2620"/>
          <w:sz w:val="21"/>
          <w:szCs w:val="21"/>
        </w:rPr>
        <w:t xml:space="preserve"> Serving the file over HTTP makes browser storage more reliable than the </w:t>
      </w:r>
      <w:r>
        <w:rPr>
          <w:rFonts w:ascii="Consolas" w:cs="Consolas" w:eastAsia="Consolas" w:hAnsi="Consolas"/>
          <w:color w:val="2B2620"/>
          <w:sz w:val="19"/>
          <w:szCs w:val="19"/>
        </w:rPr>
        <w:t xml:space="preserve">file://</w:t>
      </w:r>
      <w:r>
        <w:rPr>
          <w:rFonts w:ascii="Calibri" w:cs="Calibri" w:eastAsia="Calibri" w:hAnsi="Calibri"/>
          <w:color w:val="2B2620"/>
          <w:sz w:val="21"/>
          <w:szCs w:val="21"/>
        </w:rPr>
        <w:t xml:space="preserve"> protocol does, particularly in Safari. Nothing else changes.</w:t>
      </w:r>
    </w:p>
    <w:p>
      <w:pPr>
        <w:spacing w:after="140" w:line="276"/>
      </w:pPr>
      <w:r>
        <w:rPr>
          <w:rFonts w:ascii="Calibri" w:cs="Calibri" w:eastAsia="Calibri" w:hAnsi="Calibri"/>
          <w:color w:val="2B2620"/>
          <w:sz w:val="21"/>
          <w:szCs w:val="21"/>
        </w:rPr>
        <w:t xml:space="preserve">There is no auto-update mechanism. Distributing a new version means distributing a new file. Because the record format is versioned (see 6.5), a session saved by an older version is discarded rather than misread if the format changes.</w:t>
      </w:r>
    </w:p>
    <w:p>
      <w:pPr>
        <w:pStyle w:val="Heading2"/>
        <w:spacing w:after="120" w:before="280"/>
      </w:pPr>
      <w:r>
        <w:rPr>
          <w:rFonts w:ascii="Calibri" w:cs="Calibri" w:eastAsia="Calibri" w:hAnsi="Calibri"/>
          <w:b/>
          <w:bCs/>
          <w:color w:val="2B2620"/>
          <w:sz w:val="24"/>
          <w:szCs w:val="24"/>
        </w:rPr>
        <w:t xml:space="preserve">6.2 Runtime requirements</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674"/>
        <w:gridCol w:w="6686"/>
      </w:tblGrid>
      <w:tr>
        <w:trPr>
          <w:tblHeader/>
        </w:trPr>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Requirement</w:t>
            </w:r>
          </w:p>
        </w:tc>
        <w:tc>
          <w:tcPr>
            <w:tcW w:type="dxa" w:w="6686"/>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Detail</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Browser</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Any current Chrome, Edge, Firefox or Safari. The code targets ES2017 and uses no framework.</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Network</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Required only for map background tiles, and for the optional Census address step if used. Parsing, filtering, sorting, export and print all work fully offline.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Storage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Approximately 2.9 MB, or 3.7 MB with street addresses imported of browser local storage for a saved session. Browsers typically permit 5 MB per origin.</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Memory</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Comfortable on any machine made in the last decade; the reference dataset of 9,420 records is held in memory as plain objects.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Permissions</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None. The software reads a file the operator explicitly selects and writes nothing outside browser storage.</w:t>
            </w:r>
          </w:p>
        </w:tc>
      </w:tr>
    </w:tbl>
    <w:p>
      <w:pPr>
        <w:pStyle w:val="Heading2"/>
        <w:spacing w:after="120" w:before="280"/>
      </w:pPr>
      <w:r>
        <w:rPr>
          <w:rFonts w:ascii="Calibri" w:cs="Calibri" w:eastAsia="Calibri" w:hAnsi="Calibri"/>
          <w:b/>
          <w:bCs/>
          <w:color w:val="2B2620"/>
          <w:sz w:val="24"/>
          <w:szCs w:val="24"/>
        </w:rPr>
        <w:t xml:space="preserve">6.3 File anatomy</w:t>
      </w:r>
    </w:p>
    <w:p>
      <w:pPr>
        <w:spacing w:after="140" w:line="276"/>
      </w:pPr>
      <w:r>
        <w:rPr>
          <w:rFonts w:ascii="Calibri" w:cs="Calibri" w:eastAsia="Calibri" w:hAnsi="Calibri"/>
          <w:color w:val="2B2620"/>
          <w:sz w:val="21"/>
          <w:szCs w:val="21"/>
        </w:rPr>
        <w:t xml:space="preserve">The file is assembled from five blocks in this order. An administrator editing the file should know which block they are in.</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080"/>
        <w:gridCol w:w="5200"/>
        <w:gridCol w:w="2080"/>
      </w:tblGrid>
      <w:tr>
        <w:trPr>
          <w:tblHeader/>
        </w:trPr>
        <w:tc>
          <w:tcPr>
            <w:tcW w:type="dxa" w:w="208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Block</w:t>
            </w:r>
          </w:p>
        </w:tc>
        <w:tc>
          <w:tcPr>
            <w:tcW w:type="dxa" w:w="520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Contents</w:t>
            </w:r>
          </w:p>
        </w:tc>
        <w:tc>
          <w:tcPr>
            <w:tcW w:type="dxa" w:w="208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Approximate size</w:t>
            </w:r>
          </w:p>
        </w:tc>
      </w:tr>
      <w:tr>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Leaflet stylesheet</w:t>
            </w:r>
          </w:p>
        </w:tc>
        <w:tc>
          <w:tcPr>
            <w:tcW w:type="dxa" w:w="52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mapping library’s CSS, embedded verbatim.</w:t>
            </w:r>
          </w:p>
        </w:tc>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14 KB</w:t>
            </w:r>
          </w:p>
        </w:tc>
      </w:tr>
      <w:tr>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Application stylesheet</w:t>
            </w:r>
          </w:p>
        </w:tc>
        <w:tc>
          <w:tcPr>
            <w:tcW w:type="dxa" w:w="52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Colour tokens, layout, table, dropdown, pin and print styles.</w:t>
            </w:r>
          </w:p>
        </w:tc>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6 KB</w:t>
            </w:r>
          </w:p>
        </w:tc>
      </w:tr>
      <w:tr>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Markup</w:t>
            </w:r>
          </w:p>
        </w:tc>
        <w:tc>
          <w:tcPr>
            <w:tcW w:type="dxa" w:w="52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Page structure: load card, address card, reference card, map card, results card.</w:t>
            </w:r>
          </w:p>
        </w:tc>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7 KB</w:t>
            </w:r>
          </w:p>
        </w:tc>
      </w:tr>
      <w:tr>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Leaflet library</w:t>
            </w:r>
          </w:p>
        </w:tc>
        <w:tc>
          <w:tcPr>
            <w:tcW w:type="dxa" w:w="52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Leaflet 1.9.4, embedded verbatim rather than loaded from a CDN.</w:t>
            </w:r>
          </w:p>
        </w:tc>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144 KB</w:t>
            </w:r>
          </w:p>
        </w:tc>
      </w:tr>
      <w:tr>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Application script</w:t>
            </w:r>
          </w:p>
        </w:tc>
        <w:tc>
          <w:tcPr>
            <w:tcW w:type="dxa" w:w="52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All product logic, including the embedded coordinate tables.</w:t>
            </w:r>
          </w:p>
        </w:tc>
        <w:tc>
          <w:tcPr>
            <w:tcW w:type="dxa" w:w="20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145 KB</w:t>
            </w:r>
          </w:p>
        </w:tc>
      </w:tr>
    </w:tbl>
    <w:p>
      <w:pPr>
        <w:spacing w:after="160"/>
      </w:pPr>
    </w:p>
    <w:p>
      <w:pPr>
        <w:spacing w:after="140" w:line="276"/>
      </w:pPr>
      <w:r>
        <w:rPr>
          <w:rFonts w:ascii="Calibri" w:cs="Calibri" w:eastAsia="Calibri" w:hAnsi="Calibri"/>
          <w:color w:val="2B2620"/>
          <w:sz w:val="21"/>
          <w:szCs w:val="21"/>
        </w:rPr>
        <w:t xml:space="preserve">Within the application script, code appears in this order: utilities; the storage cache wrapper; coordinate lookup; the CSV reader; the dataset parser; application state; column definitions; filtering; the multi-select dropdown helper; map and marker rendering; table rendering; messages; file loading; the reference pin; CSV export; printing; session persistence; and initialisation. Section banners in comments mark each one.</w:t>
      </w:r>
    </w:p>
    <w:p>
      <w:pPr>
        <w:pStyle w:val="Heading2"/>
        <w:spacing w:after="120" w:before="280"/>
      </w:pPr>
      <w:r>
        <w:rPr>
          <w:rFonts w:ascii="Calibri" w:cs="Calibri" w:eastAsia="Calibri" w:hAnsi="Calibri"/>
          <w:b/>
          <w:bCs/>
          <w:color w:val="2B2620"/>
          <w:sz w:val="24"/>
          <w:szCs w:val="24"/>
        </w:rPr>
        <w:t xml:space="preserve">6.4 Configuration points</w:t>
      </w:r>
    </w:p>
    <w:p>
      <w:pPr>
        <w:spacing w:after="140" w:line="276"/>
      </w:pPr>
      <w:r>
        <w:rPr>
          <w:rFonts w:ascii="Calibri" w:cs="Calibri" w:eastAsia="Calibri" w:hAnsi="Calibri"/>
          <w:color w:val="2B2620"/>
          <w:sz w:val="21"/>
          <w:szCs w:val="21"/>
        </w:rPr>
        <w:t xml:space="preserve">These are the values an administrator is most likely to want to change. All are near the top of their respective sections and none require restructuring.</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808"/>
        <w:gridCol w:w="1872"/>
        <w:gridCol w:w="4680"/>
      </w:tblGrid>
      <w:tr>
        <w:trPr>
          <w:tblHeader/>
        </w:trPr>
        <w:tc>
          <w:tcPr>
            <w:tcW w:type="dxa" w:w="2808"/>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Identifier</w:t>
            </w:r>
          </w:p>
        </w:tc>
        <w:tc>
          <w:tcPr>
            <w:tcW w:type="dxa" w:w="1872"/>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Default</w:t>
            </w:r>
          </w:p>
        </w:tc>
        <w:tc>
          <w:tcPr>
            <w:tcW w:type="dxa" w:w="468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Effect of changing it</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CAPACITY_BANDS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Five bands</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Bed-count bands and the pin diameter each maps to. Each entry has a key, a label, a minimum, a maximum and a pixel size. Changing the boundaries changes both the filter and the pin sizing, which is intended.</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MAX_TABLE_ROWS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400</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How many rows the table renders. The export is never capped.</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MAX_INDIVIDUAL_PINS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600</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Threshold above which individual pins fall back to city pins.</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SEVERITY_HEX</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Three hex values</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Pin colours for Type A, Type B and clean. Change the legend swatches in the markup to match.</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OPEN_STATUSES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LICENSED, PENDING</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Which statuses load. Adding </w:t>
            </w:r>
            <w:r>
              <w:rPr>
                <w:rFonts w:ascii="Consolas" w:cs="Consolas" w:eastAsia="Consolas" w:hAnsi="Consolas"/>
                <w:b w:val="false"/>
                <w:bCs w:val="false"/>
                <w:color w:val="2B2620"/>
                <w:sz w:val="19"/>
                <w:szCs w:val="19"/>
              </w:rPr>
              <w:t xml:space="preserve">"ON PROBATION": true</w:t>
            </w:r>
            <w:r>
              <w:rPr>
                <w:rFonts w:ascii="Calibri" w:cs="Calibri" w:eastAsia="Calibri" w:hAnsi="Calibri"/>
                <w:b w:val="false"/>
                <w:bCs w:val="false"/>
                <w:color w:val="2B2620"/>
                <w:sz w:val="19"/>
                <w:szCs w:val="19"/>
              </w:rPr>
              <w:t xml:space="preserve"> here would include probationary facilities, which are currently excluded by decision rather than by oversight.</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KNOWN_STATUSES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Four statuses</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Vocabulary used to detect column-shifted rows. Extend it if the publisher introduces a new status.</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COMPLAINT_BLOCK</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7</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Fields per complaint in the tail. Only change this if the publisher changes the file structure.</w:t>
            </w:r>
          </w:p>
        </w:tc>
      </w:tr>
      <w:tr>
        <w:tc>
          <w:tcPr>
            <w:tcW w:type="dxa" w:w="2808"/>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CCRC_PATTERN</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/continuing\s+care/i</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How a continuing care community is recognised from the facility type text.</w:t>
            </w:r>
          </w:p>
        </w:tc>
      </w:tr>
      <w:tr>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Cache namespaces</w:t>
            </w:r>
          </w:p>
        </w:tc>
        <w:tc>
          <w:tcPr>
            <w:tcW w:type="dxa" w:w="1872"/>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rcfemap_*</w:t>
            </w:r>
          </w:p>
        </w:tc>
        <w:tc>
          <w:tcPr>
            <w:tcW w:type="dxa" w:w="468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Storage key prefixes, distinct from the sibling products.</w:t>
            </w:r>
          </w:p>
        </w:tc>
      </w:tr>
    </w:tbl>
    <w:p>
      <w:pPr>
        <w:spacing w:after="160"/>
      </w:pPr>
    </w:p>
    <w:p>
      <w:pPr>
        <w:spacing w:after="140" w:line="276"/>
      </w:pPr>
      <w:r>
        <w:rPr>
          <w:rFonts w:ascii="Calibri" w:cs="Calibri" w:eastAsia="Calibri" w:hAnsi="Calibri"/>
          <w:color w:val="2B2620"/>
          <w:sz w:val="21"/>
          <w:szCs w:val="21"/>
        </w:rPr>
        <w:t xml:space="preserve">Colours are defined twice and both must be changed together: once as CSS custom properties or literal hex values in the stylesheet, and once in the JavaScript that generates map markers. The stylesheet governs the interface; the JavaScript governs the pins. Changing only one produces a legend that disagrees with the map.</w:t>
      </w:r>
    </w:p>
    <w:p>
      <w:pPr>
        <w:pStyle w:val="Heading2"/>
        <w:spacing w:after="120" w:before="280"/>
      </w:pPr>
      <w:r>
        <w:rPr>
          <w:rFonts w:ascii="Calibri" w:cs="Calibri" w:eastAsia="Calibri" w:hAnsi="Calibri"/>
          <w:b/>
          <w:bCs/>
          <w:color w:val="2B2620"/>
          <w:sz w:val="24"/>
          <w:szCs w:val="24"/>
        </w:rPr>
        <w:t xml:space="preserve">6.5 Storage model</w:t>
      </w:r>
    </w:p>
    <w:p>
      <w:pPr>
        <w:spacing w:after="140" w:line="276"/>
      </w:pPr>
      <w:r>
        <w:rPr>
          <w:rFonts w:ascii="Calibri" w:cs="Calibri" w:eastAsia="Calibri" w:hAnsi="Calibri"/>
          <w:color w:val="2B2620"/>
          <w:sz w:val="21"/>
          <w:szCs w:val="21"/>
        </w:rPr>
        <w:t xml:space="preserve">Persistence uses browser local storage under two keys, deliberately separated because they change at very different rates.</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553"/>
        <w:gridCol w:w="4255"/>
        <w:gridCol w:w="2552"/>
      </w:tblGrid>
      <w:tr>
        <w:trPr>
          <w:tblHeader/>
        </w:trPr>
        <w:tc>
          <w:tcPr>
            <w:tcW w:type="dxa" w:w="2553"/>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Key</w:t>
            </w:r>
          </w:p>
        </w:tc>
        <w:tc>
          <w:tcPr>
            <w:tcW w:type="dxa" w:w="4255"/>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Contents</w:t>
            </w:r>
          </w:p>
        </w:tc>
        <w:tc>
          <w:tcPr>
            <w:tcW w:type="dxa" w:w="2552"/>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Written when</w:t>
            </w:r>
          </w:p>
        </w:tc>
      </w:tr>
      <w:tr>
        <w:tc>
          <w:tcPr>
            <w:tcW w:type="dxa" w:w="2553"/>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rcfemap_records</w:t>
            </w:r>
          </w:p>
        </w:tc>
        <w:tc>
          <w:tcPr>
            <w:tcW w:type="dxa" w:w="425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full record set, plus a format version and a timestamp.</w:t>
            </w:r>
          </w:p>
        </w:tc>
        <w:tc>
          <w:tcPr>
            <w:tcW w:type="dxa" w:w="2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dataset is loaded, and when Census addresses are imported or forgotten</w:t>
            </w:r>
          </w:p>
        </w:tc>
      </w:tr>
      <w:tr>
        <w:tc>
          <w:tcPr>
            <w:tcW w:type="dxa" w:w="2553"/>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rcfemap_view</w:t>
            </w:r>
          </w:p>
        </w:tc>
        <w:tc>
          <w:tcPr>
            <w:tcW w:type="dxa" w:w="425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Filters, search text, sort state, pin mode, reference pin.</w:t>
            </w:r>
          </w:p>
        </w:tc>
        <w:tc>
          <w:tcPr>
            <w:tcW w:type="dxa" w:w="2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Any filter, sort or view control changes</w:t>
            </w:r>
          </w:p>
        </w:tc>
      </w:tr>
      <w:tr>
        <w:tc>
          <w:tcPr>
            <w:tcW w:type="dxa" w:w="2553"/>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rcfemap_addr:&lt;facility number&gt;</w:t>
            </w:r>
          </w:p>
        </w:tc>
        <w:tc>
          <w:tcPr>
            <w:tcW w:type="dxa" w:w="425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Street coordinates from the Census step, one entry per matched facility.</w:t>
            </w:r>
          </w:p>
        </w:tc>
        <w:tc>
          <w:tcPr>
            <w:tcW w:type="dxa" w:w="2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Census results are imported</w:t>
            </w:r>
          </w:p>
        </w:tc>
      </w:tr>
      <w:tr>
        <w:tc>
          <w:tcPr>
            <w:tcW w:type="dxa" w:w="2553"/>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rcfemap_ref:&lt;query&gt;</w:t>
            </w:r>
          </w:p>
        </w:tc>
        <w:tc>
          <w:tcPr>
            <w:tcW w:type="dxa" w:w="425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Cached coordinates for reference addresses looked up online.</w:t>
            </w:r>
          </w:p>
        </w:tc>
        <w:tc>
          <w:tcPr>
            <w:tcW w:type="dxa" w:w="255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street address reference pin is set</w:t>
            </w:r>
          </w:p>
        </w:tc>
      </w:tr>
    </w:tbl>
    <w:p>
      <w:pPr>
        <w:spacing w:after="160"/>
      </w:pPr>
    </w:p>
    <w:p>
      <w:pPr>
        <w:spacing w:after="140" w:line="276"/>
      </w:pPr>
      <w:r>
        <w:rPr>
          <w:rFonts w:ascii="Calibri" w:cs="Calibri" w:eastAsia="Calibri" w:hAnsi="Calibri"/>
          <w:color w:val="2B2620"/>
          <w:sz w:val="21"/>
          <w:szCs w:val="21"/>
        </w:rPr>
        <w:t xml:space="preserve">Records are stored as positional arrays in a fixed field order rather than as named objects, which roughly halves the stored size against a naive JSON encoding. </w:t>
      </w:r>
      <w:r>
        <w:rPr>
          <w:rFonts w:ascii="Consolas" w:cs="Consolas" w:eastAsia="Consolas" w:hAnsi="Consolas"/>
          <w:color w:val="2B2620"/>
          <w:sz w:val="19"/>
          <w:szCs w:val="19"/>
        </w:rPr>
        <w:t xml:space="preserve">RECORD_FIELDS</w:t>
      </w:r>
      <w:r>
        <w:rPr>
          <w:rFonts w:ascii="Calibri" w:cs="Calibri" w:eastAsia="Calibri" w:hAnsi="Calibri"/>
          <w:color w:val="2B2620"/>
          <w:sz w:val="21"/>
          <w:szCs w:val="21"/>
        </w:rPr>
        <w:t xml:space="preserve"> defines the order; adding a field means appending to that array and incrementing </w:t>
      </w:r>
      <w:r>
        <w:rPr>
          <w:rFonts w:ascii="Consolas" w:cs="Consolas" w:eastAsia="Consolas" w:hAnsi="Consolas"/>
          <w:color w:val="2B2620"/>
          <w:sz w:val="19"/>
          <w:szCs w:val="19"/>
        </w:rPr>
        <w:t xml:space="preserve">SESSION_VERSION</w:t>
      </w:r>
      <w:r>
        <w:rPr>
          <w:rFonts w:ascii="Calibri" w:cs="Calibri" w:eastAsia="Calibri" w:hAnsi="Calibri"/>
          <w:color w:val="2B2620"/>
          <w:sz w:val="21"/>
          <w:szCs w:val="21"/>
        </w:rPr>
        <w:t xml:space="preserve">. Booleans such as the continuing-care flag are normalised on read, since storage round-trips can turn them into strings.</w:t>
      </w:r>
    </w:p>
    <w:p>
      <w:pPr>
        <w:spacing w:after="140" w:line="276"/>
      </w:pPr>
      <w:r>
        <w:rPr>
          <w:rFonts w:ascii="Consolas" w:cs="Consolas" w:eastAsia="Consolas" w:hAnsi="Consolas"/>
          <w:color w:val="2B2620"/>
          <w:sz w:val="19"/>
          <w:szCs w:val="19"/>
        </w:rPr>
        <w:t xml:space="preserve">SESSION_VERSION</w:t>
      </w:r>
      <w:r>
        <w:rPr>
          <w:rFonts w:ascii="Calibri" w:cs="Calibri" w:eastAsia="Calibri" w:hAnsi="Calibri"/>
          <w:color w:val="2B2620"/>
          <w:sz w:val="21"/>
          <w:szCs w:val="21"/>
        </w:rPr>
        <w:t xml:space="preserve"> guards the format. A stored session whose version does not match the running code is ignored rather than misinterpreted, so shipping a new version that changes the record layout degrades to "the operator loads their file again" rather than to corrupt state. Increment it whenever the stored field list changes.</w:t>
      </w:r>
    </w:p>
    <w:p>
      <w:pPr>
        <w:spacing w:after="140" w:line="276"/>
      </w:pPr>
      <w:r>
        <w:rPr>
          <w:rFonts w:ascii="Calibri" w:cs="Calibri" w:eastAsia="Calibri" w:hAnsi="Calibri"/>
          <w:color w:val="2B2620"/>
          <w:sz w:val="21"/>
          <w:szCs w:val="21"/>
        </w:rPr>
        <w:t xml:space="preserve">Every write is wrapped so that a storage failure, whether from a full quota or a browser that forbids storage entirely, surfaces as a plain message to the operator and leaves the running session untouched. Storage is a convenience in this design, never a dependency.</w:t>
      </w:r>
    </w:p>
    <w:p>
      <w:pPr>
        <w:pStyle w:val="Heading3"/>
        <w:spacing w:after="100" w:before="220"/>
      </w:pPr>
      <w:r>
        <w:rPr>
          <w:rFonts w:ascii="Calibri" w:cs="Calibri" w:eastAsia="Calibri" w:hAnsi="Calibri"/>
          <w:b/>
          <w:bCs/>
          <w:color w:val="6B6156"/>
          <w:sz w:val="21"/>
          <w:szCs w:val="21"/>
        </w:rPr>
        <w:t xml:space="preserve">Clearing storage manually</w:t>
      </w:r>
    </w:p>
    <w:p>
      <w:pPr>
        <w:spacing w:after="140" w:line="276"/>
      </w:pPr>
      <w:r>
        <w:rPr>
          <w:rFonts w:ascii="Calibri" w:cs="Calibri" w:eastAsia="Calibri" w:hAnsi="Calibri"/>
          <w:b/>
          <w:bCs/>
          <w:color w:val="2B2620"/>
          <w:sz w:val="21"/>
          <w:szCs w:val="21"/>
        </w:rPr>
        <w:t xml:space="preserve">Clear all</w:t>
      </w:r>
      <w:r>
        <w:rPr>
          <w:rFonts w:ascii="Calibri" w:cs="Calibri" w:eastAsia="Calibri" w:hAnsi="Calibri"/>
          <w:color w:val="2B2620"/>
          <w:sz w:val="21"/>
          <w:szCs w:val="21"/>
        </w:rPr>
        <w:t xml:space="preserve"> in the interface removes both keys. To clear from the developer console, run </w:t>
      </w:r>
      <w:r>
        <w:rPr>
          <w:rFonts w:ascii="Consolas" w:cs="Consolas" w:eastAsia="Consolas" w:hAnsi="Consolas"/>
          <w:color w:val="2B2620"/>
          <w:sz w:val="19"/>
          <w:szCs w:val="19"/>
        </w:rPr>
        <w:t xml:space="preserve">Object.keys(localStorage).filter(k =&gt; k.startsWith('rcfemap')).forEach(k =&gt; localStorage.removeItem(k))</w:t>
      </w:r>
      <w:r>
        <w:rPr>
          <w:rFonts w:ascii="Calibri" w:cs="Calibri" w:eastAsia="Calibri" w:hAnsi="Calibri"/>
          <w:color w:val="2B2620"/>
          <w:sz w:val="21"/>
          <w:szCs w:val="21"/>
        </w:rPr>
        <w:t xml:space="preserve">.</w:t>
      </w:r>
    </w:p>
    <w:p>
      <w:pPr>
        <w:pStyle w:val="Heading2"/>
        <w:spacing w:after="120" w:before="280"/>
      </w:pPr>
      <w:r>
        <w:rPr>
          <w:rFonts w:ascii="Calibri" w:cs="Calibri" w:eastAsia="Calibri" w:hAnsi="Calibri"/>
          <w:b/>
          <w:bCs/>
          <w:color w:val="2B2620"/>
          <w:sz w:val="24"/>
          <w:szCs w:val="24"/>
        </w:rPr>
        <w:t xml:space="preserve">6.6 The CSV reader</w:t>
      </w:r>
    </w:p>
    <w:p>
      <w:pPr>
        <w:spacing w:after="140" w:line="276"/>
      </w:pPr>
      <w:r>
        <w:rPr>
          <w:rFonts w:ascii="Calibri" w:cs="Calibri" w:eastAsia="Calibri" w:hAnsi="Calibri"/>
          <w:color w:val="2B2620"/>
          <w:sz w:val="21"/>
          <w:szCs w:val="21"/>
        </w:rPr>
        <w:t xml:space="preserve">The reader implements RFC 4180 with one deliberate departure, and the departure is the important part.</w:t>
      </w:r>
    </w:p>
    <w:p>
      <w:pPr>
        <w:spacing w:after="140" w:line="276"/>
      </w:pPr>
      <w:r>
        <w:rPr>
          <w:rFonts w:ascii="Calibri" w:cs="Calibri" w:eastAsia="Calibri" w:hAnsi="Calibri"/>
          <w:color w:val="2B2620"/>
          <w:sz w:val="21"/>
          <w:szCs w:val="21"/>
        </w:rPr>
        <w:t xml:space="preserve">A quotation mark inside a quoted field only closes that field when the character that follows it is a comma, a line break, or the end of the file. Anywhere else it is kept as literal data.</w:t>
      </w:r>
    </w:p>
    <w:p>
      <w:pPr>
        <w:spacing w:after="140" w:line="276"/>
      </w:pPr>
      <w:r>
        <w:rPr>
          <w:rFonts w:ascii="Calibri" w:cs="Calibri" w:eastAsia="Calibri" w:hAnsi="Calibri"/>
          <w:color w:val="2B2620"/>
          <w:sz w:val="21"/>
          <w:szCs w:val="21"/>
        </w:rPr>
        <w:t xml:space="preserve">This matters because the source files contain stray quotation marks inside data. A strict reader treats such a quote as closing the field, which inverts quote state for every row that follows, so line breaks stop being treated as record boundaries and thousands of records silently merge into their neighbours. The lenient rule matches how spreadsheet software reads the same file. Part 3 records the release where this was found and fixed.</w:t>
      </w:r>
    </w:p>
    <w:p>
      <w:pPr>
        <w:spacing w:after="140" w:line="276"/>
      </w:pPr>
      <w:r>
        <w:rPr>
          <w:rFonts w:ascii="Calibri" w:cs="Calibri" w:eastAsia="Calibri" w:hAnsi="Calibri"/>
          <w:color w:val="2B2620"/>
          <w:sz w:val="21"/>
          <w:szCs w:val="21"/>
        </w:rPr>
        <w:t xml:space="preserve">The reader also tolerates rows that are longer than the header, which is required by the dataset structure described in 6.7, and strips a byte-order mark if present.</w:t>
      </w:r>
    </w:p>
    <w:p>
      <w:pPr>
        <w:pStyle w:val="Heading2"/>
        <w:spacing w:after="120" w:before="280"/>
      </w:pPr>
      <w:r>
        <w:rPr>
          <w:rFonts w:ascii="Calibri" w:cs="Calibri" w:eastAsia="Calibri" w:hAnsi="Calibri"/>
          <w:b/>
          <w:bCs/>
          <w:color w:val="2B2620"/>
          <w:sz w:val="24"/>
          <w:szCs w:val="24"/>
        </w:rPr>
        <w:t xml:space="preserve">6.7 Parser contract</w:t>
      </w:r>
    </w:p>
    <w:p>
      <w:pPr>
        <w:spacing w:after="140" w:line="276"/>
      </w:pPr>
      <w:r>
        <w:rPr>
          <w:rFonts w:ascii="Calibri" w:cs="Calibri" w:eastAsia="Calibri" w:hAnsi="Calibri"/>
          <w:color w:val="2B2620"/>
          <w:sz w:val="21"/>
          <w:szCs w:val="21"/>
        </w:rPr>
        <w:t xml:space="preserve">The parser locates columns by header name rather than by position. A source file that gains columns, or reorders them, still loads. A source file missing a column the parser requires produces a message naming the missing column rather than a partial, wrong result.</w:t>
      </w:r>
    </w:p>
    <w:p>
      <w:pPr>
        <w:pStyle w:val="Heading3"/>
        <w:spacing w:after="100" w:before="220"/>
      </w:pPr>
      <w:r>
        <w:rPr>
          <w:rFonts w:ascii="Calibri" w:cs="Calibri" w:eastAsia="Calibri" w:hAnsi="Calibri"/>
          <w:b/>
          <w:bCs/>
          <w:color w:val="6B6156"/>
          <w:sz w:val="21"/>
          <w:szCs w:val="21"/>
        </w:rPr>
        <w:t xml:space="preserve">Required columns</w:t>
      </w:r>
    </w:p>
    <w:p>
      <w:pPr>
        <w:spacing w:after="140" w:line="276"/>
      </w:pPr>
      <w:r>
        <w:rPr>
          <w:rFonts w:ascii="Calibri" w:cs="Calibri" w:eastAsia="Calibri" w:hAnsi="Calibri"/>
          <w:color w:val="2B2620"/>
          <w:sz w:val="21"/>
          <w:szCs w:val="21"/>
        </w:rPr>
        <w:t xml:space="preserve">Loading is refused unless all of these are present: </w:t>
      </w:r>
      <w:r>
        <w:rPr>
          <w:rFonts w:ascii="Consolas" w:cs="Consolas" w:eastAsia="Consolas" w:hAnsi="Consolas"/>
          <w:color w:val="2B2620"/>
          <w:sz w:val="19"/>
          <w:szCs w:val="19"/>
        </w:rPr>
        <w:t xml:space="preserve">Facility Number</w:t>
      </w:r>
      <w:r>
        <w:rPr>
          <w:rFonts w:ascii="Calibri" w:cs="Calibri" w:eastAsia="Calibri" w:hAnsi="Calibri"/>
          <w:color w:val="2B2620"/>
          <w:sz w:val="21"/>
          <w:szCs w:val="21"/>
        </w:rPr>
        <w:t xml:space="preserve">, </w:t>
      </w:r>
      <w:r>
        <w:rPr>
          <w:rFonts w:ascii="Consolas" w:cs="Consolas" w:eastAsia="Consolas" w:hAnsi="Consolas"/>
          <w:color w:val="2B2620"/>
          <w:sz w:val="19"/>
          <w:szCs w:val="19"/>
        </w:rPr>
        <w:t xml:space="preserve">Facility Name</w:t>
      </w:r>
      <w:r>
        <w:rPr>
          <w:rFonts w:ascii="Calibri" w:cs="Calibri" w:eastAsia="Calibri" w:hAnsi="Calibri"/>
          <w:color w:val="2B2620"/>
          <w:sz w:val="21"/>
          <w:szCs w:val="21"/>
        </w:rPr>
        <w:t xml:space="preserve">, </w:t>
      </w:r>
      <w:r>
        <w:rPr>
          <w:rFonts w:ascii="Consolas" w:cs="Consolas" w:eastAsia="Consolas" w:hAnsi="Consolas"/>
          <w:color w:val="2B2620"/>
          <w:sz w:val="19"/>
          <w:szCs w:val="19"/>
        </w:rPr>
        <w:t xml:space="preserve">Facility City</w:t>
      </w:r>
      <w:r>
        <w:rPr>
          <w:rFonts w:ascii="Calibri" w:cs="Calibri" w:eastAsia="Calibri" w:hAnsi="Calibri"/>
          <w:color w:val="2B2620"/>
          <w:sz w:val="21"/>
          <w:szCs w:val="21"/>
        </w:rPr>
        <w:t xml:space="preserve">, </w:t>
      </w:r>
      <w:r>
        <w:rPr>
          <w:rFonts w:ascii="Consolas" w:cs="Consolas" w:eastAsia="Consolas" w:hAnsi="Consolas"/>
          <w:color w:val="2B2620"/>
          <w:sz w:val="19"/>
          <w:szCs w:val="19"/>
        </w:rPr>
        <w:t xml:space="preserve">County Name</w:t>
      </w:r>
      <w:r>
        <w:rPr>
          <w:rFonts w:ascii="Calibri" w:cs="Calibri" w:eastAsia="Calibri" w:hAnsi="Calibri"/>
          <w:color w:val="2B2620"/>
          <w:sz w:val="21"/>
          <w:szCs w:val="21"/>
        </w:rPr>
        <w:t xml:space="preserve"> and </w:t>
      </w:r>
      <w:r>
        <w:rPr>
          <w:rFonts w:ascii="Consolas" w:cs="Consolas" w:eastAsia="Consolas" w:hAnsi="Consolas"/>
          <w:color w:val="2B2620"/>
          <w:sz w:val="19"/>
          <w:szCs w:val="19"/>
        </w:rPr>
        <w:t xml:space="preserve">Facility Status</w:t>
      </w:r>
      <w:r>
        <w:rPr>
          <w:rFonts w:ascii="Calibri" w:cs="Calibri" w:eastAsia="Calibri" w:hAnsi="Calibri"/>
          <w:color w:val="2B2620"/>
          <w:sz w:val="21"/>
          <w:szCs w:val="21"/>
        </w:rPr>
        <w:t xml:space="preserve">.</w:t>
      </w:r>
    </w:p>
    <w:p>
      <w:pPr>
        <w:pStyle w:val="Heading3"/>
        <w:spacing w:after="100" w:before="220"/>
      </w:pPr>
      <w:r>
        <w:rPr>
          <w:rFonts w:ascii="Calibri" w:cs="Calibri" w:eastAsia="Calibri" w:hAnsi="Calibri"/>
          <w:b/>
          <w:bCs/>
          <w:color w:val="6B6156"/>
          <w:sz w:val="21"/>
          <w:szCs w:val="21"/>
        </w:rPr>
        <w:t xml:space="preserve">The complaint tail</w:t>
      </w:r>
    </w:p>
    <w:p>
      <w:pPr>
        <w:spacing w:after="140" w:line="276"/>
      </w:pPr>
      <w:r>
        <w:rPr>
          <w:rFonts w:ascii="Calibri" w:cs="Calibri" w:eastAsia="Calibri" w:hAnsi="Calibri"/>
          <w:color w:val="2B2620"/>
          <w:sz w:val="21"/>
          <w:szCs w:val="21"/>
        </w:rPr>
        <w:t xml:space="preserve">The export has 37 fixed columns followed by a single header cell that covers a variable-length tail. Each complaint occupies a repeating block of seven fields: date, substantiated allegations, inconclusive allegations, unsubstantiated allegations, unfounded allegations, Type A citations and Type B citations. This is one field wider than the home care file, which does not separate unfounded allegations. A record with no complaint history carries the literal text </w:t>
      </w:r>
      <w:r>
        <w:rPr>
          <w:rFonts w:ascii="Consolas" w:cs="Consolas" w:eastAsia="Consolas" w:hAnsi="Consolas"/>
          <w:color w:val="2B2620"/>
          <w:sz w:val="19"/>
          <w:szCs w:val="19"/>
        </w:rPr>
        <w:t xml:space="preserve">No Complaints</w:t>
      </w:r>
      <w:r>
        <w:rPr>
          <w:rFonts w:ascii="Calibri" w:cs="Calibri" w:eastAsia="Calibri" w:hAnsi="Calibri"/>
          <w:color w:val="2B2620"/>
          <w:sz w:val="21"/>
          <w:szCs w:val="21"/>
        </w:rPr>
        <w:t xml:space="preserve"> in that position, so a row is 38 fields long, or 44, or 51, and upward past 100.</w:t>
      </w:r>
    </w:p>
    <w:p>
      <w:pPr>
        <w:spacing w:after="140" w:line="276"/>
      </w:pPr>
      <w:r>
        <w:rPr>
          <w:rFonts w:ascii="Calibri" w:cs="Calibri" w:eastAsia="Calibri" w:hAnsi="Calibri"/>
          <w:color w:val="2B2620"/>
          <w:sz w:val="21"/>
          <w:szCs w:val="21"/>
        </w:rPr>
        <w:t xml:space="preserve">The parser counts whole seven-field blocks only. One row in the reference extract carries a short final block; a partial block is ignored rather than being allowed to distort the count.</w:t>
      </w:r>
    </w:p>
    <w:p>
      <w:pPr>
        <w:pStyle w:val="Heading3"/>
        <w:spacing w:after="100" w:before="220"/>
      </w:pPr>
      <w:r>
        <w:rPr>
          <w:rFonts w:ascii="Calibri" w:cs="Calibri" w:eastAsia="Calibri" w:hAnsi="Calibri"/>
          <w:b/>
          <w:bCs/>
          <w:color w:val="6B6156"/>
          <w:sz w:val="21"/>
          <w:szCs w:val="21"/>
        </w:rPr>
        <w:t xml:space="preserve">Type A and Type B totals</w:t>
      </w:r>
    </w:p>
    <w:p>
      <w:pPr>
        <w:spacing w:after="140" w:line="276"/>
      </w:pPr>
      <w:r>
        <w:rPr>
          <w:rFonts w:ascii="Calibri" w:cs="Calibri" w:eastAsia="Calibri" w:hAnsi="Calibri"/>
          <w:color w:val="2B2620"/>
          <w:sz w:val="21"/>
          <w:szCs w:val="21"/>
        </w:rPr>
        <w:t xml:space="preserve">Unlike the home care file, this export provides </w:t>
      </w:r>
      <w:r>
        <w:rPr>
          <w:rFonts w:ascii="Consolas" w:cs="Consolas" w:eastAsia="Consolas" w:hAnsi="Consolas"/>
          <w:color w:val="2B2620"/>
          <w:sz w:val="19"/>
          <w:szCs w:val="19"/>
        </w:rPr>
        <w:t xml:space="preserve">Complaint Type A</w:t>
      </w:r>
      <w:r>
        <w:rPr>
          <w:rFonts w:ascii="Calibri" w:cs="Calibri" w:eastAsia="Calibri" w:hAnsi="Calibri"/>
          <w:color w:val="2B2620"/>
          <w:sz w:val="21"/>
          <w:szCs w:val="21"/>
        </w:rPr>
        <w:t xml:space="preserve"> and </w:t>
      </w:r>
      <w:r>
        <w:rPr>
          <w:rFonts w:ascii="Consolas" w:cs="Consolas" w:eastAsia="Consolas" w:hAnsi="Consolas"/>
          <w:color w:val="2B2620"/>
          <w:sz w:val="19"/>
          <w:szCs w:val="19"/>
        </w:rPr>
        <w:t xml:space="preserve">Complaint Type B</w:t>
      </w:r>
      <w:r>
        <w:rPr>
          <w:rFonts w:ascii="Calibri" w:cs="Calibri" w:eastAsia="Calibri" w:hAnsi="Calibri"/>
          <w:color w:val="2B2620"/>
          <w:sz w:val="21"/>
          <w:szCs w:val="21"/>
        </w:rPr>
        <w:t xml:space="preserve"> as named columns. The totals shown are those columns plus </w:t>
      </w:r>
      <w:r>
        <w:rPr>
          <w:rFonts w:ascii="Consolas" w:cs="Consolas" w:eastAsia="Consolas" w:hAnsi="Consolas"/>
          <w:color w:val="2B2620"/>
          <w:sz w:val="19"/>
          <w:szCs w:val="19"/>
        </w:rPr>
        <w:t xml:space="preserve">Inspect TypeA</w:t>
      </w:r>
      <w:r>
        <w:rPr>
          <w:rFonts w:ascii="Calibri" w:cs="Calibri" w:eastAsia="Calibri" w:hAnsi="Calibri"/>
          <w:color w:val="2B2620"/>
          <w:sz w:val="21"/>
          <w:szCs w:val="21"/>
        </w:rPr>
        <w:t xml:space="preserve"> or </w:t>
      </w:r>
      <w:r>
        <w:rPr>
          <w:rFonts w:ascii="Consolas" w:cs="Consolas" w:eastAsia="Consolas" w:hAnsi="Consolas"/>
          <w:color w:val="2B2620"/>
          <w:sz w:val="19"/>
          <w:szCs w:val="19"/>
        </w:rPr>
        <w:t xml:space="preserve">Inspect TypeB</w:t>
      </w:r>
      <w:r>
        <w:rPr>
          <w:rFonts w:ascii="Calibri" w:cs="Calibri" w:eastAsia="Calibri" w:hAnsi="Calibri"/>
          <w:color w:val="2B2620"/>
          <w:sz w:val="21"/>
          <w:szCs w:val="21"/>
        </w:rPr>
        <w:t xml:space="preserve"> plus </w:t>
      </w:r>
      <w:r>
        <w:rPr>
          <w:rFonts w:ascii="Consolas" w:cs="Consolas" w:eastAsia="Consolas" w:hAnsi="Consolas"/>
          <w:color w:val="2B2620"/>
          <w:sz w:val="19"/>
          <w:szCs w:val="19"/>
        </w:rPr>
        <w:t xml:space="preserve">Other TypeA</w:t>
      </w:r>
      <w:r>
        <w:rPr>
          <w:rFonts w:ascii="Calibri" w:cs="Calibri" w:eastAsia="Calibri" w:hAnsi="Calibri"/>
          <w:color w:val="2B2620"/>
          <w:sz w:val="21"/>
          <w:szCs w:val="21"/>
        </w:rPr>
        <w:t xml:space="preserve"> or </w:t>
      </w:r>
      <w:r>
        <w:rPr>
          <w:rFonts w:ascii="Consolas" w:cs="Consolas" w:eastAsia="Consolas" w:hAnsi="Consolas"/>
          <w:color w:val="2B2620"/>
          <w:sz w:val="19"/>
          <w:szCs w:val="19"/>
        </w:rPr>
        <w:t xml:space="preserve">Other TypeB</w:t>
      </w:r>
      <w:r>
        <w:rPr>
          <w:rFonts w:ascii="Calibri" w:cs="Calibri" w:eastAsia="Calibri" w:hAnsi="Calibri"/>
          <w:color w:val="2B2620"/>
          <w:sz w:val="21"/>
          <w:szCs w:val="21"/>
        </w:rPr>
        <w:t xml:space="preserve">. In the reference extract, 4,159 open facilities carry at least one Type A and 4,857 carry at least one Type B.</w:t>
      </w:r>
    </w:p>
    <w:p>
      <w:pPr>
        <w:pStyle w:val="Heading3"/>
        <w:spacing w:after="100" w:before="220"/>
      </w:pPr>
      <w:r>
        <w:rPr>
          <w:rFonts w:ascii="Calibri" w:cs="Calibri" w:eastAsia="Calibri" w:hAnsi="Calibri"/>
          <w:b/>
          <w:bCs/>
          <w:color w:val="6B6156"/>
          <w:sz w:val="21"/>
          <w:szCs w:val="21"/>
        </w:rPr>
        <w:t xml:space="preserve">Capacity</w:t>
      </w:r>
    </w:p>
    <w:p>
      <w:pPr>
        <w:spacing w:after="140" w:line="276"/>
      </w:pPr>
      <w:r>
        <w:rPr>
          <w:rFonts w:ascii="Consolas" w:cs="Consolas" w:eastAsia="Consolas" w:hAnsi="Consolas"/>
          <w:color w:val="2B2620"/>
          <w:sz w:val="19"/>
          <w:szCs w:val="19"/>
        </w:rPr>
        <w:t xml:space="preserve">Facility Capacity</w:t>
      </w:r>
      <w:r>
        <w:rPr>
          <w:rFonts w:ascii="Calibri" w:cs="Calibri" w:eastAsia="Calibri" w:hAnsi="Calibri"/>
          <w:color w:val="2B2620"/>
          <w:sz w:val="21"/>
          <w:szCs w:val="21"/>
        </w:rPr>
        <w:t xml:space="preserve"> is populated in this file, unlike the home care export where it is empty for every record. It is read as an integer and mapped to a band by </w:t>
      </w:r>
      <w:r>
        <w:rPr>
          <w:rFonts w:ascii="Consolas" w:cs="Consolas" w:eastAsia="Consolas" w:hAnsi="Consolas"/>
          <w:color w:val="2B2620"/>
          <w:sz w:val="19"/>
          <w:szCs w:val="19"/>
        </w:rPr>
        <w:t xml:space="preserve">capacityBand</w:t>
      </w:r>
      <w:r>
        <w:rPr>
          <w:rFonts w:ascii="Calibri" w:cs="Calibri" w:eastAsia="Calibri" w:hAnsi="Calibri"/>
          <w:color w:val="2B2620"/>
          <w:sz w:val="21"/>
          <w:szCs w:val="21"/>
        </w:rPr>
        <w:t xml:space="preserve">. A facility whose capacity is missing or zero falls into no band and is excluded when a size filter is active.</w:t>
      </w:r>
    </w:p>
    <w:p>
      <w:pPr>
        <w:pStyle w:val="Heading3"/>
        <w:spacing w:after="100" w:before="220"/>
      </w:pPr>
      <w:r>
        <w:rPr>
          <w:rFonts w:ascii="Calibri" w:cs="Calibri" w:eastAsia="Calibri" w:hAnsi="Calibri"/>
          <w:b/>
          <w:bCs/>
          <w:color w:val="6B6156"/>
          <w:sz w:val="21"/>
          <w:szCs w:val="21"/>
        </w:rPr>
        <w:t xml:space="preserve">Rows that are set aside</w:t>
      </w:r>
    </w:p>
    <w:p>
      <w:pPr>
        <w:spacing w:after="140" w:line="276"/>
      </w:pPr>
      <w:r>
        <w:rPr>
          <w:rFonts w:ascii="Calibri" w:cs="Calibri" w:eastAsia="Calibri" w:hAnsi="Calibri"/>
          <w:color w:val="2B2620"/>
          <w:sz w:val="21"/>
          <w:szCs w:val="21"/>
        </w:rPr>
        <w:t xml:space="preserve">The parser reports each category separately in the load message rather than lumping them together:</w:t>
      </w:r>
    </w:p>
    <w:p>
      <w:pPr>
        <w:pStyle w:val="ListParagraph"/>
        <w:numPr>
          <w:ilvl w:val="0"/>
          <w:numId w:val="2"/>
        </w:numPr>
        <w:spacing w:after="90" w:line="276"/>
      </w:pPr>
      <w:r>
        <w:rPr>
          <w:rFonts w:ascii="Calibri" w:cs="Calibri" w:eastAsia="Calibri" w:hAnsi="Calibri"/>
          <w:color w:val="2B2620"/>
          <w:sz w:val="21"/>
          <w:szCs w:val="21"/>
        </w:rPr>
        <w:t xml:space="preserve">Rows whose status is CLOSED or ON PROBATION. Reported together as "closed and on-probation facilities skipped".</w:t>
      </w:r>
    </w:p>
    <w:p>
      <w:pPr>
        <w:pStyle w:val="ListParagraph"/>
        <w:numPr>
          <w:ilvl w:val="0"/>
          <w:numId w:val="2"/>
        </w:numPr>
        <w:spacing w:after="90" w:line="276"/>
      </w:pPr>
      <w:r>
        <w:rPr>
          <w:rFonts w:ascii="Calibri" w:cs="Calibri" w:eastAsia="Calibri" w:hAnsi="Calibri"/>
          <w:color w:val="2B2620"/>
          <w:sz w:val="21"/>
          <w:szCs w:val="21"/>
        </w:rPr>
        <w:t xml:space="preserve">Rows with no city, which cannot be placed or grouped. Reported as "skipped with no city".</w:t>
      </w:r>
    </w:p>
    <w:p>
      <w:pPr>
        <w:pStyle w:val="ListParagraph"/>
        <w:numPr>
          <w:ilvl w:val="0"/>
          <w:numId w:val="2"/>
        </w:numPr>
        <w:spacing w:after="90" w:line="276"/>
      </w:pPr>
      <w:r>
        <w:rPr>
          <w:rFonts w:ascii="Calibri" w:cs="Calibri" w:eastAsia="Calibri" w:hAnsi="Calibri"/>
          <w:color w:val="2B2620"/>
          <w:sz w:val="21"/>
          <w:szCs w:val="21"/>
        </w:rPr>
        <w:t xml:space="preserve">Rows whose status cell does not contain a recognised status, indicating shifted columns. Reported as "skipped as unreadable rows".</w:t>
      </w:r>
    </w:p>
    <w:p>
      <w:pPr>
        <w:pStyle w:val="Heading2"/>
        <w:spacing w:after="120" w:before="280"/>
      </w:pPr>
      <w:r>
        <w:rPr>
          <w:rFonts w:ascii="Calibri" w:cs="Calibri" w:eastAsia="Calibri" w:hAnsi="Calibri"/>
          <w:b/>
          <w:bCs/>
          <w:color w:val="2B2620"/>
          <w:sz w:val="24"/>
          <w:szCs w:val="24"/>
        </w:rPr>
        <w:t xml:space="preserve">6.8 Rendering behaviour</w:t>
      </w:r>
    </w:p>
    <w:p>
      <w:pPr>
        <w:spacing w:after="140" w:line="276"/>
      </w:pPr>
      <w:r>
        <w:rPr>
          <w:rFonts w:ascii="Calibri" w:cs="Calibri" w:eastAsia="Calibri" w:hAnsi="Calibri"/>
          <w:color w:val="2B2620"/>
          <w:sz w:val="21"/>
          <w:szCs w:val="21"/>
        </w:rPr>
        <w:t xml:space="preserve">The table is rebuilt as a single HTML string on each render, capped at </w:t>
      </w:r>
      <w:r>
        <w:rPr>
          <w:rFonts w:ascii="Consolas" w:cs="Consolas" w:eastAsia="Consolas" w:hAnsi="Consolas"/>
          <w:color w:val="2B2620"/>
          <w:sz w:val="19"/>
          <w:szCs w:val="19"/>
        </w:rPr>
        <w:t xml:space="preserve">MAX_TABLE_ROWS</w:t>
      </w:r>
      <w:r>
        <w:rPr>
          <w:rFonts w:ascii="Calibri" w:cs="Calibri" w:eastAsia="Calibri" w:hAnsi="Calibri"/>
          <w:color w:val="2B2620"/>
          <w:sz w:val="21"/>
          <w:szCs w:val="21"/>
        </w:rPr>
        <w:t xml:space="preserve"> rows. Rebuilding wholesale is fast enough at this cap and avoids the bookkeeping that incremental updates require. Because it is a full rebuild, the table contains no editable inputs; all editing of source data happens upstream in the file itself.</w:t>
      </w:r>
    </w:p>
    <w:p>
      <w:pPr>
        <w:spacing w:after="140" w:line="276"/>
      </w:pPr>
      <w:r>
        <w:rPr>
          <w:rFonts w:ascii="Calibri" w:cs="Calibri" w:eastAsia="Calibri" w:hAnsi="Calibri"/>
          <w:color w:val="2B2620"/>
          <w:sz w:val="21"/>
          <w:szCs w:val="21"/>
        </w:rPr>
        <w:t xml:space="preserve">Map markers are cleared and redrawn on each render. City grouping is computed from the filtered set, and each city pin is positioned at the mean coordinate of its own members rather than at a nominal city centre, so a pin sits where its records actually are.</w:t>
      </w:r>
    </w:p>
    <w:p>
      <w:pPr>
        <w:spacing w:after="140" w:line="276"/>
      </w:pPr>
      <w:r>
        <w:rPr>
          <w:rFonts w:ascii="Calibri" w:cs="Calibri" w:eastAsia="Calibri" w:hAnsi="Calibri"/>
          <w:color w:val="2B2620"/>
          <w:sz w:val="21"/>
          <w:szCs w:val="21"/>
        </w:rPr>
        <w:t xml:space="preserve">Individual pins are capped by </w:t>
      </w:r>
      <w:r>
        <w:rPr>
          <w:rFonts w:ascii="Consolas" w:cs="Consolas" w:eastAsia="Consolas" w:hAnsi="Consolas"/>
          <w:color w:val="2B2620"/>
          <w:sz w:val="19"/>
          <w:szCs w:val="19"/>
        </w:rPr>
        <w:t xml:space="preserve">MAX_INDIVIDUAL_PINS</w:t>
      </w:r>
      <w:r>
        <w:rPr>
          <w:rFonts w:ascii="Calibri" w:cs="Calibri" w:eastAsia="Calibri" w:hAnsi="Calibri"/>
          <w:color w:val="2B2620"/>
          <w:sz w:val="21"/>
          <w:szCs w:val="21"/>
        </w:rPr>
        <w:t xml:space="preserve">. Above the cap the software falls back to city pins and states the reason in the legend rather than appearing to ignore the operator's choice.</w:t>
      </w:r>
    </w:p>
    <w:p>
      <w:pPr>
        <w:pStyle w:val="Heading2"/>
        <w:spacing w:after="120" w:before="280"/>
      </w:pPr>
      <w:r>
        <w:rPr>
          <w:rFonts w:ascii="Calibri" w:cs="Calibri" w:eastAsia="Calibri" w:hAnsi="Calibri"/>
          <w:b/>
          <w:bCs/>
          <w:color w:val="2B2620"/>
          <w:sz w:val="24"/>
          <w:szCs w:val="24"/>
        </w:rPr>
        <w:t xml:space="preserve">6.9 Privacy and security posture</w:t>
      </w:r>
    </w:p>
    <w:p>
      <w:pPr>
        <w:pStyle w:val="ListParagraph"/>
        <w:numPr>
          <w:ilvl w:val="0"/>
          <w:numId w:val="2"/>
        </w:numPr>
        <w:spacing w:after="90" w:line="276"/>
      </w:pPr>
      <w:r>
        <w:rPr>
          <w:rFonts w:ascii="Calibri" w:cs="Calibri" w:eastAsia="Calibri" w:hAnsi="Calibri"/>
          <w:color w:val="2B2620"/>
          <w:sz w:val="21"/>
          <w:szCs w:val="21"/>
        </w:rPr>
        <w:t xml:space="preserve">No dataset content is transmitted anywhere. There is no analytics, no telemetry, no error reporting and no remote logging.</w:t>
      </w:r>
    </w:p>
    <w:p>
      <w:pPr>
        <w:pStyle w:val="ListParagraph"/>
        <w:numPr>
          <w:ilvl w:val="0"/>
          <w:numId w:val="2"/>
        </w:numPr>
        <w:spacing w:after="90" w:line="276"/>
      </w:pPr>
      <w:r>
        <w:rPr>
          <w:rFonts w:ascii="Calibri" w:cs="Calibri" w:eastAsia="Calibri" w:hAnsi="Calibri"/>
          <w:color w:val="2B2620"/>
          <w:sz w:val="21"/>
          <w:szCs w:val="21"/>
        </w:rPr>
        <w:t xml:space="preserve">The only outbound requests in normal operation are map tiles, and for the optional Census address step if used. Tile requests reveal the map viewport, not the data.</w:t>
      </w:r>
    </w:p>
    <w:p>
      <w:pPr>
        <w:pStyle w:val="ListParagraph"/>
        <w:numPr>
          <w:ilvl w:val="0"/>
          <w:numId w:val="2"/>
        </w:numPr>
        <w:spacing w:after="90" w:line="276"/>
      </w:pPr>
      <w:r>
        <w:rPr>
          <w:rFonts w:ascii="Calibri" w:cs="Calibri" w:eastAsia="Calibri" w:hAnsi="Calibri"/>
          <w:color w:val="2B2620"/>
          <w:sz w:val="21"/>
          <w:szCs w:val="21"/>
        </w:rPr>
        <w:t xml:space="preserve">All third-party code is embedded, so the software cannot be altered by a change to a remote script.</w:t>
      </w:r>
    </w:p>
    <w:p>
      <w:pPr>
        <w:pStyle w:val="ListParagraph"/>
        <w:numPr>
          <w:ilvl w:val="0"/>
          <w:numId w:val="2"/>
        </w:numPr>
        <w:spacing w:after="90" w:line="276"/>
      </w:pPr>
      <w:r>
        <w:rPr>
          <w:rFonts w:ascii="Calibri" w:cs="Calibri" w:eastAsia="Calibri" w:hAnsi="Calibri"/>
          <w:color w:val="2B2620"/>
          <w:sz w:val="21"/>
          <w:szCs w:val="21"/>
        </w:rPr>
        <w:t xml:space="preserve">Values from the dataset are HTML-escaped before display, so a malformed or hostile source file cannot inject markup into the page.</w:t>
      </w:r>
    </w:p>
    <w:p>
      <w:pPr>
        <w:pStyle w:val="ListParagraph"/>
        <w:numPr>
          <w:ilvl w:val="0"/>
          <w:numId w:val="2"/>
        </w:numPr>
        <w:spacing w:after="90" w:line="276"/>
      </w:pPr>
      <w:r>
        <w:rPr>
          <w:rFonts w:ascii="Calibri" w:cs="Calibri" w:eastAsia="Calibri" w:hAnsi="Calibri"/>
          <w:color w:val="2B2620"/>
          <w:sz w:val="21"/>
          <w:szCs w:val="21"/>
        </w:rPr>
        <w:t xml:space="preserve">Data at rest lives in browser local storage, which is unencrypted and readable by anyone with access to that browser profile. Where the dataset is sensitive in the operator’s context, use </w:t>
      </w:r>
      <w:r>
        <w:rPr>
          <w:rFonts w:ascii="Calibri" w:cs="Calibri" w:eastAsia="Calibri" w:hAnsi="Calibri"/>
          <w:b/>
          <w:bCs/>
          <w:color w:val="2B2620"/>
          <w:sz w:val="21"/>
          <w:szCs w:val="21"/>
        </w:rPr>
        <w:t xml:space="preserve">Clear all</w:t>
      </w:r>
      <w:r>
        <w:rPr>
          <w:rFonts w:ascii="Calibri" w:cs="Calibri" w:eastAsia="Calibri" w:hAnsi="Calibri"/>
          <w:color w:val="2B2620"/>
          <w:sz w:val="21"/>
          <w:szCs w:val="21"/>
        </w:rPr>
        <w:t xml:space="preserve"> on shared machines.</w:t>
      </w:r>
    </w:p>
    <w:p>
      <w:pPr>
        <w:pStyle w:val="Heading2"/>
        <w:spacing w:after="120" w:before="280"/>
      </w:pPr>
      <w:r>
        <w:rPr>
          <w:rFonts w:ascii="Calibri" w:cs="Calibri" w:eastAsia="Calibri" w:hAnsi="Calibri"/>
          <w:b/>
          <w:bCs/>
          <w:color w:val="2B2620"/>
          <w:sz w:val="24"/>
          <w:szCs w:val="24"/>
        </w:rPr>
        <w:t xml:space="preserve">6.10 Known limitations</w:t>
      </w:r>
    </w:p>
    <w:p>
      <w:pPr>
        <w:pStyle w:val="ListParagraph"/>
        <w:numPr>
          <w:ilvl w:val="0"/>
          <w:numId w:val="2"/>
        </w:numPr>
        <w:spacing w:after="90" w:line="276"/>
      </w:pPr>
      <w:r>
        <w:rPr>
          <w:rFonts w:ascii="Calibri" w:cs="Calibri" w:eastAsia="Calibri" w:hAnsi="Calibri"/>
          <w:color w:val="2B2620"/>
          <w:sz w:val="21"/>
          <w:szCs w:val="21"/>
        </w:rPr>
        <w:t xml:space="preserve">Capacity is licensed beds, not occupied beds. Nothing in the source indicates occupancy.</w:t>
      </w:r>
    </w:p>
    <w:p>
      <w:pPr>
        <w:pStyle w:val="ListParagraph"/>
        <w:numPr>
          <w:ilvl w:val="0"/>
          <w:numId w:val="2"/>
        </w:numPr>
        <w:spacing w:after="90" w:line="276"/>
      </w:pPr>
      <w:r>
        <w:rPr>
          <w:rFonts w:ascii="Calibri" w:cs="Calibri" w:eastAsia="Calibri" w:hAnsi="Calibri"/>
          <w:color w:val="2B2620"/>
          <w:sz w:val="21"/>
          <w:szCs w:val="21"/>
        </w:rPr>
        <w:t xml:space="preserve">Distances are straight-line, not drive time.</w:t>
      </w:r>
    </w:p>
    <w:p>
      <w:pPr>
        <w:pStyle w:val="ListParagraph"/>
        <w:numPr>
          <w:ilvl w:val="0"/>
          <w:numId w:val="2"/>
        </w:numPr>
        <w:spacing w:after="90" w:line="276"/>
      </w:pPr>
      <w:r>
        <w:rPr>
          <w:rFonts w:ascii="Calibri" w:cs="Calibri" w:eastAsia="Calibri" w:hAnsi="Calibri"/>
          <w:color w:val="2B2620"/>
          <w:sz w:val="21"/>
          <w:szCs w:val="21"/>
        </w:rPr>
        <w:t xml:space="preserve">Without the optional Census step, every facility in a ZIP code shares one coordinate.</w:t>
      </w:r>
    </w:p>
    <w:p>
      <w:pPr>
        <w:pStyle w:val="ListParagraph"/>
        <w:numPr>
          <w:ilvl w:val="0"/>
          <w:numId w:val="2"/>
        </w:numPr>
        <w:spacing w:after="90" w:line="276"/>
      </w:pPr>
      <w:r>
        <w:rPr>
          <w:rFonts w:ascii="Calibri" w:cs="Calibri" w:eastAsia="Calibri" w:hAnsi="Calibri"/>
          <w:color w:val="2B2620"/>
          <w:sz w:val="21"/>
          <w:szCs w:val="21"/>
        </w:rPr>
        <w:t xml:space="preserve">The table caps at 400 displayed rows; the export does not.</w:t>
      </w:r>
    </w:p>
    <w:p>
      <w:pPr>
        <w:pStyle w:val="ListParagraph"/>
        <w:numPr>
          <w:ilvl w:val="0"/>
          <w:numId w:val="2"/>
        </w:numPr>
        <w:spacing w:after="90" w:line="276"/>
      </w:pPr>
      <w:r>
        <w:rPr>
          <w:rFonts w:ascii="Calibri" w:cs="Calibri" w:eastAsia="Calibri" w:hAnsi="Calibri"/>
          <w:color w:val="2B2620"/>
          <w:sz w:val="21"/>
          <w:szCs w:val="21"/>
        </w:rPr>
        <w:t xml:space="preserve">Facilities on probation are excluded. This is a product decision, reversible in one line of configuration.</w:t>
      </w:r>
    </w:p>
    <w:p>
      <w:pPr>
        <w:pStyle w:val="ListParagraph"/>
        <w:numPr>
          <w:ilvl w:val="0"/>
          <w:numId w:val="2"/>
        </w:numPr>
        <w:spacing w:after="90" w:line="276"/>
      </w:pPr>
      <w:r>
        <w:rPr>
          <w:rFonts w:ascii="Calibri" w:cs="Calibri" w:eastAsia="Calibri" w:hAnsi="Calibri"/>
          <w:color w:val="2B2620"/>
          <w:sz w:val="21"/>
          <w:szCs w:val="21"/>
        </w:rPr>
        <w:t xml:space="preserve">A saved session with street addresses occupies roughly 3.7 MB against a typical 5 MB browser limit, the least headroom of the three products.</w:t>
      </w:r>
    </w:p>
    <w:p>
      <w:pPr>
        <w:pStyle w:val="ListParagraph"/>
        <w:numPr>
          <w:ilvl w:val="0"/>
          <w:numId w:val="2"/>
        </w:numPr>
        <w:spacing w:after="90" w:line="276"/>
      </w:pPr>
      <w:r>
        <w:rPr>
          <w:rFonts w:ascii="Calibri" w:cs="Calibri" w:eastAsia="Calibri" w:hAnsi="Calibri"/>
          <w:color w:val="2B2620"/>
          <w:sz w:val="21"/>
          <w:szCs w:val="21"/>
        </w:rPr>
        <w:t xml:space="preserve">The software reads the published extract and does not verify it against the licensing agency.</w:t>
      </w:r>
    </w:p>
    <w:p>
      <w:pPr>
        <w:pStyle w:val="Heading2"/>
        <w:spacing w:after="120" w:before="280"/>
      </w:pPr>
      <w:r>
        <w:rPr>
          <w:rFonts w:ascii="Calibri" w:cs="Calibri" w:eastAsia="Calibri" w:hAnsi="Calibri"/>
          <w:b/>
          <w:bCs/>
          <w:color w:val="2B2620"/>
          <w:sz w:val="24"/>
          <w:szCs w:val="24"/>
        </w:rPr>
        <w:t xml:space="preserve">6.11 Maintenance checklist</w:t>
      </w:r>
    </w:p>
    <w:p>
      <w:pPr>
        <w:spacing w:after="140" w:line="276"/>
      </w:pPr>
      <w:r>
        <w:rPr>
          <w:rFonts w:ascii="Calibri" w:cs="Calibri" w:eastAsia="Calibri" w:hAnsi="Calibri"/>
          <w:color w:val="2B2620"/>
          <w:sz w:val="21"/>
          <w:szCs w:val="21"/>
        </w:rPr>
        <w:t xml:space="preserve">A short standing routine keeps the tool trustworthy:</w:t>
      </w:r>
    </w:p>
    <w:p>
      <w:pPr>
        <w:pStyle w:val="ListParagraph"/>
        <w:numPr>
          <w:ilvl w:val="0"/>
          <w:numId w:val="9"/>
        </w:numPr>
        <w:spacing w:after="100" w:line="276"/>
      </w:pPr>
      <w:r>
        <w:rPr>
          <w:rFonts w:ascii="Calibri" w:cs="Calibri" w:eastAsia="Calibri" w:hAnsi="Calibri"/>
          <w:color w:val="2B2620"/>
          <w:sz w:val="21"/>
          <w:szCs w:val="21"/>
        </w:rPr>
        <w:t xml:space="preserve">Refresh the source dataset on the cadence described in Part 8 and reload it with </w:t>
      </w:r>
      <w:r>
        <w:rPr>
          <w:rFonts w:ascii="Calibri" w:cs="Calibri" w:eastAsia="Calibri" w:hAnsi="Calibri"/>
          <w:b/>
          <w:bCs/>
          <w:color w:val="2B2620"/>
          <w:sz w:val="21"/>
          <w:szCs w:val="21"/>
        </w:rPr>
        <w:t xml:space="preserve">Add to what's already loaded</w:t>
      </w:r>
      <w:r>
        <w:rPr>
          <w:rFonts w:ascii="Calibri" w:cs="Calibri" w:eastAsia="Calibri" w:hAnsi="Calibri"/>
          <w:color w:val="2B2620"/>
          <w:sz w:val="21"/>
          <w:szCs w:val="21"/>
        </w:rPr>
        <w:t xml:space="preserve"> unchecked.</w:t>
      </w:r>
    </w:p>
    <w:p>
      <w:pPr>
        <w:pStyle w:val="ListParagraph"/>
        <w:numPr>
          <w:ilvl w:val="0"/>
          <w:numId w:val="9"/>
        </w:numPr>
        <w:spacing w:after="100" w:line="276"/>
      </w:pPr>
      <w:r>
        <w:rPr>
          <w:rFonts w:ascii="Calibri" w:cs="Calibri" w:eastAsia="Calibri" w:hAnsi="Calibri"/>
          <w:color w:val="2B2620"/>
          <w:sz w:val="21"/>
          <w:szCs w:val="21"/>
        </w:rPr>
        <w:t xml:space="preserve">Read the load message and compare the accepted and set-aside counts against the previous refresh. A sudden change in the set-aside count usually means the publisher changed the file structure.</w:t>
      </w:r>
    </w:p>
    <w:p>
      <w:pPr>
        <w:pStyle w:val="ListParagraph"/>
        <w:numPr>
          <w:ilvl w:val="0"/>
          <w:numId w:val="9"/>
        </w:numPr>
        <w:spacing w:after="100" w:line="276"/>
      </w:pPr>
      <w:r>
        <w:rPr>
          <w:rFonts w:ascii="Calibri" w:cs="Calibri" w:eastAsia="Calibri" w:hAnsi="Calibri"/>
          <w:color w:val="2B2620"/>
          <w:sz w:val="21"/>
          <w:szCs w:val="21"/>
        </w:rPr>
        <w:t xml:space="preserve">Confirm the filter dropdowns still list the categories you expect. A new category appearing in the source shows up here first.</w:t>
      </w:r>
    </w:p>
    <w:p>
      <w:pPr>
        <w:pStyle w:val="ListParagraph"/>
        <w:numPr>
          <w:ilvl w:val="0"/>
          <w:numId w:val="9"/>
        </w:numPr>
        <w:spacing w:after="100" w:line="276"/>
      </w:pPr>
      <w:r>
        <w:rPr>
          <w:rFonts w:ascii="Calibri" w:cs="Calibri" w:eastAsia="Calibri" w:hAnsi="Calibri"/>
          <w:color w:val="2B2620"/>
          <w:sz w:val="21"/>
          <w:szCs w:val="21"/>
        </w:rPr>
        <w:t xml:space="preserve">Spot-check three or four records against the publishing agency’s public lookup to confirm the extract is current.</w:t>
      </w:r>
    </w:p>
    <w:p>
      <w:pPr>
        <w:pStyle w:val="ListParagraph"/>
        <w:numPr>
          <w:ilvl w:val="0"/>
          <w:numId w:val="9"/>
        </w:numPr>
        <w:spacing w:after="100" w:line="276"/>
      </w:pPr>
      <w:r>
        <w:rPr>
          <w:rFonts w:ascii="Calibri" w:cs="Calibri" w:eastAsia="Calibri" w:hAnsi="Calibri"/>
          <w:color w:val="2B2620"/>
          <w:sz w:val="21"/>
          <w:szCs w:val="21"/>
        </w:rPr>
        <w:t xml:space="preserve">If the publisher adds columns you want, extend the parser, the column list, the export and, if they should persist, the stored field list, incrementing </w:t>
      </w:r>
      <w:r>
        <w:rPr>
          <w:rFonts w:ascii="Consolas" w:cs="Consolas" w:eastAsia="Consolas" w:hAnsi="Consolas"/>
          <w:color w:val="2B2620"/>
          <w:sz w:val="19"/>
          <w:szCs w:val="19"/>
        </w:rPr>
        <w:t xml:space="preserve">SESSION_VERSION</w:t>
      </w:r>
      <w:r>
        <w:rPr>
          <w:rFonts w:ascii="Calibri" w:cs="Calibri" w:eastAsia="Calibri" w:hAnsi="Calibri"/>
          <w:color w:val="2B2620"/>
          <w:sz w:val="21"/>
          <w:szCs w:val="21"/>
        </w:rPr>
        <w:t xml:space="preserve">.</w:t>
      </w:r>
    </w:p>
    <w:p>
      <w:r>
        <w:br w:type="page"/>
      </w:r>
    </w:p>
    <w:p>
      <w:pPr>
        <w:pStyle w:val="Heading1"/>
        <w:spacing w:after="160" w:before="360"/>
      </w:pPr>
      <w:r>
        <w:rPr>
          <w:rFonts w:ascii="Calibri" w:cs="Calibri" w:eastAsia="Calibri" w:hAnsi="Calibri"/>
          <w:b/>
          <w:bCs/>
          <w:color w:val="1F5F74"/>
          <w:sz w:val="30"/>
          <w:szCs w:val="30"/>
        </w:rPr>
        <w:t xml:space="preserve">7. Troubleshooting</w:t>
      </w:r>
    </w:p>
    <w:p>
      <w:pPr>
        <w:spacing w:after="140" w:line="276"/>
      </w:pPr>
      <w:r>
        <w:rPr>
          <w:rFonts w:ascii="Calibri" w:cs="Calibri" w:eastAsia="Calibri" w:hAnsi="Calibri"/>
          <w:color w:val="2B2620"/>
          <w:sz w:val="21"/>
          <w:szCs w:val="21"/>
        </w:rPr>
        <w:t xml:space="preserve">Symptoms are listed in the order an operator is likely to meet them. Each entry gives the cause as well as the remedy, because an operator who understands the cause can usually tell whether the remedy worked.</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553"/>
        <w:gridCol w:w="3404"/>
        <w:gridCol w:w="3403"/>
      </w:tblGrid>
      <w:tr>
        <w:trPr>
          <w:tblHeader/>
        </w:trPr>
        <w:tc>
          <w:tcPr>
            <w:tcW w:type="dxa" w:w="2553"/>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Symptom</w:t>
            </w:r>
          </w:p>
        </w:tc>
        <w:tc>
          <w:tcPr>
            <w:tcW w:type="dxa" w:w="340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Cause</w:t>
            </w:r>
          </w:p>
        </w:tc>
        <w:tc>
          <w:tcPr>
            <w:tcW w:type="dxa" w:w="3403"/>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Remedy</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Map area is blank or grey</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Map tiles require an internet connection.</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table, filters and export work offline.</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Nothing loads from the file</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parser could not find a required column.</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message names the missing column. Confirm you downloaded the Residential Care Facilities for the Elderly resource.</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Counts are lower than expected</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Closed and on-probation facilities are excluded by design.</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Read the load message, which states each category separately.</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size filter hides facilities you expected</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Those records have a missing or zero capacity and fall into no band.</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Clear the size filter to see them; check the Beds column.</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Switching to one pin per facility changes nothing</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More than 600 facilities are showing.</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Filter to a county or city first. The legend states this when it applies.</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Pin sizes all look the same</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filtered set is all in one bed band.</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Expected behaviour. Clear the size filter to see the range.</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Reference address not found</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Street addresses need an online lookup, which may fail.</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Use the city or 5-digit ZIP instead; both resolve offline.</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Session does not survive a refresh</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full session with street addresses is close to the browser storage limit.</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tool says so plainly when a save fails. Clear other site data, or work without imported addresses.</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Census rejects the upload as malformed</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uploaded file lost its </w:t>
            </w:r>
            <w:r>
              <w:rPr>
                <w:rFonts w:ascii="Consolas" w:cs="Consolas" w:eastAsia="Consolas" w:hAnsi="Consolas"/>
                <w:b w:val="false"/>
                <w:bCs w:val="false"/>
                <w:color w:val="2B2620"/>
                <w:sz w:val="19"/>
                <w:szCs w:val="19"/>
              </w:rPr>
              <w:t xml:space="preserve">.csv</w:t>
            </w:r>
            <w:r>
              <w:rPr>
                <w:rFonts w:ascii="Calibri" w:cs="Calibri" w:eastAsia="Calibri" w:hAnsi="Calibri"/>
                <w:b w:val="false"/>
                <w:bCs w:val="false"/>
                <w:color w:val="2B2620"/>
                <w:sz w:val="19"/>
                <w:szCs w:val="19"/>
              </w:rPr>
              <w:t xml:space="preserve"> extension.</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Restore the extension and upload again.</w:t>
            </w:r>
          </w:p>
        </w:tc>
      </w:tr>
      <w:tr>
        <w:tc>
          <w:tcPr>
            <w:tcW w:type="dxa" w:w="255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Table appears to be missing facilities</w:t>
            </w:r>
          </w:p>
        </w:tc>
        <w:tc>
          <w:tcPr>
            <w:tcW w:type="dxa" w:w="340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Display caps at 400 rows.</w:t>
            </w:r>
          </w:p>
        </w:tc>
        <w:tc>
          <w:tcPr>
            <w:tcW w:type="dxa" w:w="34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Narrow the filters or export, which includes every matching row.</w:t>
            </w:r>
          </w:p>
        </w:tc>
      </w:tr>
    </w:tbl>
    <w:p>
      <w:pPr>
        <w:spacing w:after="160"/>
      </w:pPr>
    </w:p>
    <w:p>
      <w:pPr>
        <w:pStyle w:val="Heading2"/>
        <w:spacing w:after="120" w:before="280"/>
      </w:pPr>
      <w:r>
        <w:rPr>
          <w:rFonts w:ascii="Calibri" w:cs="Calibri" w:eastAsia="Calibri" w:hAnsi="Calibri"/>
          <w:b/>
          <w:bCs/>
          <w:color w:val="2B2620"/>
          <w:sz w:val="24"/>
          <w:szCs w:val="24"/>
        </w:rPr>
        <w:t xml:space="preserve">7.1 Diagnosing anything not listed</w:t>
      </w:r>
    </w:p>
    <w:p>
      <w:pPr>
        <w:spacing w:after="140" w:line="276"/>
      </w:pPr>
      <w:r>
        <w:rPr>
          <w:rFonts w:ascii="Calibri" w:cs="Calibri" w:eastAsia="Calibri" w:hAnsi="Calibri"/>
          <w:color w:val="2B2620"/>
          <w:sz w:val="21"/>
          <w:szCs w:val="21"/>
        </w:rPr>
        <w:t xml:space="preserve">Open the browser developer console (F12 in most browsers, then the Console tab) and reload the page. The application logs nothing during normal operation, so any message there is meaningful. Load the dataset again with the console open and note the first error rather than the last; later errors are usually consequences of the first.</w:t>
      </w:r>
    </w:p>
    <w:p>
      <w:pPr>
        <w:spacing w:after="140" w:line="276"/>
      </w:pPr>
      <w:r>
        <w:rPr>
          <w:rFonts w:ascii="Calibri" w:cs="Calibri" w:eastAsia="Calibri" w:hAnsi="Calibri"/>
          <w:color w:val="2B2620"/>
          <w:sz w:val="21"/>
          <w:szCs w:val="21"/>
        </w:rPr>
        <w:t xml:space="preserve">If the symptom involves counts that look wrong, compare them against the load message, which states exactly how many records were accepted, how many were set aside, and why. That message is the authoritative account of what the parser did.</w:t>
      </w:r>
    </w:p>
    <w:p>
      <w:r>
        <w:br w:type="page"/>
      </w:r>
    </w:p>
    <w:p>
      <w:pPr>
        <w:pStyle w:val="Heading1"/>
        <w:spacing w:after="160" w:before="360"/>
      </w:pPr>
      <w:r>
        <w:rPr>
          <w:rFonts w:ascii="Calibri" w:cs="Calibri" w:eastAsia="Calibri" w:hAnsi="Calibri"/>
          <w:b/>
          <w:bCs/>
          <w:color w:val="1F5F74"/>
          <w:sz w:val="30"/>
          <w:szCs w:val="30"/>
        </w:rPr>
        <w:t xml:space="preserve">8. Data Sources, Attribution and Refresh</w:t>
      </w:r>
    </w:p>
    <w:p>
      <w:pPr>
        <w:pStyle w:val="Heading2"/>
        <w:spacing w:after="120" w:before="280"/>
      </w:pPr>
      <w:r>
        <w:rPr>
          <w:rFonts w:ascii="Calibri" w:cs="Calibri" w:eastAsia="Calibri" w:hAnsi="Calibri"/>
          <w:b/>
          <w:bCs/>
          <w:color w:val="2B2620"/>
          <w:sz w:val="24"/>
          <w:szCs w:val="24"/>
        </w:rPr>
        <w:t xml:space="preserve">8.1 Primary dataset</w:t>
      </w:r>
    </w:p>
    <w:p>
      <w:pPr>
        <w:spacing w:after="140" w:line="276"/>
      </w:pPr>
      <w:r>
        <w:rPr>
          <w:rFonts w:ascii="Calibri" w:cs="Calibri" w:eastAsia="Calibri" w:hAnsi="Calibri"/>
          <w:color w:val="2B2620"/>
          <w:sz w:val="21"/>
          <w:szCs w:val="21"/>
        </w:rPr>
        <w:t xml:space="preserve">The software reads the Residential Care Facilities for the Elderly file published by the California Department of Social Services, Community Care Licensing Division, through the California Health and Human Services Open Data Portal. The dataset page carries several facility types; the Residential Care Facilities for the Elderly resource is the correct one for this product.</w:t>
      </w: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674"/>
        <w:gridCol w:w="6686"/>
      </w:tblGrid>
      <w:tr>
        <w:trPr>
          <w:tblHeader/>
        </w:trPr>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Attribute</w:t>
            </w:r>
          </w:p>
        </w:tc>
        <w:tc>
          <w:tcPr>
            <w:tcW w:type="dxa" w:w="6686"/>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Value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Publisher</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California Department of Social Services, Community Care Licensing Division</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Dataset</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Community Care Licensing Facilities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Resource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Residential Care Facilities for the Elderly (CSV)</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Dataset page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https://data.chhs.ca.gov/dataset/ccl-facilities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Mirror</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https://data.ca.gov/dataset/community-care-licensing-facilities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Data dictionary</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Data Dictionary - Residential Care Facilities for the Elderly, on the same dataset page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Division data hub</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https://cdss.ca.gov/inforesources/cdss-programs/community-care-licensing/ccld-data</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Publisher contact</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opendata@cdss.ca.gov</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Reference extract used for this manual</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ResidentialElderCareFacility09132026.csv, 13,230 records, of which 9,420 loaded</w:t>
            </w:r>
          </w:p>
        </w:tc>
      </w:tr>
    </w:tbl>
    <w:p>
      <w:pPr>
        <w:spacing w:after="160"/>
      </w:pPr>
    </w:p>
    <w:p>
      <w:pPr>
        <w:pStyle w:val="Heading2"/>
        <w:spacing w:after="120" w:before="280"/>
      </w:pPr>
      <w:r>
        <w:rPr>
          <w:rFonts w:ascii="Calibri" w:cs="Calibri" w:eastAsia="Calibri" w:hAnsi="Calibri"/>
          <w:b/>
          <w:bCs/>
          <w:color w:val="2B2620"/>
          <w:sz w:val="24"/>
          <w:szCs w:val="24"/>
        </w:rPr>
        <w:t xml:space="preserve">8.2 Supporting data built into the software</w:t>
      </w:r>
    </w:p>
    <w:p>
      <w:pPr>
        <w:spacing w:after="140" w:line="276"/>
      </w:pPr>
      <w:r>
        <w:rPr>
          <w:rFonts w:ascii="Calibri" w:cs="Calibri" w:eastAsia="Calibri" w:hAnsi="Calibri"/>
          <w:color w:val="2B2620"/>
          <w:sz w:val="21"/>
          <w:szCs w:val="21"/>
        </w:rPr>
        <w:t xml:space="preserve">Coordinate lookup tables are embedded in the application file, derived from the U.S. Census Bureau 2023 Gazetteer: 1,802 California ZIP Code Tabulation Area centres and 1,594 California place names. These are static and require no refreshing. The gazetteer files are published at https://www.census.gov/geographies/reference-files/time-series/geo/gazetteer-files.html. The optional street-address step uses the Census batch address geocoder at https://geocoding.geo.census.gov/geocoder/locations/addressbatch?form.</w:t>
      </w:r>
    </w:p>
    <w:p>
      <w:pPr>
        <w:pStyle w:val="Heading2"/>
        <w:spacing w:after="120" w:before="280"/>
      </w:pPr>
      <w:r>
        <w:rPr>
          <w:rFonts w:ascii="Calibri" w:cs="Calibri" w:eastAsia="Calibri" w:hAnsi="Calibri"/>
          <w:b/>
          <w:bCs/>
          <w:color w:val="2B2620"/>
          <w:sz w:val="24"/>
          <w:szCs w:val="24"/>
        </w:rPr>
        <w:t xml:space="preserve">8.3 Map background</w:t>
      </w:r>
    </w:p>
    <w:p>
      <w:pPr>
        <w:spacing w:after="140" w:line="276"/>
      </w:pPr>
      <w:r>
        <w:rPr>
          <w:rFonts w:ascii="Calibri" w:cs="Calibri" w:eastAsia="Calibri" w:hAnsi="Calibri"/>
          <w:color w:val="2B2620"/>
          <w:sz w:val="21"/>
          <w:szCs w:val="21"/>
        </w:rPr>
        <w:t xml:space="preserve">Map tiles are served by Esri’s World Street Map service at </w:t>
      </w:r>
      <w:r>
        <w:rPr>
          <w:rFonts w:ascii="Consolas" w:cs="Consolas" w:eastAsia="Consolas" w:hAnsi="Consolas"/>
          <w:color w:val="2B2620"/>
          <w:sz w:val="19"/>
          <w:szCs w:val="19"/>
        </w:rPr>
        <w:t xml:space="preserve">https://server.arcgisonline.com/ArcGIS/rest/services/World_Street_Map/MapServer</w:t>
      </w:r>
      <w:r>
        <w:rPr>
          <w:rFonts w:ascii="Calibri" w:cs="Calibri" w:eastAsia="Calibri" w:hAnsi="Calibri"/>
          <w:color w:val="2B2620"/>
          <w:sz w:val="21"/>
          <w:szCs w:val="21"/>
        </w:rPr>
        <w:t xml:space="preserve">. This service is used anonymously and without an API key. The street-map style was chosen over a plain or satellite style because it draws visible county and city boundaries, which matters when the data itself is organised by county. Tiles are the only outbound request the application makes in normal operation, and they carry no information about the loaded dataset.</w:t>
      </w:r>
    </w:p>
    <w:p>
      <w:pPr>
        <w:spacing w:after="140" w:line="276"/>
      </w:pPr>
      <w:r>
        <w:rPr>
          <w:rFonts w:ascii="Calibri" w:cs="Calibri" w:eastAsia="Calibri" w:hAnsi="Calibri"/>
          <w:color w:val="2B2620"/>
          <w:sz w:val="21"/>
          <w:szCs w:val="21"/>
        </w:rPr>
        <w:t xml:space="preserve">The mapping library is Leaflet 1.9.4, embedded in the file rather than loaded from a content delivery network, so the application does not depend on any third party remaining available.</w:t>
      </w:r>
    </w:p>
    <w:p>
      <w:pPr>
        <w:pStyle w:val="Heading2"/>
        <w:spacing w:after="120" w:before="280"/>
      </w:pPr>
      <w:r>
        <w:rPr>
          <w:rFonts w:ascii="Calibri" w:cs="Calibri" w:eastAsia="Calibri" w:hAnsi="Calibri"/>
          <w:b/>
          <w:bCs/>
          <w:color w:val="2B2620"/>
          <w:sz w:val="24"/>
          <w:szCs w:val="24"/>
        </w:rPr>
        <w:t xml:space="preserve">8.4 Refresh procedure</w:t>
      </w:r>
    </w:p>
    <w:p>
      <w:pPr>
        <w:spacing w:after="140" w:line="276"/>
      </w:pPr>
      <w:r>
        <w:rPr>
          <w:rFonts w:ascii="Calibri" w:cs="Calibri" w:eastAsia="Calibri" w:hAnsi="Calibri"/>
          <w:color w:val="2B2620"/>
          <w:sz w:val="21"/>
          <w:szCs w:val="21"/>
        </w:rPr>
        <w:t xml:space="preserve">The source dataset is a snapshot. The publisher updates the Community Care Licensing extracts periodically rather than on a fixed schedule, so check the dataset page for the last-updated date rather than assuming a cadence. To refresh:</w:t>
      </w:r>
    </w:p>
    <w:p>
      <w:pPr>
        <w:pStyle w:val="ListParagraph"/>
        <w:numPr>
          <w:ilvl w:val="0"/>
          <w:numId w:val="10"/>
        </w:numPr>
        <w:spacing w:after="100" w:line="276"/>
      </w:pPr>
      <w:r>
        <w:rPr>
          <w:rFonts w:ascii="Calibri" w:cs="Calibri" w:eastAsia="Calibri" w:hAnsi="Calibri"/>
          <w:color w:val="2B2620"/>
          <w:sz w:val="21"/>
          <w:szCs w:val="21"/>
        </w:rPr>
        <w:t xml:space="preserve">Download the current Residential Care Facilities for the Elderly CSV from the dataset page.</w:t>
      </w:r>
    </w:p>
    <w:p>
      <w:pPr>
        <w:pStyle w:val="ListParagraph"/>
        <w:numPr>
          <w:ilvl w:val="0"/>
          <w:numId w:val="10"/>
        </w:numPr>
        <w:spacing w:after="100" w:line="276"/>
      </w:pPr>
      <w:r>
        <w:rPr>
          <w:rFonts w:ascii="Calibri" w:cs="Calibri" w:eastAsia="Calibri" w:hAnsi="Calibri"/>
          <w:color w:val="2B2620"/>
          <w:sz w:val="21"/>
          <w:szCs w:val="21"/>
        </w:rPr>
        <w:t xml:space="preserve">Open the tool and click </w:t>
      </w:r>
      <w:r>
        <w:rPr>
          <w:rFonts w:ascii="Calibri" w:cs="Calibri" w:eastAsia="Calibri" w:hAnsi="Calibri"/>
          <w:b/>
          <w:bCs/>
          <w:color w:val="2B2620"/>
          <w:sz w:val="21"/>
          <w:szCs w:val="21"/>
        </w:rPr>
        <w:t xml:space="preserve">Choose file</w:t>
      </w:r>
      <w:r>
        <w:rPr>
          <w:rFonts w:ascii="Calibri" w:cs="Calibri" w:eastAsia="Calibri" w:hAnsi="Calibri"/>
          <w:color w:val="2B2620"/>
          <w:sz w:val="21"/>
          <w:szCs w:val="21"/>
        </w:rPr>
        <w:t xml:space="preserve">, leaving </w:t>
      </w:r>
      <w:r>
        <w:rPr>
          <w:rFonts w:ascii="Calibri" w:cs="Calibri" w:eastAsia="Calibri" w:hAnsi="Calibri"/>
          <w:b/>
          <w:bCs/>
          <w:color w:val="2B2620"/>
          <w:sz w:val="21"/>
          <w:szCs w:val="21"/>
        </w:rPr>
        <w:t xml:space="preserve">Add to what’s already loaded</w:t>
      </w:r>
      <w:r>
        <w:rPr>
          <w:rFonts w:ascii="Calibri" w:cs="Calibri" w:eastAsia="Calibri" w:hAnsi="Calibri"/>
          <w:color w:val="2B2620"/>
          <w:sz w:val="21"/>
          <w:szCs w:val="21"/>
        </w:rPr>
        <w:t xml:space="preserve"> unchecked.</w:t>
      </w:r>
    </w:p>
    <w:p>
      <w:pPr>
        <w:pStyle w:val="ListParagraph"/>
        <w:numPr>
          <w:ilvl w:val="0"/>
          <w:numId w:val="10"/>
        </w:numPr>
        <w:spacing w:after="100" w:line="276"/>
      </w:pPr>
      <w:r>
        <w:rPr>
          <w:rFonts w:ascii="Calibri" w:cs="Calibri" w:eastAsia="Calibri" w:hAnsi="Calibri"/>
          <w:color w:val="2B2620"/>
          <w:sz w:val="21"/>
          <w:szCs w:val="21"/>
        </w:rPr>
        <w:t xml:space="preserve">Read the load message and compare the counts against your previous refresh.</w:t>
      </w:r>
    </w:p>
    <w:p>
      <w:pPr>
        <w:pStyle w:val="ListParagraph"/>
        <w:numPr>
          <w:ilvl w:val="0"/>
          <w:numId w:val="10"/>
        </w:numPr>
        <w:spacing w:after="100" w:line="276"/>
      </w:pPr>
      <w:r>
        <w:rPr>
          <w:rFonts w:ascii="Calibri" w:cs="Calibri" w:eastAsia="Calibri" w:hAnsi="Calibri"/>
          <w:color w:val="2B2620"/>
          <w:sz w:val="21"/>
          <w:szCs w:val="21"/>
        </w:rPr>
        <w:t xml:space="preserve">If you use exact street addresses, run the Census step again, since new facilities will not be in the cache.</w:t>
      </w:r>
    </w:p>
    <w:p>
      <w:pPr>
        <w:pBdr>
          <w:left w:val="single" w:color="1F5F74" w:sz="12" w:space="12"/>
        </w:pBdr>
        <w:spacing w:after="160" w:before="120" w:line="276"/>
        <w:ind w:left="360"/>
      </w:pPr>
      <w:r>
        <w:rPr>
          <w:rFonts w:ascii="Calibri" w:cs="Calibri" w:eastAsia="Calibri" w:hAnsi="Calibri"/>
          <w:i/>
          <w:iCs/>
          <w:color w:val="2B2620"/>
          <w:sz w:val="20"/>
          <w:szCs w:val="20"/>
        </w:rPr>
        <w:t xml:space="preserve">Leave </w:t>
      </w:r>
      <w:r>
        <w:rPr>
          <w:rFonts w:ascii="Calibri" w:cs="Calibri" w:eastAsia="Calibri" w:hAnsi="Calibri"/>
          <w:b/>
          <w:bCs/>
          <w:i/>
          <w:iCs/>
          <w:color w:val="2B2620"/>
          <w:sz w:val="20"/>
          <w:szCs w:val="20"/>
        </w:rPr>
        <w:t xml:space="preserve">Add to what’s already loaded</w:t>
      </w:r>
      <w:r>
        <w:rPr>
          <w:rFonts w:ascii="Calibri" w:cs="Calibri" w:eastAsia="Calibri" w:hAnsi="Calibri"/>
          <w:i/>
          <w:iCs/>
          <w:color w:val="2B2620"/>
          <w:sz w:val="20"/>
          <w:szCs w:val="20"/>
        </w:rPr>
        <w:t xml:space="preserve"> unchecked when refreshing. That option exists to merge two different extracts, not to update one. Checked, it keeps every record already loaded and only appends unseen facility numbers, so records that have since closed would survive indefinitely.</w:t>
      </w:r>
    </w:p>
    <w:p>
      <w:pPr>
        <w:pStyle w:val="Heading2"/>
        <w:spacing w:after="120" w:before="280"/>
      </w:pPr>
      <w:r>
        <w:rPr>
          <w:rFonts w:ascii="Calibri" w:cs="Calibri" w:eastAsia="Calibri" w:hAnsi="Calibri"/>
          <w:b/>
          <w:bCs/>
          <w:color w:val="2B2620"/>
          <w:sz w:val="24"/>
          <w:szCs w:val="24"/>
        </w:rPr>
        <w:t xml:space="preserve">8.5 Terms of use</w:t>
      </w:r>
    </w:p>
    <w:p>
      <w:pPr>
        <w:spacing w:after="140" w:line="276"/>
      </w:pPr>
      <w:r>
        <w:rPr>
          <w:rFonts w:ascii="Calibri" w:cs="Calibri" w:eastAsia="Calibri" w:hAnsi="Calibri"/>
          <w:color w:val="2B2620"/>
          <w:sz w:val="21"/>
          <w:szCs w:val="21"/>
        </w:rPr>
        <w:t xml:space="preserve">The state datasets are public records published on California open data portals. Republication terms are set by the publishing agency and are stated on the dataset pages linked above; operators intending to redistribute the raw data, as opposed to using it, should read those terms. The Census Bureau gazetteer files are United States government works in the public domain. Neither the datasets nor the map tiles are claimed as part of the copyrighted work described by this manual.</w:t>
      </w:r>
    </w:p>
    <w:p>
      <w:r>
        <w:br w:type="page"/>
      </w:r>
    </w:p>
    <w:p>
      <w:pPr>
        <w:pStyle w:val="Heading1"/>
        <w:spacing w:after="160" w:before="360"/>
      </w:pPr>
      <w:r>
        <w:rPr>
          <w:rFonts w:ascii="Calibri" w:cs="Calibri" w:eastAsia="Calibri" w:hAnsi="Calibri"/>
          <w:b/>
          <w:bCs/>
          <w:color w:val="1F5F74"/>
          <w:sz w:val="30"/>
          <w:szCs w:val="30"/>
        </w:rPr>
        <w:t xml:space="preserve">Appendix A. Source Field Mapping</w:t>
      </w:r>
    </w:p>
    <w:p>
      <w:pPr>
        <w:spacing w:after="140" w:line="276"/>
      </w:pPr>
      <w:r>
        <w:rPr>
          <w:rFonts w:ascii="Calibri" w:cs="Calibri" w:eastAsia="Calibri" w:hAnsi="Calibri"/>
          <w:color w:val="2B2620"/>
          <w:sz w:val="21"/>
          <w:szCs w:val="21"/>
        </w:rPr>
        <w:t xml:space="preserve">Every column the parser reads from the source file, the internal record field it populates, and any transformation applied. Columns present in the source but absent from this table are not read; they are ignored without error, which is what allows the software to tolerate a source file that gains columns over time.</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3120"/>
        <w:gridCol w:w="2340"/>
        <w:gridCol w:w="3900"/>
      </w:tblGrid>
      <w:tr>
        <w:trPr>
          <w:tblHeader/>
        </w:trPr>
        <w:tc>
          <w:tcPr>
            <w:tcW w:type="dxa" w:w="312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Source column</w:t>
            </w:r>
          </w:p>
        </w:tc>
        <w:tc>
          <w:tcPr>
            <w:tcW w:type="dxa" w:w="234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Internal field</w:t>
            </w:r>
          </w:p>
        </w:tc>
        <w:tc>
          <w:tcPr>
            <w:tcW w:type="dxa" w:w="3900"/>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Transformation</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Number</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facilityNumber</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Kept verbatim. De-duplication key and address cache key.</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Name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name</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 with business suffixes such as LLC restored to upper case.</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Licensee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licensee</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 Hidden in the table when identical to the facility name.</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Administrator</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administrator</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Telephone Number</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phone</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Kept verbatim.</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Address</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address</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City</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city</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cityKey</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 for display; upper case retained as the grouping key.</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Zip</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zip</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Kept verbatim. First five digits used for coordinate lookup.</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County Name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county</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Title-cased.</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Type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isCcrc</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Tested against a continuing-care pattern to produce a boolean.</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Capacity</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capacity</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capacityBand</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Parsed as an integer and mapped to one of five bands.</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Facility Status</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status</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Upper-cased. Drives inclusion and the shifted-row guard.</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License First Date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licenseDate</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Kept verbatim; parsed to a timestamp for sorting.</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Last Visit Date</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lastVisitDate</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Kept verbatim; parsed to a timestamp for sorting.</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Inspection 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Complaint 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Other 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Total Visits</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inspectionVisits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complaintVisits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otherVisits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totalVisits</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Parsed as integers, defaulting to zero.</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Total Allegations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Substantiated Allegations</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allegations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substantiated</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Parsed as integers.</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Citation Numbers</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citations</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citationText</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Split on commas to produce a count; full text retained for the hover title.</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Inspect TypeA</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Other TypeA</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Complaint Type A</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typeA</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Summed.</w:t>
            </w:r>
          </w:p>
        </w:tc>
      </w:tr>
      <w:tr>
        <w:tc>
          <w:tcPr>
            <w:tcW w:type="dxa" w:w="312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Inspect TypeB</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Other TypeB</w:t>
            </w:r>
            <w:r>
              <w:rPr>
                <w:rFonts w:ascii="Calibri" w:cs="Calibri" w:eastAsia="Calibri" w:hAnsi="Calibri"/>
                <w:b w:val="false"/>
                <w:bCs w:val="false"/>
                <w:color w:val="2B2620"/>
                <w:sz w:val="19"/>
                <w:szCs w:val="19"/>
              </w:rPr>
              <w:t xml:space="preserve">, </w:t>
            </w:r>
            <w:r>
              <w:rPr>
                <w:rFonts w:ascii="Consolas" w:cs="Consolas" w:eastAsia="Consolas" w:hAnsi="Consolas"/>
                <w:b w:val="false"/>
                <w:bCs w:val="false"/>
                <w:color w:val="2B2620"/>
                <w:sz w:val="19"/>
                <w:szCs w:val="19"/>
              </w:rPr>
              <w:t xml:space="preserve">Complaint Type B</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typeB</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Summed.</w:t>
            </w:r>
          </w:p>
        </w:tc>
      </w:tr>
      <w:tr>
        <w:tc>
          <w:tcPr>
            <w:tcW w:type="dxa" w:w="312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Complaint tail</w:t>
            </w:r>
          </w:p>
        </w:tc>
        <w:tc>
          <w:tcPr>
            <w:tcW w:type="dxa" w:w="2340"/>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2B2620"/>
                <w:sz w:val="19"/>
                <w:szCs w:val="19"/>
              </w:rPr>
              <w:t xml:space="preserve">complaints</w:t>
            </w:r>
          </w:p>
        </w:tc>
        <w:tc>
          <w:tcPr>
            <w:tcW w:type="dxa" w:w="3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Whole seven-field blocks counted; partial trailing blocks ignored.</w:t>
            </w:r>
          </w:p>
        </w:tc>
      </w:tr>
    </w:tbl>
    <w:p>
      <w:pPr>
        <w:spacing w:after="160"/>
      </w:pPr>
    </w:p>
    <w:p>
      <w:pPr>
        <w:spacing w:after="140" w:line="276"/>
      </w:pPr>
      <w:r>
        <w:rPr>
          <w:rFonts w:ascii="Calibri" w:cs="Calibri" w:eastAsia="Calibri" w:hAnsi="Calibri"/>
          <w:color w:val="2B2620"/>
          <w:sz w:val="21"/>
          <w:szCs w:val="21"/>
        </w:rPr>
        <w:t xml:space="preserve">Columns present in the source but not read include Regional Office, Closed Date, POC Dates, the visit-date list columns, and the Inconclusive, Unsubstantiated and Unfounded allegation counts. The allegation columns are available in the source should a future version surface them; only the substantiated figure is displayed today, because it is the one with a clear interpretation.</w:t>
      </w:r>
    </w:p>
    <w:p>
      <w:r>
        <w:br w:type="page"/>
      </w:r>
    </w:p>
    <w:p>
      <w:pPr>
        <w:pStyle w:val="Heading1"/>
        <w:spacing w:after="160" w:before="360"/>
      </w:pPr>
      <w:r>
        <w:rPr>
          <w:rFonts w:ascii="Calibri" w:cs="Calibri" w:eastAsia="Calibri" w:hAnsi="Calibri"/>
          <w:b/>
          <w:bCs/>
          <w:color w:val="1F5F74"/>
          <w:sz w:val="30"/>
          <w:szCs w:val="30"/>
        </w:rPr>
        <w:t xml:space="preserve">Appendix B. Glossary</w:t>
      </w:r>
    </w:p>
    <w:p>
      <w:pPr>
        <w:spacing w:after="160"/>
      </w:pPr>
    </w:p>
    <w:tbl>
      <w:tblPr>
        <w:tblW w:type="dxa" w:w="9360"/>
        <w:tblBorders>
          <w:top w:val="single" w:color="E3DCCF" w:sz="4"/>
          <w:left w:val="single" w:color="E3DCCF" w:sz="4"/>
          <w:bottom w:val="single" w:color="E3DCCF" w:sz="4"/>
          <w:right w:val="single" w:color="E3DCCF" w:sz="4"/>
          <w:insideH w:val="single" w:color="E3DCCF" w:sz="2"/>
          <w:insideV w:val="single" w:color="E3DCCF" w:sz="2"/>
        </w:tblBorders>
      </w:tblPr>
      <w:tblGrid>
        <w:gridCol w:w="2674"/>
        <w:gridCol w:w="6686"/>
      </w:tblGrid>
      <w:tr>
        <w:trPr>
          <w:tblHeader/>
        </w:trPr>
        <w:tc>
          <w:tcPr>
            <w:tcW w:type="dxa" w:w="2674"/>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Term</w:t>
            </w:r>
          </w:p>
        </w:tc>
        <w:tc>
          <w:tcPr>
            <w:tcW w:type="dxa" w:w="6686"/>
            <w:shd w:fill="F1ECE2" w:color="auto" w:val="clear"/>
            <w:tcMar>
              <w:top w:type="dxa" w:w="80"/>
              <w:left w:type="dxa" w:w="120"/>
              <w:bottom w:type="dxa" w:w="80"/>
              <w:right w:type="dxa" w:w="120"/>
            </w:tcMar>
          </w:tcPr>
          <w:p>
            <w:pPr>
              <w:spacing w:after="0" w:line="252"/>
            </w:pPr>
            <w:r>
              <w:rPr>
                <w:rFonts w:ascii="Calibri" w:cs="Calibri" w:eastAsia="Calibri" w:hAnsi="Calibri"/>
                <w:b/>
                <w:bCs/>
                <w:color w:val="2B2620"/>
                <w:sz w:val="19"/>
                <w:szCs w:val="19"/>
              </w:rPr>
              <w:t xml:space="preserve">Definition</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RCFE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Residential Care Facility for the Elderly, licensed by the California Department of Social Services.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CCRC</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Continuing Care Retirement Community, a facility type offering a progression of care levels on one campus.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Board and care</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Informal term for the small residential facilities, typically six beds or fewer, that make up the large majority of licensed RCFEs.</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Type A citation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more serious citation classification, indicating a violation presenting an immediate or substantial hazard.</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Type B citation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less serious classification.</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Licensed capacity</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The maximum number of residents a facility is licensed to serve. Not a measure of occupancy.</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Substantiated allegation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complaint allegation the licensing agency found to be supported by evidence.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Unfounded allegation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An allegation the agency determined to be false. Tracked separately in this dataset but not displayed.</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ZIP Code Tabulation Area</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Census Bureau approximation of a ZIP code as an area, used here to supply a coordinate.</w:t>
            </w:r>
          </w:p>
        </w:tc>
      </w:tr>
      <w:tr>
        <w:tc>
          <w:tcPr>
            <w:tcW w:type="dxa" w:w="267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Reference pin</w:t>
            </w:r>
          </w:p>
        </w:tc>
        <w:tc>
          <w:tcPr>
            <w:tcW w:type="dxa" w:w="668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2B2620"/>
                <w:sz w:val="19"/>
                <w:szCs w:val="19"/>
              </w:rPr>
              <w:t xml:space="preserve">A marker the operator places at an address of their choosing, from which all distances are measured.</w:t>
            </w:r>
          </w:p>
        </w:tc>
      </w:tr>
    </w:tbl>
    <w:p>
      <w:r>
        <w:br w:type="page"/>
      </w:r>
    </w:p>
    <w:p>
      <w:pPr>
        <w:pStyle w:val="Heading1"/>
        <w:spacing w:after="160" w:before="360"/>
      </w:pPr>
      <w:r>
        <w:rPr>
          <w:rFonts w:ascii="Calibri" w:cs="Calibri" w:eastAsia="Calibri" w:hAnsi="Calibri"/>
          <w:b/>
          <w:bCs/>
          <w:color w:val="1F5F74"/>
          <w:sz w:val="30"/>
          <w:szCs w:val="30"/>
        </w:rPr>
        <w:t xml:space="preserve">Appendix C. Notices</w:t>
      </w:r>
    </w:p>
    <w:p>
      <w:pPr>
        <w:pStyle w:val="Heading2"/>
        <w:spacing w:after="120" w:before="280"/>
      </w:pPr>
      <w:r>
        <w:rPr>
          <w:rFonts w:ascii="Calibri" w:cs="Calibri" w:eastAsia="Calibri" w:hAnsi="Calibri"/>
          <w:b/>
          <w:bCs/>
          <w:color w:val="2B2620"/>
          <w:sz w:val="24"/>
          <w:szCs w:val="24"/>
        </w:rPr>
        <w:t xml:space="preserve">C.1 Copyright</w:t>
      </w:r>
    </w:p>
    <w:p>
      <w:pPr>
        <w:spacing w:after="140" w:line="276"/>
      </w:pPr>
      <w:r>
        <w:rPr>
          <w:rFonts w:ascii="Calibri" w:cs="Calibri" w:eastAsia="Calibri" w:hAnsi="Calibri"/>
          <w:color w:val="2B2620"/>
          <w:sz w:val="21"/>
          <w:szCs w:val="21"/>
        </w:rPr>
        <w:t xml:space="preserve">Copyright © 2026 Spencer Rogers. All rights reserved. Residential Care Facility Map and this manual are original works of authorship. No part of this manual may be reproduced or distributed without the written permission of the copyright owner.</w:t>
      </w:r>
    </w:p>
    <w:p>
      <w:pPr>
        <w:pStyle w:val="Heading2"/>
        <w:spacing w:after="120" w:before="280"/>
      </w:pPr>
      <w:r>
        <w:rPr>
          <w:rFonts w:ascii="Calibri" w:cs="Calibri" w:eastAsia="Calibri" w:hAnsi="Calibri"/>
          <w:b/>
          <w:bCs/>
          <w:color w:val="2B2620"/>
          <w:sz w:val="24"/>
          <w:szCs w:val="24"/>
        </w:rPr>
        <w:t xml:space="preserve">C.2 Scope of the claimed work</w:t>
      </w:r>
    </w:p>
    <w:p>
      <w:pPr>
        <w:spacing w:after="140" w:line="276"/>
      </w:pPr>
      <w:r>
        <w:rPr>
          <w:rFonts w:ascii="Calibri" w:cs="Calibri" w:eastAsia="Calibri" w:hAnsi="Calibri"/>
          <w:color w:val="2B2620"/>
          <w:sz w:val="21"/>
          <w:szCs w:val="21"/>
        </w:rPr>
        <w:t xml:space="preserve">The claimed work consists of the application source code and this documentation. It does not extend to:</w:t>
      </w:r>
    </w:p>
    <w:p>
      <w:pPr>
        <w:pStyle w:val="ListParagraph"/>
        <w:numPr>
          <w:ilvl w:val="0"/>
          <w:numId w:val="2"/>
        </w:numPr>
        <w:spacing w:after="90" w:line="276"/>
      </w:pPr>
      <w:r>
        <w:rPr>
          <w:rFonts w:ascii="Calibri" w:cs="Calibri" w:eastAsia="Calibri" w:hAnsi="Calibri"/>
          <w:color w:val="2B2620"/>
          <w:sz w:val="21"/>
          <w:szCs w:val="21"/>
        </w:rPr>
        <w:t xml:space="preserve">The government datasets the software reads, which are public records produced by state agencies.</w:t>
      </w:r>
    </w:p>
    <w:p>
      <w:pPr>
        <w:pStyle w:val="ListParagraph"/>
        <w:numPr>
          <w:ilvl w:val="0"/>
          <w:numId w:val="2"/>
        </w:numPr>
        <w:spacing w:after="90" w:line="276"/>
      </w:pPr>
      <w:r>
        <w:rPr>
          <w:rFonts w:ascii="Calibri" w:cs="Calibri" w:eastAsia="Calibri" w:hAnsi="Calibri"/>
          <w:color w:val="2B2620"/>
          <w:sz w:val="21"/>
          <w:szCs w:val="21"/>
        </w:rPr>
        <w:t xml:space="preserve">The United States Census Bureau gazetteer coordinate data embedded in the file, which is a United States government work in the public domain.</w:t>
      </w:r>
    </w:p>
    <w:p>
      <w:pPr>
        <w:pStyle w:val="ListParagraph"/>
        <w:numPr>
          <w:ilvl w:val="0"/>
          <w:numId w:val="2"/>
        </w:numPr>
        <w:spacing w:after="90" w:line="276"/>
      </w:pPr>
      <w:r>
        <w:rPr>
          <w:rFonts w:ascii="Calibri" w:cs="Calibri" w:eastAsia="Calibri" w:hAnsi="Calibri"/>
          <w:color w:val="2B2620"/>
          <w:sz w:val="21"/>
          <w:szCs w:val="21"/>
        </w:rPr>
        <w:t xml:space="preserve">The Leaflet mapping library, which is third-party software distributed under the BSD 2-Clause licence and included in unmodified form.</w:t>
      </w:r>
    </w:p>
    <w:p>
      <w:pPr>
        <w:pStyle w:val="ListParagraph"/>
        <w:numPr>
          <w:ilvl w:val="0"/>
          <w:numId w:val="2"/>
        </w:numPr>
        <w:spacing w:after="90" w:line="276"/>
      </w:pPr>
      <w:r>
        <w:rPr>
          <w:rFonts w:ascii="Calibri" w:cs="Calibri" w:eastAsia="Calibri" w:hAnsi="Calibri"/>
          <w:color w:val="2B2620"/>
          <w:sz w:val="21"/>
          <w:szCs w:val="21"/>
        </w:rPr>
        <w:t xml:space="preserve">Map tile imagery, which is served by and remains the property of Esri and its data contributors.</w:t>
      </w:r>
    </w:p>
    <w:p>
      <w:pPr>
        <w:spacing w:after="140" w:line="276"/>
      </w:pPr>
      <w:r>
        <w:rPr>
          <w:rFonts w:ascii="Calibri" w:cs="Calibri" w:eastAsia="Calibri" w:hAnsi="Calibri"/>
          <w:color w:val="2B2620"/>
          <w:sz w:val="21"/>
          <w:szCs w:val="21"/>
        </w:rPr>
        <w:t xml:space="preserve">Excluding these, the selection, arrangement, parsing logic, classification scheme, interface design, prose of this manual, and the whole as an integrated work are original.</w:t>
      </w:r>
    </w:p>
    <w:p>
      <w:pPr>
        <w:pStyle w:val="Heading2"/>
        <w:spacing w:after="120" w:before="280"/>
      </w:pPr>
      <w:r>
        <w:rPr>
          <w:rFonts w:ascii="Calibri" w:cs="Calibri" w:eastAsia="Calibri" w:hAnsi="Calibri"/>
          <w:b/>
          <w:bCs/>
          <w:color w:val="2B2620"/>
          <w:sz w:val="24"/>
          <w:szCs w:val="24"/>
        </w:rPr>
        <w:t xml:space="preserve">C.3 Third-party licence</w:t>
      </w:r>
    </w:p>
    <w:p>
      <w:pPr>
        <w:spacing w:after="140" w:line="276"/>
      </w:pPr>
      <w:r>
        <w:rPr>
          <w:rFonts w:ascii="Calibri" w:cs="Calibri" w:eastAsia="Calibri" w:hAnsi="Calibri"/>
          <w:color w:val="2B2620"/>
          <w:sz w:val="21"/>
          <w:szCs w:val="21"/>
        </w:rPr>
        <w:t xml:space="preserve">Leaflet 1.9.4 is distributed under the BSD 2-Clause "Simplified" licence, which permits redistribution in binary or source form provided the copyright notice and licence text are retained. The notice is retained within the embedded library code in the application file.</w:t>
      </w:r>
    </w:p>
    <w:p>
      <w:pPr>
        <w:pStyle w:val="Heading2"/>
        <w:spacing w:after="120" w:before="280"/>
      </w:pPr>
      <w:r>
        <w:rPr>
          <w:rFonts w:ascii="Calibri" w:cs="Calibri" w:eastAsia="Calibri" w:hAnsi="Calibri"/>
          <w:b/>
          <w:bCs/>
          <w:color w:val="2B2620"/>
          <w:sz w:val="24"/>
          <w:szCs w:val="24"/>
        </w:rPr>
        <w:t xml:space="preserve">C.4 Disclaimer</w:t>
      </w:r>
    </w:p>
    <w:p>
      <w:pPr>
        <w:spacing w:after="140" w:line="276"/>
      </w:pPr>
      <w:r>
        <w:rPr>
          <w:rFonts w:ascii="Calibri" w:cs="Calibri" w:eastAsia="Calibri" w:hAnsi="Calibri"/>
          <w:color w:val="2B2620"/>
          <w:sz w:val="21"/>
          <w:szCs w:val="21"/>
        </w:rPr>
        <w:t xml:space="preserve">The software presents data published by government agencies without independently verifying it. Licensing status, contact details, capacity figures and enforcement history change continuously, and the published extracts lag reality. Nothing in the software or this manual constitutes legal, regulatory, clinical or business advice. Operators should confirm anything consequential against the licensing agency directly.</w:t>
      </w:r>
    </w:p>
    <w:p>
      <w:pPr>
        <w:pStyle w:val="Heading2"/>
        <w:spacing w:after="120" w:before="280"/>
      </w:pPr>
      <w:r>
        <w:rPr>
          <w:rFonts w:ascii="Calibri" w:cs="Calibri" w:eastAsia="Calibri" w:hAnsi="Calibri"/>
          <w:b/>
          <w:bCs/>
          <w:color w:val="2B2620"/>
          <w:sz w:val="24"/>
          <w:szCs w:val="24"/>
        </w:rPr>
        <w:t xml:space="preserve">C.5 A note on registration</w:t>
      </w:r>
    </w:p>
    <w:p>
      <w:pPr>
        <w:spacing w:after="140" w:line="276"/>
      </w:pPr>
      <w:r>
        <w:rPr>
          <w:rFonts w:ascii="Calibri" w:cs="Calibri" w:eastAsia="Calibri" w:hAnsi="Calibri"/>
          <w:color w:val="2B2620"/>
          <w:sz w:val="21"/>
          <w:szCs w:val="21"/>
        </w:rPr>
        <w:t xml:space="preserve">Documentation of this kind is ordinarily registrable as a literary work, and software as a separate work usually deposited as source code. The two are filed differently. This manual is written to stand as the documentation component; it is not itself a substitute for a source code deposit. The copyright owner should confirm current filing requirements with the United States Copyright Office or with counsel, since the author of this manual is not a lawyer and requirements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6"/>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CCF" w:sz="4" w:space="6"/>
      </w:pBdr>
      <w:spacing w:after="200"/>
    </w:pPr>
    <w:r>
      <w:rPr>
        <w:rFonts w:ascii="Calibri" w:cs="Calibri" w:eastAsia="Calibri" w:hAnsi="Calibri"/>
        <w:color w:val="6B6156"/>
        <w:sz w:val="17"/>
        <w:szCs w:val="17"/>
      </w:rPr>
      <w:t xml:space="preserve">Residential Care Facility Map — User Guide and Administrator Manual</w:t>
    </w:r>
    <w:r>
      <w:ptab w:alignment="right" w:relativeTo="margin" w:leader="none"/>
    </w:r>
    <w:r>
      <w:rPr>
        <w:rFonts w:ascii="Calibri" w:cs="Calibri" w:eastAsia="Calibri" w:hAnsi="Calibri"/>
        <w:color w:val="6B6156"/>
        <w:sz w:val="17"/>
        <w:szCs w:val="17"/>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Care Facility Map — User Guide and Administrator Manual</dc:title>
  <dc:creator>Spencer Rogers</dc:creator>
  <dc:description>Competitive mapping for California RCFEs</dc:description>
  <cp:lastModifiedBy>Un-named</cp:lastModifiedBy>
  <cp:revision>1</cp:revision>
  <dcterms:created xsi:type="dcterms:W3CDTF">2026-09-20T16:04:21.006Z</dcterms:created>
  <dcterms:modified xsi:type="dcterms:W3CDTF">2026-09-20T16:04:21.006Z</dcterms:modified>
</cp:coreProperties>
</file>

<file path=docProps/custom.xml><?xml version="1.0" encoding="utf-8"?>
<Properties xmlns="http://schemas.openxmlformats.org/officeDocument/2006/custom-properties" xmlns:vt="http://schemas.openxmlformats.org/officeDocument/2006/docPropsVTypes"/>
</file>