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01F8705A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  <w:t xml:space="preserve"> </w:t>
      </w:r>
      <w:bookmarkStart w:id="1" w:name="_GoBack"/>
      <w:bookmarkEnd w:id="1"/>
      <w:r w:rsidR="00AF641D" w:rsidRPr="0060655C">
        <w:rPr>
          <w:rFonts w:cs="Calibri"/>
        </w:rPr>
        <w:t>January 2019 – Present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AA7CFA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 w:rsidR="00EF070D"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62F1441B" w14:textId="411B1A95" w:rsidR="006F3B77" w:rsidRDefault="006F3B77" w:rsidP="006F3B7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087B3428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 xml:space="preserve">     </w:t>
      </w:r>
      <w:r w:rsidR="0060655C">
        <w:rPr>
          <w:rFonts w:cs="Calibri"/>
          <w:sz w:val="20"/>
          <w:szCs w:val="20"/>
        </w:rPr>
        <w:tab/>
      </w:r>
      <w:r w:rsidR="00AF641D" w:rsidRPr="0060655C">
        <w:rPr>
          <w:rFonts w:cs="Calibri"/>
        </w:rPr>
        <w:t>September 2016 – January 2019</w:t>
      </w:r>
    </w:p>
    <w:bookmarkStart w:id="2" w:name="OLE_LINK2"/>
    <w:bookmarkStart w:id="3" w:name="_Hlk12119294"/>
    <w:p w14:paraId="622D782C" w14:textId="1A50219C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</w:t>
      </w:r>
      <w:r w:rsidR="006D166E">
        <w:rPr>
          <w:rFonts w:cs="Calibri"/>
          <w:sz w:val="18"/>
          <w:szCs w:val="18"/>
        </w:rPr>
        <w:t>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bookmarkEnd w:id="5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5E6563D6" w:rsidR="00814C43" w:rsidRDefault="001512FF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FD725E" w:rsidP="00240A6E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lastRenderedPageBreak/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2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4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BC286" w14:textId="77777777" w:rsidR="00FD725E" w:rsidRDefault="00FD725E">
      <w:pPr>
        <w:spacing w:after="0" w:line="240" w:lineRule="auto"/>
      </w:pPr>
      <w:r>
        <w:separator/>
      </w:r>
    </w:p>
  </w:endnote>
  <w:endnote w:type="continuationSeparator" w:id="0">
    <w:p w14:paraId="779D1508" w14:textId="77777777" w:rsidR="00FD725E" w:rsidRDefault="00FD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13C7" w14:textId="77777777" w:rsidR="00FD725E" w:rsidRDefault="00FD725E">
      <w:pPr>
        <w:spacing w:after="0" w:line="240" w:lineRule="auto"/>
      </w:pPr>
      <w:r>
        <w:separator/>
      </w:r>
    </w:p>
  </w:footnote>
  <w:footnote w:type="continuationSeparator" w:id="0">
    <w:p w14:paraId="6737C205" w14:textId="77777777" w:rsidR="00FD725E" w:rsidRDefault="00FD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D725E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hyperlink" Target="http://spencer-shadl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F647A-9818-4EA6-8D2E-AED6B73A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253</cp:revision>
  <cp:lastPrinted>2018-09-22T23:47:00Z</cp:lastPrinted>
  <dcterms:created xsi:type="dcterms:W3CDTF">2016-01-31T03:06:00Z</dcterms:created>
  <dcterms:modified xsi:type="dcterms:W3CDTF">2019-06-23T01:56:00Z</dcterms:modified>
</cp:coreProperties>
</file>