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KitTitle"/>
      </w:pPr>
      <w:r>
        <w:t xml:space="preserve">Lawn Care Business Starter Kit</w:t>
      </w:r>
    </w:p>
    <w:p>
      <w:pPr>
        <w:spacing w:after="120"/>
      </w:pPr>
      <w:r>
        <w:rPr>
          <w:b/>
        </w:rPr>
        <w:t xml:space="preserve">File 07 — Commercial Landscape Maintenance Contract</w:t>
      </w:r>
      <w:r>
        <w:t xml:space="preserve"> | v1.0 | 2026-07-23</w:t>
      </w:r>
    </w:p>
    <w:p>
      <w:pPr>
        <w:spacing w:after="120"/>
        <w:ind w:left="432"/>
      </w:pPr>
      <w:r>
        <w:rPr>
          <w:b/>
          <w:i/>
          <w:color w:val="4A4A4A"/>
        </w:rPr>
        <w:t xml:space="preserve">How to use this template:</w:t>
      </w:r>
      <w:r>
        <w:rPr>
          <w:i/>
          <w:color w:val="4A4A4A"/>
        </w:rPr>
        <w:t xml:space="preserve"> Commercial and HOA clients — property managers, boards, facility managers — expect a formal document with a clear scope schedule, insurance limits, and net payment terms. Fill every {PLACEHOLDER}, complete Exhibit A with the actual scope you walked and quoted, and get your insurance limits from your agent before you send this. Property managers will check the COI, and they will hold you to Exhibit A.</w:t>
      </w:r>
    </w:p>
    <w:p>
      <w:pPr>
        <w:pBdr>
          <w:bottom w:val="single" w:sz="6" w:space="1" w:color="1A7F4B"/>
        </w:pBdr>
        <w:spacing w:after="160"/>
      </w:pPr>
      <w:r>
        <w:t xml:space="preserve"/>
      </w:r>
    </w:p>
    <w:p>
      <w:pPr>
        <w:pStyle w:val="KitTitle"/>
      </w:pPr>
      <w:r>
        <w:t xml:space="preserve">COMMERCIAL LANDSCAPE MAINTENANCE CONTRACT</w:t>
      </w:r>
    </w:p>
    <w:p>
      <w:pPr>
        <w:pStyle w:val="KitH2"/>
      </w:pPr>
      <w:r>
        <w:t xml:space="preserve">1. Parties</w:t>
      </w:r>
    </w:p>
    <w:p>
      <w:pPr>
        <w:spacing w:after="120"/>
      </w:pPr>
      <w:r>
        <w:t xml:space="preserve">This Commercial Landscape Maintenance Contract ("Contract") is entered into as of </w:t>
      </w:r>
      <w:r>
        <w:rPr>
          <w:b/>
        </w:rPr>
        <w:t xml:space="preserve">{DATE}</w:t>
      </w:r>
      <w:r>
        <w:t xml:space="preserve"> by and between:</w:t>
      </w:r>
    </w:p>
    <w:p>
      <w:pPr>
        <w:spacing w:after="120"/>
      </w:pPr>
      <w:r>
        <w:rPr>
          <w:b/>
        </w:rPr>
        <w:t xml:space="preserve">Contractor:</w:t>
      </w:r>
      <w:r>
        <w:t xml:space="preserve"> {BUSINESS NAME}, a {ENTITY TYPE} organized under the laws of {STATE}, with its principal place of business at {BUSINESS ADDRESS} ("Contractor").</w:t>
      </w:r>
    </w:p>
    <w:p>
      <w:pPr>
        <w:spacing w:after="120"/>
      </w:pPr>
      <w:r>
        <w:rPr>
          <w:b/>
        </w:rPr>
        <w:t xml:space="preserve">Client:</w:t>
      </w:r>
      <w:r>
        <w:t xml:space="preserve"> {CLIENT LEGAL NAME — e.g., property management company / HOA association}, a {ENTITY TYPE}, with its principal place of business at {CLIENT ADDRESS} ("Client").</w:t>
      </w:r>
    </w:p>
    <w:p>
      <w:pPr>
        <w:spacing w:after="120"/>
      </w:pPr>
      <w:r>
        <w:rPr>
          <w:b/>
        </w:rPr>
        <w:t xml:space="preserve">Property / properties serviced:</w:t>
      </w:r>
      <w:r>
        <w:t xml:space="preserve"> {PROPERTY NAME(S) &amp; ADDRESS(ES)} (the "Property"), approximately </w:t>
      </w:r>
      <w:r>
        <w:rPr>
          <w:b/>
        </w:rPr>
        <w:t xml:space="preserve">{TOTAL TURF AREA / ACREAGE}</w:t>
      </w:r>
      <w:r>
        <w:t xml:space="preserve"> of maintained landscape.</w:t>
      </w:r>
    </w:p>
    <w:p>
      <w:pPr>
        <w:pStyle w:val="KitH2"/>
      </w:pPr>
      <w:r>
        <w:t xml:space="preserve">2. Services</w:t>
      </w:r>
    </w:p>
    <w:p>
      <w:pPr>
        <w:spacing w:after="120"/>
      </w:pPr>
      <w:r>
        <w:t xml:space="preserve">Contractor will perform landscape maintenance at the Property as described in </w:t>
      </w:r>
      <w:r>
        <w:rPr>
          <w:b/>
        </w:rPr>
        <w:t xml:space="preserve">Exhibit A — Scope of Work &amp; Seasonal Frequency Schedule</w:t>
      </w:r>
      <w:r>
        <w:t xml:space="preserve">, which is incorporated into this Contract. Services not listed in Exhibit A are out of scope and will be quoted separately as change orders or one-time projects.</w:t>
      </w:r>
    </w:p>
    <w:p>
      <w:pPr>
        <w:spacing w:after="120"/>
      </w:pPr>
      <w:r>
        <w:t xml:space="preserve">Contractor will supply trained personnel, supervision, equipment, and management of the work. Contractor is an independent contractor; nothing in this Contract creates an employment, agency, or joint-venture relationship.</w:t>
      </w:r>
    </w:p>
    <w:p>
      <w:pPr>
        <w:pStyle w:val="KitH2"/>
      </w:pPr>
      <w:r>
        <w:t xml:space="preserve">3. Season Schedule &amp; Site Access</w:t>
      </w:r>
    </w:p>
    <w:p>
      <w:pPr>
        <w:numPr>
          <w:ilvl w:val="0"/>
          <w:numId w:val="1"/>
        </w:numPr>
        <w:spacing w:after="60"/>
      </w:pPr>
      <w:r>
        <w:rPr>
          <w:b/>
        </w:rPr>
        <w:t xml:space="preserve">Service window:</w:t>
      </w:r>
      <w:r>
        <w:t xml:space="preserve"> Landscape maintenance is performed on a </w:t>
      </w:r>
      <w:r>
        <w:rPr>
          <w:b/>
        </w:rPr>
        <w:t xml:space="preserve">seasonal schedule</w:t>
      </w:r>
      <w:r>
        <w:t xml:space="preserve"> (Exhibit A), with mowing frequency stepping up in peak growth (spring/early summer) and down in slow growth (mid-summer, dormancy). Frequencies in Exhibit A are the baseline; Contractor adjusts within them for weather and growth.</w:t>
      </w:r>
    </w:p>
    <w:p>
      <w:pPr>
        <w:numPr>
          <w:ilvl w:val="0"/>
          <w:numId w:val="1"/>
        </w:numPr>
        <w:spacing w:after="60"/>
      </w:pPr>
      <w:r>
        <w:rPr>
          <w:b/>
        </w:rPr>
        <w:t xml:space="preserve">Service days:</w:t>
      </w:r>
      <w:r>
        <w:t xml:space="preserve"> {DAYS} between {START TIME} and {END TIME}. Contractor routes by area and may vary the exact time of day.</w:t>
      </w:r>
    </w:p>
    <w:p>
      <w:pPr>
        <w:numPr>
          <w:ilvl w:val="0"/>
          <w:numId w:val="1"/>
        </w:numPr>
        <w:spacing w:after="60"/>
      </w:pPr>
      <w:r>
        <w:rPr>
          <w:b/>
        </w:rPr>
        <w:t xml:space="preserve">Weather:</w:t>
      </w:r>
      <w:r>
        <w:t xml:space="preserve"> Contractor will not mow saturated turf or operate in unsafe conditions (lightning, high wind, flooding). Weather-delayed visits shift to the next working day; the seasonal scope is delivered across the season, not guaranteed on a fixed calendar day.</w:t>
      </w:r>
    </w:p>
    <w:p>
      <w:pPr>
        <w:numPr>
          <w:ilvl w:val="0"/>
          <w:numId w:val="1"/>
        </w:numPr>
        <w:spacing w:after="60"/>
      </w:pPr>
      <w:r>
        <w:rPr>
          <w:b/>
        </w:rPr>
        <w:t xml:space="preserve">Access &amp; security:</w:t>
      </w:r>
      <w:r>
        <w:t xml:space="preserve"> Client will provide {GATE CODES / ACCESS CARDS / KEYS — QUANTITY} where areas are secured. Contractor will restrict credentials to assigned staff, secure gates on exit, and report any signs of damage or forced entry to {CLIENT CONTACT — NAME / PHONE}.</w:t>
      </w:r>
    </w:p>
    <w:p>
      <w:pPr>
        <w:numPr>
          <w:ilvl w:val="0"/>
          <w:numId w:val="1"/>
        </w:numPr>
        <w:spacing w:after="60"/>
      </w:pPr>
      <w:r>
        <w:rPr>
          <w:b/>
        </w:rPr>
        <w:t xml:space="preserve">Coordination:</w:t>
      </w:r>
      <w:r>
        <w:t xml:space="preserve"> Client will identify parking areas to avoid during business hours, tenant-sensitive zones, and any areas requiring escorted access.</w:t>
      </w:r>
    </w:p>
    <w:p>
      <w:pPr>
        <w:pStyle w:val="KitH2"/>
      </w:pPr>
      <w:r>
        <w:t xml:space="preserve">4. Insurance &amp; Certificates</w:t>
      </w:r>
    </w:p>
    <w:p>
      <w:pPr>
        <w:spacing w:after="120"/>
      </w:pPr>
      <w:r>
        <w:t xml:space="preserve">Contractor will maintain, at its own cost, at least the following coverage for the term of this Contract: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8" w:type="dxa"/>
          <w:right w:w="108" w:type="dxa"/>
        </w:tblCellMar>
      </w:tblPr>
      <w:tblGrid>
        <w:gridCol/>
        <w:gridCol/>
      </w:tblGrid>
      <w:tr>
        <w:tc>
          <w:tcPr>
            <w:shd w:val="clear" w:color="auto" w:fill="E7F2EC"/>
          </w:tcPr>
          <w:p>
            <w:pPr>
              <w:spacing w:after="40"/>
            </w:pPr>
            <w:r>
              <w:rPr>
                <w:b/>
              </w:rPr>
              <w:t xml:space="preserve">Coverage</w:t>
            </w:r>
          </w:p>
        </w:tc>
        <w:tc>
          <w:tcPr>
            <w:shd w:val="clear" w:color="auto" w:fill="E7F2EC"/>
          </w:tcPr>
          <w:p>
            <w:pPr>
              <w:spacing w:after="40"/>
            </w:pPr>
            <w:r>
              <w:rPr>
                <w:b/>
              </w:rPr>
              <w:t xml:space="preserve">Minimum Limits</w:t>
            </w:r>
          </w:p>
        </w:tc>
      </w:tr>
      <w:tr>
        <w:tc>
          <w:tcPr/>
          <w:p>
            <w:pPr>
              <w:spacing w:after="40"/>
            </w:pPr>
            <w:r>
              <w:t xml:space="preserve">Commercial General Liability</w:t>
            </w:r>
          </w:p>
        </w:tc>
        <w:tc>
          <w:tcPr/>
          <w:p>
            <w:pPr>
              <w:spacing w:after="40"/>
            </w:pPr>
            <w:r>
              <w:t xml:space="preserve">${CGL LIMIT — e.g., 1,000,000} per occurrence / ${AGGREGATE — e.g., 2,000,000} aggregate</w:t>
            </w:r>
          </w:p>
        </w:tc>
      </w:tr>
      <w:tr>
        <w:tc>
          <w:tcPr/>
          <w:p>
            <w:pPr>
              <w:spacing w:after="40"/>
            </w:pPr>
            <w:r>
              <w:t xml:space="preserve">Workers' Compensation</w:t>
            </w:r>
          </w:p>
        </w:tc>
        <w:tc>
          <w:tcPr/>
          <w:p>
            <w:pPr>
              <w:spacing w:after="40"/>
            </w:pPr>
            <w:r>
              <w:t xml:space="preserve">Statutory limits for the state of {STATE}</w:t>
            </w:r>
          </w:p>
        </w:tc>
      </w:tr>
      <w:tr>
        <w:tc>
          <w:tcPr/>
          <w:p>
            <w:pPr>
              <w:spacing w:after="40"/>
            </w:pPr>
            <w:r>
              <w:t xml:space="preserve">Employer's Liability</w:t>
            </w:r>
          </w:p>
        </w:tc>
        <w:tc>
          <w:tcPr/>
          <w:p>
            <w:pPr>
              <w:spacing w:after="40"/>
            </w:pPr>
            <w:r>
              <w:t xml:space="preserve">${EL LIMIT}</w:t>
            </w:r>
          </w:p>
        </w:tc>
      </w:tr>
      <w:tr>
        <w:tc>
          <w:tcPr/>
          <w:p>
            <w:pPr>
              <w:spacing w:after="40"/>
            </w:pPr>
            <w:r>
              <w:t xml:space="preserve">Commercial Auto (vehicles/trailers on site)</w:t>
            </w:r>
          </w:p>
        </w:tc>
        <w:tc>
          <w:tcPr/>
          <w:p>
            <w:pPr>
              <w:spacing w:after="40"/>
            </w:pPr>
            <w:r>
              <w:t xml:space="preserve">${AUTO LIMIT} combined single limit</w:t>
            </w:r>
          </w:p>
        </w:tc>
      </w:tr>
      <w:tr>
        <w:tc>
          <w:tcPr/>
          <w:p>
            <w:pPr>
              <w:spacing w:after="40"/>
            </w:pPr>
            <w:r>
              <w:t xml:space="preserve">Pesticide/Herbicide Applicator coverage (if chemical services included)</w:t>
            </w:r>
          </w:p>
        </w:tc>
        <w:tc>
          <w:tcPr/>
          <w:p>
            <w:pPr>
              <w:spacing w:after="40"/>
            </w:pPr>
            <w:r>
              <w:t xml:space="preserve">${LIMIT — per applicable regulation}</w:t>
            </w:r>
          </w:p>
        </w:tc>
      </w:tr>
    </w:tbl>
    <w:p>
      <w:pPr>
        <w:spacing w:after="120"/>
      </w:pPr>
    </w:p>
    <w:p>
      <w:pPr>
        <w:spacing w:after="120"/>
      </w:pPr>
      <w:r>
        <w:t xml:space="preserve">Contractor will deliver a </w:t>
      </w:r>
      <w:r>
        <w:rPr>
          <w:b/>
        </w:rPr>
        <w:t xml:space="preserve">Certificate of Insurance (COI)</w:t>
      </w:r>
      <w:r>
        <w:t xml:space="preserve"> naming {CLIENT LEGAL NAME} as certificate holder{, and as additional insured on the CGL policy if required by Client,} before the first service date, and updated certificates on renewal or on request. Contractor will give Client {30} days' notice of cancellation or material reduction in coverage.</w:t>
      </w:r>
    </w:p>
    <w:p>
      <w:pPr>
        <w:pStyle w:val="KitH2"/>
      </w:pPr>
      <w:r>
        <w:t xml:space="preserve">5. Pricing</w:t>
      </w:r>
    </w:p>
    <w:p>
      <w:pPr>
        <w:numPr>
          <w:ilvl w:val="0"/>
          <w:numId w:val="1"/>
        </w:numPr>
        <w:spacing w:after="60"/>
      </w:pPr>
      <w:r>
        <w:rPr>
          <w:b/>
        </w:rPr>
        <w:t xml:space="preserve">Recurring maintenance fee:</w:t>
      </w:r>
      <w:r>
        <w:t xml:space="preserve"> </w:t>
      </w:r>
      <w:r>
        <w:rPr>
          <w:b/>
        </w:rPr>
        <w:t xml:space="preserve">${MONTHLY FEE} per month</w:t>
      </w:r>
      <w:r>
        <w:t xml:space="preserve">, billed evenly across the {N — e.g., 12}-month term, covering the seasonal scope and frequencies in Exhibit A. </w:t>
      </w:r>
      <w:r>
        <w:rPr>
          <w:i/>
        </w:rPr>
        <w:t xml:space="preserve">(Even monthly billing across the year is standard for commercial accounts — it smooths the client's budget and yours, even though the field work is heavier in growing season.)</w:t>
      </w:r>
    </w:p>
    <w:p>
      <w:pPr>
        <w:numPr>
          <w:ilvl w:val="0"/>
          <w:numId w:val="1"/>
        </w:numPr>
        <w:spacing w:after="60"/>
      </w:pPr>
      <w:r>
        <w:t xml:space="preserve">Alternatively: </w:t>
      </w:r>
      <w:r>
        <w:rPr>
          <w:b/>
        </w:rPr>
        <w:t xml:space="preserve">${ANNUAL FEE} per year</w:t>
      </w:r>
      <w:r>
        <w:t xml:space="preserve">, invoiced {MONTHLY / QUARTERLY}.</w:t>
      </w:r>
    </w:p>
    <w:p>
      <w:pPr>
        <w:numPr>
          <w:ilvl w:val="0"/>
          <w:numId w:val="1"/>
        </w:numPr>
        <w:spacing w:after="60"/>
      </w:pPr>
      <w:r>
        <w:rPr>
          <w:b/>
        </w:rPr>
        <w:t xml:space="preserve">One-time / project work</w:t>
      </w:r>
      <w:r>
        <w:t xml:space="preserve"> (mulch refresh, aeration/overseeding, seasonal color, irrigation repair, storm cleanup, tree work): quoted and approved in writing before performance.</w:t>
      </w:r>
    </w:p>
    <w:p>
      <w:pPr>
        <w:numPr>
          <w:ilvl w:val="0"/>
          <w:numId w:val="1"/>
        </w:numPr>
        <w:spacing w:after="60"/>
      </w:pPr>
      <w:r>
        <w:rPr>
          <w:b/>
        </w:rPr>
        <w:t xml:space="preserve">Annual escalator:</w:t>
      </w:r>
      <w:r>
        <w:t xml:space="preserve"> On each anniversary of the Effective Date, the recurring fee will increase by </w:t>
      </w:r>
      <w:r>
        <w:rPr>
          <w:b/>
        </w:rPr>
        <w:t xml:space="preserve">{3}%</w:t>
      </w:r>
      <w:r>
        <w:t xml:space="preserve"> (or by the change in CPI-U for {REGION}, if greater, capped at {5}%). Contractor will confirm the adjusted fee in writing at least {30} days before it takes effect. </w:t>
      </w:r>
      <w:r>
        <w:rPr>
          <w:i/>
        </w:rPr>
        <w:t xml:space="preserve">(Fuel, wages, and equipment costs rise every year; a built-in escalator is normal on multi-year landscape contracts and prevents an awkward renegotiation.)</w:t>
      </w:r>
    </w:p>
    <w:p>
      <w:pPr>
        <w:numPr>
          <w:ilvl w:val="0"/>
          <w:numId w:val="1"/>
        </w:numPr>
        <w:spacing w:after="60"/>
      </w:pPr>
      <w:r>
        <w:rPr>
          <w:b/>
        </w:rPr>
        <w:t xml:space="preserve">Scope changes:</w:t>
      </w:r>
      <w:r>
        <w:t xml:space="preserve"> If the Property's maintained area, plant beds, or frequency needs change materially, either party may request a re-quote; the adjusted fee applies after written agreement.</w:t>
      </w:r>
    </w:p>
    <w:p>
      <w:pPr>
        <w:pStyle w:val="KitH2"/>
      </w:pPr>
      <w:r>
        <w:t xml:space="preserve">6. Invoicing &amp; Payment</w:t>
      </w:r>
    </w:p>
    <w:p>
      <w:pPr>
        <w:numPr>
          <w:ilvl w:val="0"/>
          <w:numId w:val="1"/>
        </w:numPr>
        <w:spacing w:after="60"/>
      </w:pPr>
      <w:r>
        <w:t xml:space="preserve">Contractor invoices </w:t>
      </w:r>
      <w:r>
        <w:rPr>
          <w:b/>
        </w:rPr>
        <w:t xml:space="preserve">{MONTHLY IN ADVANCE / MONTHLY IN ARREARS}</w:t>
      </w:r>
      <w:r>
        <w:t xml:space="preserve"> on or about the {1st} of each month.</w:t>
      </w:r>
    </w:p>
    <w:p>
      <w:pPr>
        <w:numPr>
          <w:ilvl w:val="0"/>
          <w:numId w:val="1"/>
        </w:numPr>
        <w:spacing w:after="60"/>
      </w:pPr>
      <w:r>
        <w:rPr>
          <w:b/>
        </w:rPr>
        <w:t xml:space="preserve">Payment terms</w:t>
      </w:r>
      <w:r>
        <w:t xml:space="preserve"> (check one): [ ] </w:t>
      </w:r>
      <w:r>
        <w:rPr>
          <w:b/>
        </w:rPr>
        <w:t xml:space="preserve">Net 15</w:t>
      </w:r>
      <w:r>
        <w:t xml:space="preserve">  [ ] </w:t>
      </w:r>
      <w:r>
        <w:rPr>
          <w:b/>
        </w:rPr>
        <w:t xml:space="preserve">Net 30</w:t>
      </w:r>
      <w:r>
        <w:t xml:space="preserve">  [ ] </w:t>
      </w:r>
      <w:r>
        <w:rPr>
          <w:b/>
        </w:rPr>
        <w:t xml:space="preserve">Net 45</w:t>
      </w:r>
      <w:r>
        <w:t xml:space="preserve"> from invoice date.</w:t>
      </w:r>
    </w:p>
    <w:p>
      <w:pPr>
        <w:numPr>
          <w:ilvl w:val="0"/>
          <w:numId w:val="1"/>
        </w:numPr>
        <w:spacing w:after="60"/>
      </w:pPr>
      <w:r>
        <w:t xml:space="preserve">Accepted methods: {ACH / CHECK / CARD (note any card surcharge, where permitted by law)}.</w:t>
      </w:r>
    </w:p>
    <w:p>
      <w:pPr>
        <w:numPr>
          <w:ilvl w:val="0"/>
          <w:numId w:val="1"/>
        </w:numPr>
        <w:spacing w:after="60"/>
      </w:pPr>
      <w:r>
        <w:t xml:space="preserve">Overdue balances accrue a late charge of {1.5}% per month (or the maximum permitted by law, if lower). If any invoice is more than </w:t>
      </w:r>
      <w:r>
        <w:rPr>
          <w:b/>
        </w:rPr>
        <w:t xml:space="preserve">{30} days</w:t>
      </w:r>
      <w:r>
        <w:t xml:space="preserve"> past due, Contractor may suspend service on {5} business days' written notice until the account is current; suspension does not extend or terminate the Contract.</w:t>
      </w:r>
    </w:p>
    <w:p>
      <w:pPr>
        <w:pStyle w:val="KitH2"/>
      </w:pPr>
      <w:r>
        <w:t xml:space="preserve">7. Materials, Equipment &amp; Water/Power</w:t>
      </w:r>
    </w:p>
    <w:p>
      <w:pPr>
        <w:numPr>
          <w:ilvl w:val="0"/>
          <w:numId w:val="1"/>
        </w:numPr>
        <w:spacing w:after="60"/>
      </w:pPr>
      <w:r>
        <w:rPr>
          <w:b/>
        </w:rPr>
        <w:t xml:space="preserve">Equipment and standard maintenance materials</w:t>
      </w:r>
      <w:r>
        <w:t xml:space="preserve"> (fuel, trimmer line, blades) are provided by Contractor and included in the recurring fee.</w:t>
      </w:r>
    </w:p>
    <w:p>
      <w:pPr>
        <w:numPr>
          <w:ilvl w:val="0"/>
          <w:numId w:val="1"/>
        </w:numPr>
        <w:spacing w:after="60"/>
      </w:pPr>
      <w:r>
        <w:rPr>
          <w:b/>
        </w:rPr>
        <w:t xml:space="preserve">Bulk materials</w:t>
      </w:r>
      <w:r>
        <w:t xml:space="preserve"> (mulch, soil, seed, sod, plant material, chemical products) are billed at cost plus {10–15}% when supplied by Contractor, itemized and approved in advance.</w:t>
      </w:r>
    </w:p>
    <w:p>
      <w:pPr>
        <w:numPr>
          <w:ilvl w:val="0"/>
          <w:numId w:val="1"/>
        </w:numPr>
        <w:spacing w:after="60"/>
      </w:pPr>
      <w:r>
        <w:t xml:space="preserve">Client provides reasonable access to a </w:t>
      </w:r>
      <w:r>
        <w:rPr>
          <w:b/>
        </w:rPr>
        <w:t xml:space="preserve">water source</w:t>
      </w:r>
      <w:r>
        <w:t xml:space="preserve"> for any watering-in of installs and, where applicable, </w:t>
      </w:r>
      <w:r>
        <w:rPr>
          <w:b/>
        </w:rPr>
        <w:t xml:space="preserve">power</w:t>
      </w:r>
      <w:r>
        <w:t xml:space="preserve"> for equipment; Client is responsible for its own irrigation system operation and repair unless separately contracted.</w:t>
      </w:r>
    </w:p>
    <w:p>
      <w:pPr>
        <w:numPr>
          <w:ilvl w:val="0"/>
          <w:numId w:val="1"/>
        </w:numPr>
        <w:spacing w:after="60"/>
      </w:pPr>
      <w:r>
        <w:t xml:space="preserve">Safety Data Sheets (SDS) for any products used are available on request.</w:t>
      </w:r>
    </w:p>
    <w:p>
      <w:pPr>
        <w:pStyle w:val="KitH2"/>
      </w:pPr>
      <w:r>
        <w:t xml:space="preserve">8. Quality Standards, Inspections &amp; Cure Period</w:t>
      </w:r>
    </w:p>
    <w:p>
      <w:pPr>
        <w:numPr>
          <w:ilvl w:val="0"/>
          <w:numId w:val="1"/>
        </w:numPr>
        <w:spacing w:after="60"/>
      </w:pPr>
      <w:r>
        <w:t xml:space="preserve">Contractor will perform services in a professional, workmanlike manner consistent with industry standards for comparable properties.</w:t>
      </w:r>
    </w:p>
    <w:p>
      <w:pPr>
        <w:numPr>
          <w:ilvl w:val="0"/>
          <w:numId w:val="1"/>
        </w:numPr>
        <w:spacing w:after="60"/>
      </w:pPr>
      <w:r>
        <w:rPr>
          <w:b/>
        </w:rPr>
        <w:t xml:space="preserve">Inspections:</w:t>
      </w:r>
      <w:r>
        <w:t xml:space="preserve"> Contractor's supervisor will walk the Property at least </w:t>
      </w:r>
      <w:r>
        <w:rPr>
          <w:b/>
        </w:rPr>
        <w:t xml:space="preserve">{monthly}</w:t>
      </w:r>
      <w:r>
        <w:t xml:space="preserve"> and share a brief report or checklist with {CLIENT CONTACT}. Client may join any inspection or request a walkthrough.</w:t>
      </w:r>
    </w:p>
    <w:p>
      <w:pPr>
        <w:numPr>
          <w:ilvl w:val="0"/>
          <w:numId w:val="1"/>
        </w:numPr>
        <w:spacing w:after="60"/>
      </w:pPr>
      <w:r>
        <w:rPr>
          <w:b/>
        </w:rPr>
        <w:t xml:space="preserve">Deficiency &amp; cure:</w:t>
      </w:r>
      <w:r>
        <w:t xml:space="preserve"> If Client identifies a service deficiency, Client will notify Contractor in writing (email acceptable) with reasonable detail. Contractor will correct it within </w:t>
      </w:r>
      <w:r>
        <w:rPr>
          <w:b/>
        </w:rPr>
        <w:t xml:space="preserve">{2} business days</w:t>
      </w:r>
      <w:r>
        <w:t xml:space="preserve"> ("Cure Period") at no additional charge.</w:t>
      </w:r>
    </w:p>
    <w:p>
      <w:pPr>
        <w:numPr>
          <w:ilvl w:val="0"/>
          <w:numId w:val="1"/>
        </w:numPr>
        <w:spacing w:after="60"/>
      </w:pPr>
      <w:r>
        <w:rPr>
          <w:b/>
        </w:rPr>
        <w:t xml:space="preserve">Persistent failure:</w:t>
      </w:r>
      <w:r>
        <w:t xml:space="preserve"> If the same documented deficiency recurs {3} or more times in any {60}-day period after written notice, Client may terminate for cause on {10} days' written notice without the termination-for-convenience notice period in Section 10.</w:t>
      </w:r>
    </w:p>
    <w:p>
      <w:pPr>
        <w:pStyle w:val="KitH2"/>
      </w:pPr>
      <w:r>
        <w:t xml:space="preserve">9. Term &amp; Renewal</w:t>
      </w:r>
    </w:p>
    <w:p>
      <w:pPr>
        <w:numPr>
          <w:ilvl w:val="0"/>
          <w:numId w:val="1"/>
        </w:numPr>
        <w:spacing w:after="60"/>
      </w:pPr>
      <w:r>
        <w:rPr>
          <w:b/>
        </w:rPr>
        <w:t xml:space="preserve">Initial term:</w:t>
      </w:r>
      <w:r>
        <w:t xml:space="preserve"> </w:t>
      </w:r>
      <w:r>
        <w:rPr>
          <w:b/>
        </w:rPr>
        <w:t xml:space="preserve">{12} months</w:t>
      </w:r>
      <w:r>
        <w:t xml:space="preserve"> beginning {START DATE} (the "Effective Date").</w:t>
      </w:r>
    </w:p>
    <w:p>
      <w:pPr>
        <w:numPr>
          <w:ilvl w:val="0"/>
          <w:numId w:val="1"/>
        </w:numPr>
        <w:spacing w:after="60"/>
      </w:pPr>
      <w:r>
        <w:rPr>
          <w:b/>
        </w:rPr>
        <w:t xml:space="preserve">Renewal:</w:t>
      </w:r>
      <w:r>
        <w:t xml:space="preserve"> This Contract automatically renews for successive </w:t>
      </w:r>
      <w:r>
        <w:rPr>
          <w:b/>
        </w:rPr>
        <w:t xml:space="preserve">{12}-month</w:t>
      </w:r>
      <w:r>
        <w:t xml:space="preserve"> terms unless either party gives written non-renewal notice at least </w:t>
      </w:r>
      <w:r>
        <w:rPr>
          <w:b/>
        </w:rPr>
        <w:t xml:space="preserve">{60} days</w:t>
      </w:r>
      <w:r>
        <w:t xml:space="preserve"> before the end of the then-current term.</w:t>
      </w:r>
    </w:p>
    <w:p>
      <w:pPr>
        <w:numPr>
          <w:ilvl w:val="0"/>
          <w:numId w:val="1"/>
        </w:numPr>
        <w:spacing w:after="60"/>
      </w:pPr>
      <w:r>
        <w:t xml:space="preserve">The annual escalator in Section 5 applies at each renewal.</w:t>
      </w:r>
    </w:p>
    <w:p>
      <w:pPr>
        <w:pStyle w:val="KitH2"/>
      </w:pPr>
      <w:r>
        <w:t xml:space="preserve">10. Termination</w:t>
      </w:r>
    </w:p>
    <w:p>
      <w:pPr>
        <w:numPr>
          <w:ilvl w:val="0"/>
          <w:numId w:val="1"/>
        </w:numPr>
        <w:spacing w:after="60"/>
      </w:pPr>
      <w:r>
        <w:rPr>
          <w:b/>
        </w:rPr>
        <w:t xml:space="preserve">For convenience:</w:t>
      </w:r>
      <w:r>
        <w:t xml:space="preserve"> Either party may terminate this Contract without cause on </w:t>
      </w:r>
      <w:r>
        <w:rPr>
          <w:b/>
        </w:rPr>
        <w:t xml:space="preserve">{30 / 60} days' written notice</w:t>
      </w:r>
      <w:r>
        <w:t xml:space="preserve">.</w:t>
      </w:r>
    </w:p>
    <w:p>
      <w:pPr>
        <w:numPr>
          <w:ilvl w:val="0"/>
          <w:numId w:val="1"/>
        </w:numPr>
        <w:spacing w:after="60"/>
      </w:pPr>
      <w:r>
        <w:rPr>
          <w:b/>
        </w:rPr>
        <w:t xml:space="preserve">For cause:</w:t>
      </w:r>
      <w:r>
        <w:t xml:space="preserve"> Either party may terminate on {10} days' written notice if the other party materially breaches and fails to cure within the notice period; non-payment beyond {30} days and the persistent-failure condition in Section 8 are material breaches.</w:t>
      </w:r>
    </w:p>
    <w:p>
      <w:pPr>
        <w:numPr>
          <w:ilvl w:val="0"/>
          <w:numId w:val="1"/>
        </w:numPr>
        <w:spacing w:after="60"/>
      </w:pPr>
      <w:r>
        <w:rPr>
          <w:b/>
        </w:rPr>
        <w:t xml:space="preserve">On termination:</w:t>
      </w:r>
      <w:r>
        <w:t xml:space="preserve"> Client pays for all services performed through the termination date; Contractor returns all keys, cards, and Client property and removes its equipment within {5} business days.</w:t>
      </w:r>
    </w:p>
    <w:p>
      <w:pPr>
        <w:pStyle w:val="KitH2"/>
      </w:pPr>
      <w:r>
        <w:t xml:space="preserve">11. Liability, Indemnification &amp; Property Condition</w:t>
      </w:r>
    </w:p>
    <w:p>
      <w:pPr>
        <w:numPr>
          <w:ilvl w:val="0"/>
          <w:numId w:val="1"/>
        </w:numPr>
        <w:spacing w:after="60"/>
      </w:pPr>
      <w:r>
        <w:t xml:space="preserve">Each party will indemnify the other against third-party claims for bodily injury or property damage to the extent caused by its own negligence or willful misconduct.</w:t>
      </w:r>
    </w:p>
    <w:p>
      <w:pPr>
        <w:numPr>
          <w:ilvl w:val="0"/>
          <w:numId w:val="1"/>
        </w:numPr>
        <w:spacing w:after="60"/>
      </w:pPr>
      <w:r>
        <w:t xml:space="preserve">Contractor will promptly report any damage its staff causes and will repair, replace, or credit at its option. Claims must be reported by Client within {5} business days of discovery.</w:t>
      </w:r>
    </w:p>
    <w:p>
      <w:pPr>
        <w:numPr>
          <w:ilvl w:val="0"/>
          <w:numId w:val="1"/>
        </w:numPr>
        <w:spacing w:after="60"/>
      </w:pPr>
      <w:r>
        <w:rPr>
          <w:b/>
        </w:rPr>
        <w:t xml:space="preserve">Landscape-specific exclusions:</w:t>
      </w:r>
      <w:r>
        <w:t xml:space="preserve"> Contractor is not responsible for damage to </w:t>
      </w:r>
      <w:r>
        <w:rPr>
          <w:b/>
        </w:rPr>
        <w:t xml:space="preserve">unmarked</w:t>
      </w:r>
      <w:r>
        <w:t xml:space="preserve"> irrigation heads, valve boxes, low-voltage lighting, or buried utilities/cable; for pre-existing turf conditions (disease, insect damage, drought stress, thin or bare areas); or for plant loss due to weather, watering failures outside Contractor's control, or existing plant health. Contractor will flag such conditions and can quote remediation.</w:t>
      </w:r>
    </w:p>
    <w:p>
      <w:pPr>
        <w:numPr>
          <w:ilvl w:val="0"/>
          <w:numId w:val="1"/>
        </w:numPr>
        <w:spacing w:after="60"/>
      </w:pPr>
      <w:r>
        <w:t xml:space="preserve">Except for indemnification obligations, insurance proceeds, and confidentiality breaches, neither party's aggregate liability under this Contract will exceed the </w:t>
      </w:r>
      <w:r>
        <w:rPr>
          <w:b/>
        </w:rPr>
        <w:t xml:space="preserve">fees paid or payable in the {6} months preceding the claim</w:t>
      </w:r>
      <w:r>
        <w:t xml:space="preserve">, and neither party is liable for indirect, incidental, or consequential damages (including lost profits or business interruption).</w:t>
      </w:r>
    </w:p>
    <w:p>
      <w:pPr>
        <w:pStyle w:val="KitH2"/>
      </w:pPr>
      <w:r>
        <w:t xml:space="preserve">12. Chemical Applications &amp; Licensing</w:t>
      </w:r>
    </w:p>
    <w:p>
      <w:pPr>
        <w:spacing w:after="120"/>
      </w:pPr>
      <w:r>
        <w:t xml:space="preserve">If Exhibit A includes fertilization, weed control, or pest treatment:</w:t>
      </w:r>
    </w:p>
    <w:p>
      <w:pPr>
        <w:numPr>
          <w:ilvl w:val="0"/>
          <w:numId w:val="1"/>
        </w:numPr>
        <w:spacing w:after="60"/>
      </w:pPr>
      <w:r>
        <w:t xml:space="preserve">Contractor represents that all such applications will be performed by a </w:t>
      </w:r>
      <w:r>
        <w:rPr>
          <w:b/>
        </w:rPr>
        <w:t xml:space="preserve">licensed applicator</w:t>
      </w:r>
      <w:r>
        <w:t xml:space="preserve"> (Contractor's or a licensed subcontractor's) holding the credential required by {STATE} for the products used, and will maintain records of applications as required.</w:t>
      </w:r>
    </w:p>
    <w:p>
      <w:pPr>
        <w:numPr>
          <w:ilvl w:val="0"/>
          <w:numId w:val="1"/>
        </w:numPr>
        <w:spacing w:after="60"/>
      </w:pPr>
      <w:r>
        <w:t xml:space="preserve">Contractor will post/notify per applicable regulation and observe label re-entry intervals. Contractor makes no guarantee of eradication; outcomes depend on weather, irrigation, and site conditions.</w:t>
      </w:r>
    </w:p>
    <w:p>
      <w:pPr>
        <w:numPr>
          <w:ilvl w:val="0"/>
          <w:numId w:val="1"/>
        </w:numPr>
        <w:spacing w:after="60"/>
      </w:pPr>
      <w:r>
        <w:t xml:space="preserve">This Section states the licensing basis for the work; it is not a representation of compliance with every applicable regulation, which Client acknowledges varies by jurisdiction.</w:t>
      </w:r>
    </w:p>
    <w:p>
      <w:pPr>
        <w:pStyle w:val="KitH2"/>
      </w:pPr>
      <w:r>
        <w:t xml:space="preserve">13. Personnel &amp; Non-Solicitation</w:t>
      </w:r>
    </w:p>
    <w:p>
      <w:pPr>
        <w:numPr>
          <w:ilvl w:val="0"/>
          <w:numId w:val="1"/>
        </w:numPr>
        <w:spacing w:after="60"/>
      </w:pPr>
      <w:r>
        <w:t xml:space="preserve">Contractor is responsible for hiring, screening ({BACKGROUND CHECK POLICY}), training, paying, and supervising its staff, including payroll taxes and workers' compensation.</w:t>
      </w:r>
    </w:p>
    <w:p>
      <w:pPr>
        <w:numPr>
          <w:ilvl w:val="0"/>
          <w:numId w:val="1"/>
        </w:numPr>
        <w:spacing w:after="60"/>
      </w:pPr>
      <w:r>
        <w:t xml:space="preserve">Client may request removal of any Contractor employee from its account for reasonable cause, and Contractor will replace that employee promptly.</w:t>
      </w:r>
    </w:p>
    <w:p>
      <w:pPr>
        <w:numPr>
          <w:ilvl w:val="0"/>
          <w:numId w:val="1"/>
        </w:numPr>
        <w:spacing w:after="60"/>
      </w:pPr>
      <w:r>
        <w:t xml:space="preserve">During the term and for </w:t>
      </w:r>
      <w:r>
        <w:rPr>
          <w:b/>
        </w:rPr>
        <w:t xml:space="preserve">{12} months</w:t>
      </w:r>
      <w:r>
        <w:t xml:space="preserve"> after, neither party will solicit for employment the other's personnel who worked under this Contract, without written consent. A party that does agrees to pay a placement fee of </w:t>
      </w:r>
      <w:r>
        <w:rPr>
          <w:b/>
        </w:rPr>
        <w:t xml:space="preserve">${PLACEMENT FEE — e.g., 5,000}</w:t>
      </w:r>
      <w:r>
        <w:t xml:space="preserve">.</w:t>
      </w:r>
    </w:p>
    <w:p>
      <w:pPr>
        <w:pStyle w:val="KitH2"/>
      </w:pPr>
      <w:r>
        <w:t xml:space="preserve">14. General Terms</w:t>
      </w:r>
    </w:p>
    <w:p>
      <w:pPr>
        <w:numPr>
          <w:ilvl w:val="0"/>
          <w:numId w:val="1"/>
        </w:numPr>
        <w:spacing w:after="60"/>
      </w:pPr>
      <w:r>
        <w:rPr>
          <w:b/>
        </w:rPr>
        <w:t xml:space="preserve">Force majeure:</w:t>
      </w:r>
      <w:r>
        <w:t xml:space="preserve"> Neither party is liable for delays caused by events beyond its reasonable control (severe weather, drought watering restrictions, government order); the fee is equitably adjusted for extended interruptions.</w:t>
      </w:r>
    </w:p>
    <w:p>
      <w:pPr>
        <w:numPr>
          <w:ilvl w:val="0"/>
          <w:numId w:val="1"/>
        </w:numPr>
        <w:spacing w:after="60"/>
      </w:pPr>
      <w:r>
        <w:rPr>
          <w:b/>
        </w:rPr>
        <w:t xml:space="preserve">Assignment:</w:t>
      </w:r>
      <w:r>
        <w:t xml:space="preserve"> Neither party may assign this Contract without the other's written consent, except to a successor in a sale of substantially all its business.</w:t>
      </w:r>
    </w:p>
    <w:p>
      <w:pPr>
        <w:numPr>
          <w:ilvl w:val="0"/>
          <w:numId w:val="1"/>
        </w:numPr>
        <w:spacing w:after="60"/>
      </w:pPr>
      <w:r>
        <w:rPr>
          <w:b/>
        </w:rPr>
        <w:t xml:space="preserve">Notices:</w:t>
      </w:r>
      <w:r>
        <w:t xml:space="preserve"> Written notices go to the contacts below by email with confirmation, or by certified mail.</w:t>
      </w:r>
    </w:p>
    <w:p>
      <w:pPr>
        <w:numPr>
          <w:ilvl w:val="0"/>
          <w:numId w:val="1"/>
        </w:numPr>
        <w:spacing w:after="60"/>
      </w:pPr>
      <w:r>
        <w:rPr>
          <w:b/>
        </w:rPr>
        <w:t xml:space="preserve">Entire agreement / amendments:</w:t>
      </w:r>
      <w:r>
        <w:t xml:space="preserve"> This Contract with its Exhibits is the entire agreement; amendments must be in writing and signed (or confirmed by email).</w:t>
      </w:r>
    </w:p>
    <w:p>
      <w:pPr>
        <w:numPr>
          <w:ilvl w:val="0"/>
          <w:numId w:val="1"/>
        </w:numPr>
        <w:spacing w:after="60"/>
      </w:pPr>
      <w:r>
        <w:rPr>
          <w:b/>
        </w:rPr>
        <w:t xml:space="preserve">Severability &amp; waiver:</w:t>
      </w:r>
      <w:r>
        <w:t xml:space="preserve"> Unenforceable provisions are severed; a waiver of one breach is not a waiver of others.</w:t>
      </w:r>
    </w:p>
    <w:p>
      <w:pPr>
        <w:numPr>
          <w:ilvl w:val="0"/>
          <w:numId w:val="1"/>
        </w:numPr>
        <w:spacing w:after="60"/>
      </w:pPr>
      <w:r>
        <w:rPr>
          <w:b/>
        </w:rPr>
        <w:t xml:space="preserve">Governing law:</w:t>
      </w:r>
      <w:r>
        <w:t xml:space="preserve"> The laws of the State of {STATE} govern this Contract.</w:t>
      </w:r>
    </w:p>
    <w:p>
      <w:pPr>
        <w:pStyle w:val="KitH2"/>
      </w:pPr>
      <w:r>
        <w:t xml:space="preserve">15. Signatures</w:t>
      </w:r>
    </w:p>
    <w:p>
      <w:pPr>
        <w:spacing w:after="120"/>
      </w:pPr>
      <w:r>
        <w:rPr>
          <w:b/>
        </w:rPr>
        <w:t xml:space="preserve">Contractor:</w:t>
      </w:r>
      <w:r>
        <w:t xml:space="preserve"> {BUSINESS NAME}</w:t>
      </w:r>
    </w:p>
    <w:p>
      <w:pPr>
        <w:spacing w:after="120"/>
      </w:pPr>
      <w:r>
        <w:t xml:space="preserve">Signature: ______________________________  Name: {NAME}  Title: {TITLE}  Date: ____________</w:t>
      </w:r>
    </w:p>
    <w:p>
      <w:pPr>
        <w:spacing w:after="120"/>
      </w:pPr>
      <w:r>
        <w:rPr>
          <w:b/>
        </w:rPr>
        <w:t xml:space="preserve">Client:</w:t>
      </w:r>
      <w:r>
        <w:t xml:space="preserve"> {CLIENT LEGAL NAME}</w:t>
      </w:r>
    </w:p>
    <w:p>
      <w:pPr>
        <w:spacing w:after="120"/>
      </w:pPr>
      <w:r>
        <w:t xml:space="preserve">Signature: ______________________________  Name: {NAME}  Title: {TITLE}  Date: ____________</w:t>
      </w:r>
    </w:p>
    <w:p>
      <w:pPr>
        <w:spacing w:after="120"/>
      </w:pPr>
      <w:r>
        <w:rPr>
          <w:b/>
        </w:rPr>
        <w:t xml:space="preserve">Notices / day-to-day contacts:</w:t>
      </w:r>
    </w:p>
    <w:p>
      <w:pPr>
        <w:spacing w:after="120"/>
      </w:pPr>
      <w:r>
        <w:t xml:space="preserve">Contractor: {NAME, PHONE, EMAIL} | Client: {NAME, PHONE, EMAIL}</w:t>
      </w:r>
    </w:p>
    <w:p>
      <w:pPr>
        <w:pBdr>
          <w:bottom w:val="single" w:sz="6" w:space="1" w:color="1A7F4B"/>
        </w:pBdr>
        <w:spacing w:after="160"/>
      </w:pPr>
      <w:r>
        <w:t xml:space="preserve"/>
      </w:r>
    </w:p>
    <w:p>
      <w:pPr>
        <w:pStyle w:val="KitH2"/>
      </w:pPr>
      <w:r>
        <w:t xml:space="preserve">Exhibit A — Scope of Work &amp; Seasonal Frequency Schedule</w:t>
      </w:r>
    </w:p>
    <w:p>
      <w:pPr>
        <w:spacing w:after="120"/>
      </w:pPr>
      <w:r>
        <w:rPr>
          <w:i/>
        </w:rPr>
        <w:t xml:space="preserve">Complete this during or immediately after the walkthrough. Set the frequency for each task by season. "Per visit" means every scheduled mowing service.</w:t>
      </w:r>
    </w:p>
    <w:p>
      <w:pPr>
        <w:spacing w:after="120"/>
      </w:pPr>
      <w:r>
        <w:rPr>
          <w:b/>
        </w:rPr>
        <w:t xml:space="preserve">Property:</w:t>
      </w:r>
      <w:r>
        <w:t xml:space="preserve"> {PROPERTY ADDRESS} | </w:t>
      </w:r>
      <w:r>
        <w:rPr>
          <w:b/>
        </w:rPr>
        <w:t xml:space="preserve">Approx. turf area:</w:t>
      </w:r>
      <w:r>
        <w:t xml:space="preserve"> {SQ FT / ACRES} | </w:t>
      </w:r>
      <w:r>
        <w:rPr>
          <w:b/>
        </w:rPr>
        <w:t xml:space="preserve">Bed area:</w:t>
      </w:r>
      <w:r>
        <w:t xml:space="preserve"> {SQ FT}</w:t>
      </w:r>
    </w:p>
    <w:p>
      <w:pPr>
        <w:pStyle w:val="KitH3"/>
      </w:pPr>
      <w:r>
        <w:t xml:space="preserve">Mowing &amp; Turf</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8" w:type="dxa"/>
          <w:right w:w="108" w:type="dxa"/>
        </w:tblCellMar>
      </w:tblPr>
      <w:tblGrid>
        <w:gridCol/>
        <w:gridCol/>
        <w:gridCol/>
        <w:gridCol/>
        <w:gridCol/>
      </w:tblGrid>
      <w:tr>
        <w:tc>
          <w:tcPr>
            <w:shd w:val="clear" w:color="auto" w:fill="E7F2EC"/>
          </w:tcPr>
          <w:p>
            <w:pPr>
              <w:spacing w:after="40"/>
            </w:pPr>
            <w:r>
              <w:rPr>
                <w:b/>
              </w:rPr>
              <w:t xml:space="preserve">Task</w:t>
            </w:r>
          </w:p>
        </w:tc>
        <w:tc>
          <w:tcPr>
            <w:shd w:val="clear" w:color="auto" w:fill="E7F2EC"/>
          </w:tcPr>
          <w:p>
            <w:pPr>
              <w:spacing w:after="40"/>
              <w:jc w:val="center"/>
            </w:pPr>
            <w:r>
              <w:rPr>
                <w:b/>
              </w:rPr>
              <w:t xml:space="preserve">Spring</w:t>
            </w:r>
          </w:p>
        </w:tc>
        <w:tc>
          <w:tcPr>
            <w:shd w:val="clear" w:color="auto" w:fill="E7F2EC"/>
          </w:tcPr>
          <w:p>
            <w:pPr>
              <w:spacing w:after="40"/>
              <w:jc w:val="center"/>
            </w:pPr>
            <w:r>
              <w:rPr>
                <w:b/>
              </w:rPr>
              <w:t xml:space="preserve">Summer</w:t>
            </w:r>
          </w:p>
        </w:tc>
        <w:tc>
          <w:tcPr>
            <w:shd w:val="clear" w:color="auto" w:fill="E7F2EC"/>
          </w:tcPr>
          <w:p>
            <w:pPr>
              <w:spacing w:after="40"/>
              <w:jc w:val="center"/>
            </w:pPr>
            <w:r>
              <w:rPr>
                <w:b/>
              </w:rPr>
              <w:t xml:space="preserve">Fall</w:t>
            </w:r>
          </w:p>
        </w:tc>
        <w:tc>
          <w:tcPr>
            <w:shd w:val="clear" w:color="auto" w:fill="E7F2EC"/>
          </w:tcPr>
          <w:p>
            <w:pPr>
              <w:spacing w:after="40"/>
              <w:jc w:val="center"/>
            </w:pPr>
            <w:r>
              <w:rPr>
                <w:b/>
              </w:rPr>
              <w:t xml:space="preserve">Winter</w:t>
            </w:r>
          </w:p>
        </w:tc>
      </w:tr>
      <w:tr>
        <w:tc>
          <w:tcPr/>
          <w:p>
            <w:pPr>
              <w:spacing w:after="40"/>
            </w:pPr>
            <w:r>
              <w:t xml:space="preserve">Mow all turf at spec height</w:t>
            </w:r>
          </w:p>
        </w:tc>
        <w:tc>
          <w:tcPr/>
          <w:p>
            <w:pPr>
              <w:spacing w:after="40"/>
              <w:jc w:val="center"/>
            </w:pPr>
            <w:r>
              <w:t xml:space="preserve">{wk}</w:t>
            </w:r>
          </w:p>
        </w:tc>
        <w:tc>
          <w:tcPr/>
          <w:p>
            <w:pPr>
              <w:spacing w:after="40"/>
              <w:jc w:val="center"/>
            </w:pPr>
            <w:r>
              <w:t xml:space="preserve">{freq}</w:t>
            </w:r>
          </w:p>
        </w:tc>
        <w:tc>
          <w:tcPr/>
          <w:p>
            <w:pPr>
              <w:spacing w:after="40"/>
              <w:jc w:val="center"/>
            </w:pPr>
            <w:r>
              <w:t xml:space="preserve">{freq}</w:t>
            </w:r>
          </w:p>
        </w:tc>
        <w:tc>
          <w:tcPr/>
          <w:p>
            <w:pPr>
              <w:spacing w:after="40"/>
              <w:jc w:val="center"/>
            </w:pPr>
            <w:r>
              <w:t xml:space="preserve">☐</w:t>
            </w:r>
          </w:p>
        </w:tc>
      </w:tr>
      <w:tr>
        <w:tc>
          <w:tcPr/>
          <w:p>
            <w:pPr>
              <w:spacing w:after="40"/>
            </w:pPr>
            <w:r>
              <w:t xml:space="preserve">String-trim fences, beds, obstacles</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r>
      <w:tr>
        <w:tc>
          <w:tcPr/>
          <w:p>
            <w:pPr>
              <w:spacing w:after="40"/>
            </w:pPr>
            <w:r>
              <w:t xml:space="preserve">Edge walks, curbs, drives</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r>
      <w:tr>
        <w:tc>
          <w:tcPr/>
          <w:p>
            <w:pPr>
              <w:spacing w:after="40"/>
            </w:pPr>
            <w:r>
              <w:t xml:space="preserve">Blow clippings/debris off hardscape</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r>
    </w:tbl>
    <w:p>
      <w:pPr>
        <w:spacing w:after="120"/>
      </w:pPr>
    </w:p>
    <w:p>
      <w:pPr>
        <w:pStyle w:val="KitH3"/>
      </w:pPr>
      <w:r>
        <w:t xml:space="preserve">Beds, Shrubs &amp; Seasonal</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8" w:type="dxa"/>
          <w:right w:w="108" w:type="dxa"/>
        </w:tblCellMar>
      </w:tblPr>
      <w:tblGrid>
        <w:gridCol/>
        <w:gridCol/>
      </w:tblGrid>
      <w:tr>
        <w:tc>
          <w:tcPr>
            <w:shd w:val="clear" w:color="auto" w:fill="E7F2EC"/>
          </w:tcPr>
          <w:p>
            <w:pPr>
              <w:spacing w:after="40"/>
            </w:pPr>
            <w:r>
              <w:rPr>
                <w:b/>
              </w:rPr>
              <w:t xml:space="preserve">Task</w:t>
            </w:r>
          </w:p>
        </w:tc>
        <w:tc>
          <w:tcPr>
            <w:shd w:val="clear" w:color="auto" w:fill="E7F2EC"/>
          </w:tcPr>
          <w:p>
            <w:pPr>
              <w:spacing w:after="40"/>
            </w:pPr>
            <w:r>
              <w:rPr>
                <w:b/>
              </w:rPr>
              <w:t xml:space="preserve">Frequency / Timing</w:t>
            </w:r>
          </w:p>
        </w:tc>
      </w:tr>
      <w:tr>
        <w:tc>
          <w:tcPr/>
          <w:p>
            <w:pPr>
              <w:spacing w:after="40"/>
            </w:pPr>
            <w:r>
              <w:t xml:space="preserve">Bed weeding &amp; cultivation</w:t>
            </w:r>
          </w:p>
        </w:tc>
        <w:tc>
          <w:tcPr/>
          <w:p>
            <w:pPr>
              <w:spacing w:after="40"/>
            </w:pPr>
            <w:r>
              <w:t xml:space="preserve">{e.g., monthly}</w:t>
            </w:r>
          </w:p>
        </w:tc>
      </w:tr>
      <w:tr>
        <w:tc>
          <w:tcPr/>
          <w:p>
            <w:pPr>
              <w:spacing w:after="40"/>
            </w:pPr>
            <w:r>
              <w:t xml:space="preserve">Shrub / hedge trimming</w:t>
            </w:r>
          </w:p>
        </w:tc>
        <w:tc>
          <w:tcPr/>
          <w:p>
            <w:pPr>
              <w:spacing w:after="40"/>
            </w:pPr>
            <w:r>
              <w:t xml:space="preserve">{e.g., 2–3x per season}</w:t>
            </w:r>
          </w:p>
        </w:tc>
      </w:tr>
      <w:tr>
        <w:tc>
          <w:tcPr/>
          <w:p>
            <w:pPr>
              <w:spacing w:after="40"/>
            </w:pPr>
            <w:r>
              <w:t xml:space="preserve">Mulch refresh</w:t>
            </w:r>
          </w:p>
        </w:tc>
        <w:tc>
          <w:tcPr/>
          <w:p>
            <w:pPr>
              <w:spacing w:after="40"/>
            </w:pPr>
            <w:r>
              <w:t xml:space="preserve">{e.g., once, spring}</w:t>
            </w:r>
          </w:p>
        </w:tc>
      </w:tr>
      <w:tr>
        <w:tc>
          <w:tcPr/>
          <w:p>
            <w:pPr>
              <w:spacing w:after="40"/>
            </w:pPr>
            <w:r>
              <w:t xml:space="preserve">Spring cleanup</w:t>
            </w:r>
          </w:p>
        </w:tc>
        <w:tc>
          <w:tcPr/>
          <w:p>
            <w:pPr>
              <w:spacing w:after="40"/>
            </w:pPr>
            <w:r>
              <w:t xml:space="preserve">{once}</w:t>
            </w:r>
          </w:p>
        </w:tc>
      </w:tr>
      <w:tr>
        <w:tc>
          <w:tcPr/>
          <w:p>
            <w:pPr>
              <w:spacing w:after="40"/>
            </w:pPr>
            <w:r>
              <w:t xml:space="preserve">Fall cleanup / leaf removal</w:t>
            </w:r>
          </w:p>
        </w:tc>
        <w:tc>
          <w:tcPr/>
          <w:p>
            <w:pPr>
              <w:spacing w:after="40"/>
            </w:pPr>
            <w:r>
              <w:t xml:space="preserve">{as needed, fall}</w:t>
            </w:r>
          </w:p>
        </w:tc>
      </w:tr>
      <w:tr>
        <w:tc>
          <w:tcPr/>
          <w:p>
            <w:pPr>
              <w:spacing w:after="40"/>
            </w:pPr>
            <w:r>
              <w:t xml:space="preserve">Aeration / overseeding</w:t>
            </w:r>
          </w:p>
        </w:tc>
        <w:tc>
          <w:tcPr/>
          <w:p>
            <w:pPr>
              <w:spacing w:after="40"/>
            </w:pPr>
            <w:r>
              <w:t xml:space="preserve">{once, fall}</w:t>
            </w:r>
          </w:p>
        </w:tc>
      </w:tr>
      <w:tr>
        <w:tc>
          <w:tcPr/>
          <w:p>
            <w:pPr>
              <w:spacing w:after="40"/>
            </w:pPr>
            <w:r>
              <w:t xml:space="preserve">Fertilization program </w:t>
            </w:r>
            <w:r>
              <w:rPr>
                <w:i/>
              </w:rPr>
              <w:t xml:space="preserve">(licensed)</w:t>
            </w:r>
          </w:p>
        </w:tc>
        <w:tc>
          <w:tcPr/>
          <w:p>
            <w:pPr>
              <w:spacing w:after="40"/>
            </w:pPr>
            <w:r>
              <w:t xml:space="preserve">{N rounds/year}</w:t>
            </w:r>
          </w:p>
        </w:tc>
      </w:tr>
      <w:tr>
        <w:tc>
          <w:tcPr/>
          <w:p>
            <w:pPr>
              <w:spacing w:after="40"/>
            </w:pPr>
            <w:r>
              <w:t xml:space="preserve">Weed control </w:t>
            </w:r>
            <w:r>
              <w:rPr>
                <w:i/>
              </w:rPr>
              <w:t xml:space="preserve">(licensed)</w:t>
            </w:r>
          </w:p>
        </w:tc>
        <w:tc>
          <w:tcPr/>
          <w:p>
            <w:pPr>
              <w:spacing w:after="40"/>
            </w:pPr>
            <w:r>
              <w:t xml:space="preserve">{N rounds/year}</w:t>
            </w:r>
          </w:p>
        </w:tc>
      </w:tr>
      <w:tr>
        <w:tc>
          <w:tcPr/>
          <w:p>
            <w:pPr>
              <w:spacing w:after="40"/>
            </w:pPr>
            <w:r>
              <w:t xml:space="preserve">Irrigation startup / winterization</w:t>
            </w:r>
          </w:p>
        </w:tc>
        <w:tc>
          <w:tcPr/>
          <w:p>
            <w:pPr>
              <w:spacing w:after="40"/>
            </w:pPr>
            <w:r>
              <w:t xml:space="preserve">{spring / fall}</w:t>
            </w:r>
          </w:p>
        </w:tc>
      </w:tr>
    </w:tbl>
    <w:p>
      <w:pPr>
        <w:spacing w:after="120"/>
      </w:pPr>
    </w:p>
    <w:p>
      <w:pPr>
        <w:spacing w:after="120"/>
      </w:pPr>
      <w:r>
        <w:rPr>
          <w:b/>
        </w:rPr>
        <w:t xml:space="preserve">Excluded from recurring scope (quote separately):</w:t>
      </w:r>
      <w:r>
        <w:t xml:space="preserve"> tree pruning above {HEIGHT}, tree/stump removal, storm damage cleanup, irrigation repair, drainage/grading, hardscape, planting/design, seasonal color installs, snow &amp; ice management, {OTHER}.</w:t>
      </w:r>
    </w:p>
    <w:p>
      <w:pPr>
        <w:pBdr>
          <w:bottom w:val="single" w:sz="6" w:space="1" w:color="1A7F4B"/>
        </w:pBdr>
        <w:spacing w:after="160"/>
      </w:pPr>
      <w:r>
        <w:t xml:space="preserve"/>
      </w:r>
    </w:p>
    <w:p>
      <w:pPr>
        <w:spacing w:after="120"/>
      </w:pPr>
      <w:r>
        <w:rPr>
          <w:i/>
        </w:rPr>
        <w:t xml:space="preserve">This template is a starting point, not legal advice. Have a local attorney review before use.</w:t>
      </w:r>
    </w:p>
    <w:sectPr>
      <w:footerReference w:type="default" r:id="rId3"/>
      <w:pgSz w:w="12240" w:h="15840"/>
      <w:pgMar w:top="1080" w:right="1080" w:bottom="1080" w:left="1080" w:header="720" w:footer="576" w:gutter="0"/>
    </w:sectPr>
  </w:body>
</w:document>
</file>

<file path=word/footer1.xml><?xml version="1.0" encoding="utf-8"?>
<w:ftr xmlns:w="http://schemas.openxmlformats.org/wordprocessingml/2006/main">
  <w:p>
    <w:pPr>
      <w:jc w:val="left"/>
      <w:spacing w:after="0"/>
    </w:pPr>
    <w:r>
      <w:rPr>
        <w:color w:val="7F7F7F"/>
        <w:sz w:val="18"/>
        <w:szCs w:val="18"/>
      </w:rPr>
      <w:t xml:space="preserve">Route Ready — routereadykits.com</w:t>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360"/>
      </w:pPr>
    </w:lvl>
    <w:lvl w:ilvl="1">
      <w:start w:val="1"/>
      <w:numFmt w:val="bullet"/>
      <w:lvlText w:val="◦"/>
      <w:lvlJc w:val="left"/>
      <w:pPr>
        <w:ind w:left="720" w:hanging="360"/>
      </w:pPr>
    </w:lvl>
    <w:lvl w:ilvl="2">
      <w:start w:val="1"/>
      <w:numFmt w:val="bullet"/>
      <w:lvlText w:val="▪"/>
      <w:lvlJc w:val="left"/>
      <w:pPr>
        <w:ind w:left="1080" w:hanging="360"/>
      </w:pPr>
    </w:lvl>
  </w:abstractNum>
  <w:abstractNum w:abstractNumId="1">
    <w:multiLevelType w:val="hybrid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abstractNum>
  <w:num w:numId="1">
    <w:abstractNumId w:val="0"/>
  </w:num>
</w:numbering>
</file>

<file path=word/styles.xml><?xml version="1.0" encoding="utf-8"?>
<w:styles xmlns:w="http://schemas.openxmlformats.org/wordprocessingml/2006/main">
  <w:docDefaults>
    <w:rPrDefault>
      <w:rPr>
        <w:rFonts w:ascii="Calibri" w:hAnsi="Calibri" w:cs="Calibri"/>
        <w:color w:val="262626"/>
        <w:sz w:val="22"/>
        <w:szCs w:val="22"/>
      </w:rPr>
    </w:rPrDefault>
    <w:pPrDefault>
      <w:pPr>
        <w:spacing w:after="120" w:line="264" w:lineRule="auto"/>
      </w:pPr>
    </w:pPrDefault>
  </w:docDefaults>
  <w:style w:type="paragraph" w:default="1" w:styleId="Normal">
    <w:name w:val="Normal"/>
  </w:style>
  <w:style w:type="paragraph" w:styleId="KitTitle">
    <w:name w:val="Title"/>
    <w:basedOn w:val="Normal"/>
    <w:pPr>
      <w:spacing w:before="120" w:after="160"/>
      <w:outlineLvl w:val="0"/>
    </w:pPr>
    <w:rPr>
      <w:b/>
      <w:color w:val="1A7F4B"/>
      <w:sz w:val="40"/>
      <w:szCs w:val="40"/>
    </w:rPr>
  </w:style>
  <w:style w:type="paragraph" w:styleId="KitH2">
    <w:name w:val="heading 2"/>
    <w:basedOn w:val="Normal"/>
    <w:pPr>
      <w:spacing w:before="240" w:after="80"/>
      <w:outlineLvl w:val="1"/>
    </w:pPr>
    <w:rPr>
      <w:b/>
      <w:color w:val="1A7F4B"/>
      <w:sz w:val="28"/>
      <w:szCs w:val="28"/>
    </w:rPr>
  </w:style>
  <w:style w:type="paragraph" w:styleId="KitH3">
    <w:name w:val="heading 3"/>
    <w:basedOn w:val="Normal"/>
    <w:pPr>
      <w:spacing w:before="180" w:after="60"/>
      <w:outlineLvl w:val="2"/>
    </w:pPr>
    <w:rPr>
      <w:b/>
      <w:color w:val="404040"/>
      <w:sz w:val="24"/>
      <w:szCs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Application>Route Ready Kit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Route Ready — Commercial Landscape Maintenance Contract</dc:title>
  <dc:creator>Route Ready</dc:creator>
  <dcterms:created xsi:type="dcterms:W3CDTF">2026-07-26T17:49:42Z</dcterms:created>
  <dcterms:modified xsi:type="dcterms:W3CDTF">2026-07-26T17:49:42Z</dcterms:modified>
</cp:coreProperties>
</file>