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Freightwire — Proposal → Rates Connection</w:t>
      </w:r>
    </w:p>
    <w:p>
      <w:pPr>
        <w:pStyle w:val="Subtitle"/>
      </w:pPr>
      <w:r>
        <w:t xml:space="preserve">Integration spec for connecting the proposal tool to the Freightwire admin Rates tab · API v1</w:t>
      </w:r>
    </w:p>
    <w:p>
      <w:r>
        <w:t xml:space="preserve">Goal: when a proposal is finished and “Send” is pressed, it POSTs the rate card — a discount or markup on each service and fee — straight into the Freightwire admin Rates tab. No manual copying. Sending again for the same customer simply updates them. You only need to call one endpoint.</w:t>
      </w:r>
    </w:p>
    <w:p>
      <w:pPr>
        <w:pStyle w:val="Heading2"/>
      </w:pPr>
      <w:r>
        <w:rPr>
          <w:b/>
        </w:rPr>
        <w:t xml:space="preserve">1. Endpoint</w:t>
      </w:r>
    </w:p>
    <w:p>
      <w:pPr>
        <w:pStyle w:val="Code"/>
        <w:shd w:val="clear" w:fill="F2F5F3"/>
      </w:pPr>
      <w:r>
        <w:rPr>
          <w:rFonts w:ascii="Consolas" w:hAnsi="Consolas"/>
          <w:sz w:val="18"/>
        </w:rPr>
        <w:t xml:space="preserve">POST https://&lt;FREIGHTWIRE-DOMAIN&gt;/api/v1/admin/customers</w:t>
      </w:r>
    </w:p>
    <w:p>
      <w:r>
        <w:t xml:space="preserve">(A live domain and a separate test domain to build against first will be provided.)</w:t>
      </w:r>
    </w:p>
    <w:p>
      <w:pPr>
        <w:pStyle w:val="Heading2"/>
      </w:pPr>
      <w:r>
        <w:rPr>
          <w:b/>
        </w:rPr>
        <w:t xml:space="preserve">2. Authentication</w:t>
      </w:r>
    </w:p>
    <w:p>
      <w:r>
        <w:t xml:space="preserve">Send the admin API key (issued to you) as a header — either form works:</w:t>
      </w:r>
    </w:p>
    <w:p>
      <w:pPr>
        <w:pStyle w:val="Code"/>
        <w:shd w:val="clear" w:fill="F2F5F3"/>
      </w:pPr>
      <w:r>
        <w:rPr>
          <w:rFonts w:ascii="Consolas" w:hAnsi="Consolas"/>
          <w:sz w:val="18"/>
        </w:rPr>
        <w:t xml:space="preserve">Authorization: Bearer sck_admin_xxxxxxxxxxxx</w:t>
      </w:r>
      <w:r>
        <w:br/>
      </w:r>
      <w:r>
        <w:rPr>
          <w:rFonts w:ascii="Consolas" w:hAnsi="Consolas"/>
          <w:sz w:val="18"/>
        </w:rPr>
        <w:t xml:space="preserve">X-API-Key: sck_admin_xxxxxxxxxxxx</w:t>
      </w:r>
    </w:p>
    <w:p>
      <w:r>
        <w:t xml:space="preserve">The key starts with sck_admin_. Keep it server-side; do not ship it in browser code. All calls over HTTPS.</w:t>
      </w:r>
    </w:p>
    <w:p>
      <w:pPr>
        <w:pStyle w:val="Heading2"/>
      </w:pPr>
      <w:r>
        <w:rPr>
          <w:b/>
        </w:rPr>
        <w:t xml:space="preserve">3. Request Body (JSON)</w:t>
      </w:r>
    </w:p>
    <w:p>
      <w:pPr>
        <w:pStyle w:val="Code"/>
        <w:shd w:val="clear" w:fill="F2F5F3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"customer": {</w:t>
      </w:r>
      <w:r>
        <w:br/>
      </w:r>
      <w:r>
        <w:rPr>
          <w:rFonts w:ascii="Consolas" w:hAnsi="Consolas"/>
          <w:sz w:val="18"/>
        </w:rPr>
        <w:t xml:space="preserve">    "external_id": "YOUR-CUSTOMER-ID-123",</w:t>
      </w:r>
      <w:r>
        <w:br/>
      </w:r>
      <w:r>
        <w:rPr>
          <w:rFonts w:ascii="Consolas" w:hAnsi="Consolas"/>
          <w:sz w:val="18"/>
        </w:rPr>
        <w:t xml:space="preserve">    "name": "Acme Corp",</w:t>
      </w:r>
      <w:r>
        <w:br/>
      </w:r>
      <w:r>
        <w:rPr>
          <w:rFonts w:ascii="Consolas" w:hAnsi="Consolas"/>
          <w:sz w:val="18"/>
        </w:rPr>
        <w:t xml:space="preserve">    "email": "billing@acme.com",</w:t>
      </w:r>
      <w:r>
        <w:br/>
      </w:r>
      <w:r>
        <w:rPr>
          <w:rFonts w:ascii="Consolas" w:hAnsi="Consolas"/>
          <w:sz w:val="18"/>
        </w:rPr>
        <w:t xml:space="preserve">    "contact": "Jane Doe",</w:t>
      </w:r>
      <w:r>
        <w:br/>
      </w:r>
      <w:r>
        <w:rPr>
          <w:rFonts w:ascii="Consolas" w:hAnsi="Consolas"/>
          <w:sz w:val="18"/>
        </w:rPr>
        <w:t xml:space="preserve">    "phone": "555-123-4567",</w:t>
      </w:r>
      <w:r>
        <w:br/>
      </w:r>
      <w:r>
        <w:rPr>
          <w:rFonts w:ascii="Consolas" w:hAnsi="Consolas"/>
          <w:sz w:val="18"/>
        </w:rPr>
        <w:t xml:space="preserve">    "origin": "84101"</w:t>
      </w:r>
      <w:r>
        <w:br/>
      </w:r>
      <w:r>
        <w:rPr>
          <w:rFonts w:ascii="Consolas" w:hAnsi="Consolas"/>
          <w:sz w:val="18"/>
        </w:rPr>
        <w:t xml:space="preserve">  },</w:t>
      </w:r>
      <w:r>
        <w:br/>
      </w:r>
      <w:r>
        <w:rPr>
          <w:rFonts w:ascii="Consolas" w:hAnsi="Consolas"/>
          <w:sz w:val="18"/>
        </w:rPr>
        <w:t xml:space="preserve">  "pricing": {</w:t>
      </w:r>
      <w:r>
        <w:br/>
      </w:r>
      <w:r>
        <w:rPr>
          <w:rFonts w:ascii="Consolas" w:hAnsi="Consolas"/>
          <w:sz w:val="18"/>
        </w:rPr>
        <w:t xml:space="preserve">    "services": {</w:t>
      </w:r>
      <w:r>
        <w:br/>
      </w:r>
      <w:r>
        <w:rPr>
          <w:rFonts w:ascii="Consolas" w:hAnsi="Consolas"/>
          <w:sz w:val="18"/>
        </w:rPr>
        <w:t xml:space="preserve">      "ground":              { "mode": "discount_off_list", "value": 25 },</w:t>
      </w:r>
      <w:r>
        <w:br/>
      </w:r>
      <w:r>
        <w:rPr>
          <w:rFonts w:ascii="Consolas" w:hAnsi="Consolas"/>
          <w:sz w:val="18"/>
        </w:rPr>
        <w:t xml:space="preserve">      "home":                { "mode": "discount_off_list", "value": 25 },</w:t>
      </w:r>
      <w:r>
        <w:br/>
      </w:r>
      <w:r>
        <w:rPr>
          <w:rFonts w:ascii="Consolas" w:hAnsi="Consolas"/>
          <w:sz w:val="18"/>
        </w:rPr>
        <w:t xml:space="preserve">      "priority_overnight":  { "mode": "markup_over_cost",   "value": 10 },</w:t>
      </w:r>
      <w:r>
        <w:br/>
      </w:r>
      <w:r>
        <w:rPr>
          <w:rFonts w:ascii="Consolas" w:hAnsi="Consolas"/>
          <w:sz w:val="18"/>
        </w:rPr>
        <w:t xml:space="preserve">      "2day":                { "mode": "flat",               "value": 18.50 },</w:t>
      </w:r>
      <w:r>
        <w:br/>
      </w:r>
      <w:r>
        <w:rPr>
          <w:rFonts w:ascii="Consolas" w:hAnsi="Consolas"/>
          <w:sz w:val="18"/>
        </w:rPr>
        <w:t xml:space="preserve">      "first_overnight":     { "mode": "none" }</w:t>
      </w:r>
      <w:r>
        <w:br/>
      </w:r>
      <w:r>
        <w:rPr>
          <w:rFonts w:ascii="Consolas" w:hAnsi="Consolas"/>
          <w:sz w:val="18"/>
        </w:rPr>
        <w:t xml:space="preserve">    },</w:t>
      </w:r>
      <w:r>
        <w:br/>
      </w:r>
      <w:r>
        <w:rPr>
          <w:rFonts w:ascii="Consolas" w:hAnsi="Consolas"/>
          <w:sz w:val="18"/>
        </w:rPr>
        <w:t xml:space="preserve">    "fees": {</w:t>
      </w:r>
      <w:r>
        <w:br/>
      </w:r>
      <w:r>
        <w:rPr>
          <w:rFonts w:ascii="Consolas" w:hAnsi="Consolas"/>
          <w:sz w:val="18"/>
        </w:rPr>
        <w:t xml:space="preserve">      "FUEL":  { "mode": "discount_off_list", "value": 15 },</w:t>
      </w:r>
      <w:r>
        <w:br/>
      </w:r>
      <w:r>
        <w:rPr>
          <w:rFonts w:ascii="Consolas" w:hAnsi="Consolas"/>
          <w:sz w:val="18"/>
        </w:rPr>
        <w:t xml:space="preserve">      "RES":   { "mode": "dollars_over",      "value": 1.25 },</w:t>
      </w:r>
      <w:r>
        <w:br/>
      </w:r>
      <w:r>
        <w:rPr>
          <w:rFonts w:ascii="Consolas" w:hAnsi="Consolas"/>
          <w:sz w:val="18"/>
        </w:rPr>
        <w:t xml:space="preserve">      "SIG-D": { "mode": "none" }</w:t>
      </w:r>
      <w:r>
        <w:br/>
      </w:r>
      <w:r>
        <w:rPr>
          <w:rFonts w:ascii="Consolas" w:hAnsi="Consolas"/>
          <w:sz w:val="18"/>
        </w:rPr>
        <w:t xml:space="preserve">    },</w:t>
      </w:r>
      <w:r>
        <w:br/>
      </w:r>
      <w:r>
        <w:rPr>
          <w:rFonts w:ascii="Consolas" w:hAnsi="Consolas"/>
          <w:sz w:val="18"/>
        </w:rPr>
        <w:t xml:space="preserve">    "account_markup": 0</w:t>
      </w:r>
      <w:r>
        <w:br/>
      </w:r>
      <w:r>
        <w:rPr>
          <w:rFonts w:ascii="Consolas" w:hAnsi="Consolas"/>
          <w:sz w:val="18"/>
        </w:rPr>
        <w:t xml:space="preserve">  },</w:t>
      </w:r>
      <w:r>
        <w:br/>
      </w:r>
      <w:r>
        <w:rPr>
          <w:rFonts w:ascii="Consolas" w:hAnsi="Consolas"/>
          <w:sz w:val="18"/>
        </w:rPr>
        <w:t xml:space="preserve">  "replace": true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rPr>
          <w:b/>
        </w:rPr>
        <w:t xml:space="preserve">Field notes</w:t>
      </w:r>
    </w:p>
    <w:p>
      <w:pPr>
        <w:pStyle w:val="ListBullet"/>
      </w:pPr>
      <w:r>
        <w:t xml:space="preserve">customer.name is the only required field. external_id is strongly recommended — it's how the same customer is matched on repeat sends (otherwise it falls back to email).</w:t>
      </w:r>
    </w:p>
    <w:p>
      <w:pPr>
        <w:pStyle w:val="ListBullet"/>
      </w:pPr>
      <w:r>
        <w:t xml:space="preserve">pricing.services and pricing.fees are objects keyed by the service/fee keys listed in the appendices.</w:t>
      </w:r>
    </w:p>
    <w:p>
      <w:pPr>
        <w:pStyle w:val="ListBullet"/>
      </w:pPr>
      <w:r>
        <w:t xml:space="preserve">Omit any service/fee you're not setting, or send { "mode": "none" } to leave it at the default (no discount).</w:t>
      </w:r>
    </w:p>
    <w:p>
      <w:pPr>
        <w:pStyle w:val="ListBullet"/>
      </w:pPr>
      <w:r>
        <w:t xml:space="preserve">replace: true (default) = this proposal replaces the customer's whole rate card. replace: false = merge (only overwrite what you send, leave the rest).</w:t>
      </w:r>
    </w:p>
    <w:p>
      <w:pPr>
        <w:pStyle w:val="ListBullet"/>
      </w:pPr>
      <w:r>
        <w:t xml:space="preserve">account_markup (optional) = a flat % markup applied across the account.</w:t>
      </w:r>
    </w:p>
    <w:p>
      <w:pPr>
        <w:pStyle w:val="Heading2"/>
      </w:pPr>
      <w:r>
        <w:rPr>
          <w:b/>
        </w:rPr>
        <w:t xml:space="preserve">4. Discount “mode” Values</w:t>
      </w:r>
    </w:p>
    <w:p>
      <w:pPr>
        <w:pStyle w:val="Heading3"/>
      </w:pPr>
      <w:r>
        <w:rPr>
          <w:b/>
        </w:rPr>
        <w:t xml:space="preserve">For services (pricing.services)</w:t>
      </w:r>
    </w:p>
    <w:tbl>
      <w:tblPr>
        <w:tblW w:w="0" w:type="auto"/>
        <w:tblBorders>
          <w:top w:val="single" w:sz="4" w:color="CDD6D1"/>
          <w:left w:val="single" w:sz="4" w:color="CDD6D1"/>
          <w:bottom w:val="single" w:sz="4" w:color="CDD6D1"/>
          <w:right w:val="single" w:sz="4" w:color="CDD6D1"/>
          <w:insideH w:val="single" w:sz="4" w:color="CDD6D1"/>
          <w:insideV w:val="single" w:sz="4" w:color="CDD6D1"/>
        </w:tblBorders>
      </w:tblPr>
      <w:tr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mode</w:t>
            </w:r>
          </w:p>
        </w:tc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value is…</w:t>
            </w:r>
          </w:p>
        </w:tc>
      </w:tr>
      <w:tr>
        <w:tc>
          <w:p>
            <w:r>
              <w:t xml:space="preserve">discount_off_list</w:t>
            </w:r>
          </w:p>
        </w:tc>
        <w:tc>
          <w:p>
            <w:r>
              <w:t xml:space="preserve">% off the FedEx list rate</w:t>
            </w:r>
          </w:p>
        </w:tc>
        <w:tc>
          <w:p>
            <w:r>
              <w:t xml:space="preserve">a percent, e.g. 25 = 25% off list</w:t>
            </w:r>
          </w:p>
        </w:tc>
      </w:tr>
      <w:tr>
        <w:tc>
          <w:p>
            <w:r>
              <w:t xml:space="preserve">markup_over_cost</w:t>
            </w:r>
          </w:p>
        </w:tc>
        <w:tc>
          <w:p>
            <w:r>
              <w:t xml:space="preserve">% markup over our cost</w:t>
            </w:r>
          </w:p>
        </w:tc>
        <w:tc>
          <w:p>
            <w:r>
              <w:t xml:space="preserve">a percent, e.g. 10 = cost + 10%</w:t>
            </w:r>
          </w:p>
        </w:tc>
      </w:tr>
      <w:tr>
        <w:tc>
          <w:p>
            <w:r>
              <w:t xml:space="preserve">dollars_over_cost</w:t>
            </w:r>
          </w:p>
        </w:tc>
        <w:tc>
          <w:p>
            <w:r>
              <w:t xml:space="preserve">flat dollars over our cost</w:t>
            </w:r>
          </w:p>
        </w:tc>
        <w:tc>
          <w:p>
            <w:r>
              <w:t xml:space="preserve">dollars, e.g. 3 = cost + $3.00</w:t>
            </w:r>
          </w:p>
        </w:tc>
      </w:tr>
      <w:tr>
        <w:tc>
          <w:p>
            <w:r>
              <w:t xml:space="preserve">flat</w:t>
            </w:r>
          </w:p>
        </w:tc>
        <w:tc>
          <w:p>
            <w:r>
              <w:t xml:space="preserve">a fixed price for that service</w:t>
            </w:r>
          </w:p>
        </w:tc>
        <w:tc>
          <w:p>
            <w:r>
              <w:t xml:space="preserve">dollars, e.g. 18.50</w:t>
            </w:r>
          </w:p>
        </w:tc>
      </w:tr>
      <w:tr>
        <w:tc>
          <w:p>
            <w:r>
              <w:t xml:space="preserve">none</w:t>
            </w:r>
          </w:p>
        </w:tc>
        <w:tc>
          <w:p>
            <w:r>
              <w:t xml:space="preserve">no discount (account default / raw)</w:t>
            </w:r>
          </w:p>
        </w:tc>
        <w:tc>
          <w:p>
            <w:r>
              <w:t xml:space="preserve">— (omit value)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</w:rPr>
        <w:t xml:space="preserve">For fees (pricing.fees)</w:t>
      </w:r>
    </w:p>
    <w:tbl>
      <w:tblPr>
        <w:tblW w:w="0" w:type="auto"/>
        <w:tblBorders>
          <w:top w:val="single" w:sz="4" w:color="CDD6D1"/>
          <w:left w:val="single" w:sz="4" w:color="CDD6D1"/>
          <w:bottom w:val="single" w:sz="4" w:color="CDD6D1"/>
          <w:right w:val="single" w:sz="4" w:color="CDD6D1"/>
          <w:insideH w:val="single" w:sz="4" w:color="CDD6D1"/>
          <w:insideV w:val="single" w:sz="4" w:color="CDD6D1"/>
        </w:tblBorders>
      </w:tblPr>
      <w:tr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mode</w:t>
            </w:r>
          </w:p>
        </w:tc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value is…</w:t>
            </w:r>
          </w:p>
        </w:tc>
      </w:tr>
      <w:tr>
        <w:tc>
          <w:p>
            <w:r>
              <w:t xml:space="preserve">discount_off_list</w:t>
            </w:r>
          </w:p>
        </w:tc>
        <w:tc>
          <w:p>
            <w:r>
              <w:t xml:space="preserve">% off the fee's list amount</w:t>
            </w:r>
          </w:p>
        </w:tc>
        <w:tc>
          <w:p>
            <w:r>
              <w:t xml:space="preserve">a percent, e.g. 15 = 15% off</w:t>
            </w:r>
          </w:p>
        </w:tc>
      </w:tr>
      <w:tr>
        <w:tc>
          <w:p>
            <w:r>
              <w:t xml:space="preserve">markup_percent</w:t>
            </w:r>
          </w:p>
        </w:tc>
        <w:tc>
          <w:p>
            <w:r>
              <w:t xml:space="preserve">% markup on the fee</w:t>
            </w:r>
          </w:p>
        </w:tc>
        <w:tc>
          <w:p>
            <w:r>
              <w:t xml:space="preserve">a percent</w:t>
            </w:r>
          </w:p>
        </w:tc>
      </w:tr>
      <w:tr>
        <w:tc>
          <w:p>
            <w:r>
              <w:t xml:space="preserve">dollars_over</w:t>
            </w:r>
          </w:p>
        </w:tc>
        <w:tc>
          <w:p>
            <w:r>
              <w:t xml:space="preserve">flat dollars for the fee</w:t>
            </w:r>
          </w:p>
        </w:tc>
        <w:tc>
          <w:p>
            <w:r>
              <w:t xml:space="preserve">dollars, e.g. 1.25</w:t>
            </w:r>
          </w:p>
        </w:tc>
      </w:tr>
      <w:tr>
        <w:tc>
          <w:p>
            <w:r>
              <w:t xml:space="preserve">flat</w:t>
            </w:r>
          </w:p>
        </w:tc>
        <w:tc>
          <w:p>
            <w:r>
              <w:t xml:space="preserve">fixed fee amount</w:t>
            </w:r>
          </w:p>
        </w:tc>
        <w:tc>
          <w:p>
            <w:r>
              <w:t xml:space="preserve">dollars</w:t>
            </w:r>
          </w:p>
        </w:tc>
      </w:tr>
      <w:tr>
        <w:tc>
          <w:p>
            <w:r>
              <w:t xml:space="preserve">none</w:t>
            </w:r>
          </w:p>
        </w:tc>
        <w:tc>
          <w:p>
            <w:r>
              <w:t xml:space="preserve">leave fee at default</w:t>
            </w:r>
          </w:p>
        </w:tc>
        <w:tc>
          <w:p>
            <w:r>
              <w:t xml:space="preserve">— (omit value)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5. Response</w:t>
      </w:r>
    </w:p>
    <w:p>
      <w:pPr>
        <w:pStyle w:val="Code"/>
        <w:shd w:val="clear" w:fill="F2F5F3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"customer_id": "c1720000000123",</w:t>
      </w:r>
      <w:r>
        <w:br/>
      </w:r>
      <w:r>
        <w:rPr>
          <w:rFonts w:ascii="Consolas" w:hAnsi="Consolas"/>
          <w:sz w:val="18"/>
        </w:rPr>
        <w:t xml:space="preserve">  "external_id": "YOUR-CUSTOMER-ID-123",</w:t>
      </w:r>
      <w:r>
        <w:br/>
      </w:r>
      <w:r>
        <w:rPr>
          <w:rFonts w:ascii="Consolas" w:hAnsi="Consolas"/>
          <w:sz w:val="18"/>
        </w:rPr>
        <w:t xml:space="preserve">  "profile_id": "p1720000000456",</w:t>
      </w:r>
      <w:r>
        <w:br/>
      </w:r>
      <w:r>
        <w:rPr>
          <w:rFonts w:ascii="Consolas" w:hAnsi="Consolas"/>
          <w:sz w:val="18"/>
        </w:rPr>
        <w:t xml:space="preserve">  "created": true,</w:t>
      </w:r>
      <w:r>
        <w:br/>
      </w:r>
      <w:r>
        <w:rPr>
          <w:rFonts w:ascii="Consolas" w:hAnsi="Consolas"/>
          <w:sz w:val="18"/>
        </w:rPr>
        <w:t xml:space="preserve">  "services_set": 5,</w:t>
      </w:r>
      <w:r>
        <w:br/>
      </w:r>
      <w:r>
        <w:rPr>
          <w:rFonts w:ascii="Consolas" w:hAnsi="Consolas"/>
          <w:sz w:val="18"/>
        </w:rPr>
        <w:t xml:space="preserve">  "fees_set": 3,</w:t>
      </w:r>
      <w:r>
        <w:br/>
      </w:r>
      <w:r>
        <w:rPr>
          <w:rFonts w:ascii="Consolas" w:hAnsi="Consolas"/>
          <w:sz w:val="18"/>
        </w:rPr>
        <w:t xml:space="preserve">  "note": "Live in the Rates tab. Press nothing — it's saved."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ListBullet"/>
      </w:pPr>
      <w:r>
        <w:t xml:space="preserve">201 = new customer created. 200 = existing customer updated. created: true/false tells you which.</w:t>
      </w:r>
    </w:p>
    <w:p>
      <w:pPr>
        <w:pStyle w:val="ListBullet"/>
      </w:pPr>
      <w:r>
        <w:t xml:space="preserve">Errors return { "error": { "code": "...", "message": "..." } } with a 4xx/5xx status (e.g. 401 invalid_key, 422 invalid_request if customer.name is missing).</w:t>
      </w:r>
    </w:p>
    <w:p>
      <w:pPr>
        <w:pStyle w:val="ListBullet"/>
      </w:pPr>
      <w:r>
        <w:t xml:space="preserve">Rate limit: 120 requests/minute per admin key.</w:t>
      </w:r>
    </w:p>
    <w:p>
      <w:pPr>
        <w:pStyle w:val="Heading2"/>
      </w:pPr>
      <w:r>
        <w:rPr>
          <w:b/>
        </w:rPr>
        <w:t xml:space="preserve">6. Test curl</w:t>
      </w:r>
    </w:p>
    <w:p>
      <w:pPr>
        <w:pStyle w:val="Code"/>
        <w:shd w:val="clear" w:fill="F2F5F3"/>
      </w:pPr>
      <w:r>
        <w:rPr>
          <w:rFonts w:ascii="Consolas" w:hAnsi="Consolas"/>
          <w:sz w:val="18"/>
        </w:rPr>
        <w:t xml:space="preserve">curl -X POST https://&lt;FREIGHTWIRE-DOMAIN&gt;/api/v1/admin/customers \</w:t>
      </w:r>
      <w:r>
        <w:br/>
      </w:r>
      <w:r>
        <w:rPr>
          <w:rFonts w:ascii="Consolas" w:hAnsi="Consolas"/>
          <w:sz w:val="18"/>
        </w:rPr>
        <w:t xml:space="preserve">  -H "Authorization: Bearer sck_admin_xxxxxxxxxxxx" \</w:t>
      </w:r>
      <w:r>
        <w:br/>
      </w:r>
      <w:r>
        <w:rPr>
          <w:rFonts w:ascii="Consolas" w:hAnsi="Consolas"/>
          <w:sz w:val="18"/>
        </w:rPr>
        <w:t xml:space="preserve">  -H "Content-Type: application/json" \</w:t>
      </w:r>
      <w:r>
        <w:br/>
      </w:r>
      <w:r>
        <w:rPr>
          <w:rFonts w:ascii="Consolas" w:hAnsi="Consolas"/>
          <w:sz w:val="18"/>
        </w:rPr>
        <w:t xml:space="preserve">  -d '{</w:t>
      </w:r>
      <w:r>
        <w:br/>
      </w:r>
      <w:r>
        <w:rPr>
          <w:rFonts w:ascii="Consolas" w:hAnsi="Consolas"/>
          <w:sz w:val="18"/>
        </w:rPr>
        <w:t xml:space="preserve">    "customer": { "external_id": "TEST-1", "name": "Test Customer", "email": "test@x.com" },</w:t>
      </w:r>
      <w:r>
        <w:br/>
      </w:r>
      <w:r>
        <w:rPr>
          <w:rFonts w:ascii="Consolas" w:hAnsi="Consolas"/>
          <w:sz w:val="18"/>
        </w:rPr>
        <w:t xml:space="preserve">    "pricing": {</w:t>
      </w:r>
      <w:r>
        <w:br/>
      </w:r>
      <w:r>
        <w:rPr>
          <w:rFonts w:ascii="Consolas" w:hAnsi="Consolas"/>
          <w:sz w:val="18"/>
        </w:rPr>
        <w:t xml:space="preserve">      "services": { "ground": { "mode": "discount_off_list", "value": 20 } },</w:t>
      </w:r>
      <w:r>
        <w:br/>
      </w:r>
      <w:r>
        <w:rPr>
          <w:rFonts w:ascii="Consolas" w:hAnsi="Consolas"/>
          <w:sz w:val="18"/>
        </w:rPr>
        <w:t xml:space="preserve">      "fees": { "FUEL": { "mode": "discount_off_list", "value": 10 } }</w:t>
      </w:r>
      <w:r>
        <w:br/>
      </w:r>
      <w:r>
        <w:rPr>
          <w:rFonts w:ascii="Consolas" w:hAnsi="Consolas"/>
          <w:sz w:val="18"/>
        </w:rPr>
        <w:t xml:space="preserve">    },</w:t>
      </w:r>
      <w:r>
        <w:br/>
      </w:r>
      <w:r>
        <w:rPr>
          <w:rFonts w:ascii="Consolas" w:hAnsi="Consolas"/>
          <w:sz w:val="18"/>
        </w:rPr>
        <w:t xml:space="preserve">    "replace": true</w:t>
      </w:r>
      <w:r>
        <w:br/>
      </w:r>
      <w:r>
        <w:rPr>
          <w:rFonts w:ascii="Consolas" w:hAnsi="Consolas"/>
          <w:sz w:val="18"/>
        </w:rPr>
        <w:t xml:space="preserve">  }'</w:t>
      </w:r>
    </w:p>
    <w:p>
      <w:pPr>
        <w:pStyle w:val="Heading2"/>
      </w:pPr>
      <w:r>
        <w:rPr>
          <w:b/>
        </w:rPr>
        <w:t xml:space="preserve">Appendix A — Service Keys</w:t>
      </w:r>
    </w:p>
    <w:p>
      <w:r>
        <w:t xml:space="preserve">Send only the ones a proposal covers. The everyday ones:</w:t>
      </w:r>
    </w:p>
    <w:tbl>
      <w:tblPr>
        <w:tblW w:w="0" w:type="auto"/>
        <w:tblBorders>
          <w:top w:val="single" w:sz="4" w:color="CDD6D1"/>
          <w:left w:val="single" w:sz="4" w:color="CDD6D1"/>
          <w:bottom w:val="single" w:sz="4" w:color="CDD6D1"/>
          <w:right w:val="single" w:sz="4" w:color="CDD6D1"/>
          <w:insideH w:val="single" w:sz="4" w:color="CDD6D1"/>
          <w:insideV w:val="single" w:sz="4" w:color="CDD6D1"/>
        </w:tblBorders>
      </w:tblPr>
      <w:tr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service</w:t>
            </w:r>
          </w:p>
        </w:tc>
      </w:tr>
      <w:tr>
        <w:tc>
          <w:p>
            <w:r>
              <w:t xml:space="preserve">ground</w:t>
            </w:r>
          </w:p>
        </w:tc>
        <w:tc>
          <w:p>
            <w:r>
              <w:t xml:space="preserve">FedEx Ground</w:t>
            </w:r>
          </w:p>
        </w:tc>
      </w:tr>
      <w:tr>
        <w:tc>
          <w:p>
            <w:r>
              <w:t xml:space="preserve">home</w:t>
            </w:r>
          </w:p>
        </w:tc>
        <w:tc>
          <w:p>
            <w:r>
              <w:t xml:space="preserve">FedEx Home Delivery</w:t>
            </w:r>
          </w:p>
        </w:tc>
      </w:tr>
      <w:tr>
        <w:tc>
          <w:p>
            <w:r>
              <w:t xml:space="preserve">ground_economy</w:t>
            </w:r>
          </w:p>
        </w:tc>
        <w:tc>
          <w:p>
            <w:r>
              <w:t xml:space="preserve">FedEx Ground Economy</w:t>
            </w:r>
          </w:p>
        </w:tc>
      </w:tr>
      <w:tr>
        <w:tc>
          <w:p>
            <w:r>
              <w:t xml:space="preserve">express_saver</w:t>
            </w:r>
          </w:p>
        </w:tc>
        <w:tc>
          <w:p>
            <w:r>
              <w:t xml:space="preserve">FedEx Express Saver</w:t>
            </w:r>
          </w:p>
        </w:tc>
      </w:tr>
      <w:tr>
        <w:tc>
          <w:p>
            <w:r>
              <w:t xml:space="preserve">2day</w:t>
            </w:r>
          </w:p>
        </w:tc>
        <w:tc>
          <w:p>
            <w:r>
              <w:t xml:space="preserve">FedEx 2Day</w:t>
            </w:r>
          </w:p>
        </w:tc>
      </w:tr>
      <w:tr>
        <w:tc>
          <w:p>
            <w:r>
              <w:t xml:space="preserve">2day_am</w:t>
            </w:r>
          </w:p>
        </w:tc>
        <w:tc>
          <w:p>
            <w:r>
              <w:t xml:space="preserve">FedEx 2Day A.M.</w:t>
            </w:r>
          </w:p>
        </w:tc>
      </w:tr>
      <w:tr>
        <w:tc>
          <w:p>
            <w:r>
              <w:t xml:space="preserve">standard_overnight</w:t>
            </w:r>
          </w:p>
        </w:tc>
        <w:tc>
          <w:p>
            <w:r>
              <w:t xml:space="preserve">FedEx Standard Overnight</w:t>
            </w:r>
          </w:p>
        </w:tc>
      </w:tr>
      <w:tr>
        <w:tc>
          <w:p>
            <w:r>
              <w:t xml:space="preserve">priority_overnight</w:t>
            </w:r>
          </w:p>
        </w:tc>
        <w:tc>
          <w:p>
            <w:r>
              <w:t xml:space="preserve">FedEx Priority Overnight</w:t>
            </w:r>
          </w:p>
        </w:tc>
      </w:tr>
      <w:tr>
        <w:tc>
          <w:p>
            <w:r>
              <w:t xml:space="preserve">first_overnight</w:t>
            </w:r>
          </w:p>
        </w:tc>
        <w:tc>
          <w:p>
            <w:r>
              <w:t xml:space="preserve">FedEx First Overnight</w:t>
            </w:r>
          </w:p>
        </w:tc>
      </w:tr>
    </w:tbl>
    <w:p>
      <w:r>
        <w:t xml:space="preserve"/>
      </w:r>
    </w:p>
    <w:p>
      <w:r>
        <w:t xml:space="preserve">International: intl_ground_ca, intl_connect_plus, intl_economy, intl_priority, intl_priority_express, intl_first.</w:t>
      </w:r>
    </w:p>
    <w:p>
      <w:r>
        <w:t xml:space="preserve">Freight: first_overnight_freight, 1day_freight, 2day_freight, 3day_freight, intl_priority_freight, intl_economy_freight.</w:t>
      </w:r>
    </w:p>
    <w:p>
      <w:r>
        <w:t xml:space="preserve">One Rate (flat-rate packaging) keys follow the pattern or_&lt;service&gt;_&lt;packaging&gt;, e.g. or_2day_small_box, or_priority_overnight_envelope, or_standard_overnight_medium_box. (All 69 keys available on request — most proposals only need the everyday 9 above.)</w:t>
      </w:r>
    </w:p>
    <w:p>
      <w:pPr>
        <w:pStyle w:val="Heading2"/>
      </w:pPr>
      <w:r>
        <w:rPr>
          <w:b/>
        </w:rPr>
        <w:t xml:space="preserve">Appendix B — Common Fee Keys</w:t>
      </w:r>
    </w:p>
    <w:tbl>
      <w:tblPr>
        <w:tblW w:w="0" w:type="auto"/>
        <w:tblBorders>
          <w:top w:val="single" w:sz="4" w:color="CDD6D1"/>
          <w:left w:val="single" w:sz="4" w:color="CDD6D1"/>
          <w:bottom w:val="single" w:sz="4" w:color="CDD6D1"/>
          <w:right w:val="single" w:sz="4" w:color="CDD6D1"/>
          <w:insideH w:val="single" w:sz="4" w:color="CDD6D1"/>
          <w:insideV w:val="single" w:sz="4" w:color="CDD6D1"/>
        </w:tblBorders>
      </w:tblPr>
      <w:tr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shd w:val="clear" w:fill="0F3D2E"/>
          </w:tcPr>
          <w:p>
            <w:r>
              <w:rPr>
                <w:b/>
                <w:color w:val="FFFFFF"/>
              </w:rPr>
              <w:t xml:space="preserve">fee</w:t>
            </w:r>
          </w:p>
        </w:tc>
      </w:tr>
      <w:tr>
        <w:tc>
          <w:p>
            <w:r>
              <w:t xml:space="preserve">FUEL</w:t>
            </w:r>
          </w:p>
        </w:tc>
        <w:tc>
          <w:p>
            <w:r>
              <w:t xml:space="preserve">Fuel Surcharge (Express)</w:t>
            </w:r>
          </w:p>
        </w:tc>
      </w:tr>
      <w:tr>
        <w:tc>
          <w:p>
            <w:r>
              <w:t xml:space="preserve">FUEL-G</w:t>
            </w:r>
          </w:p>
        </w:tc>
        <w:tc>
          <w:p>
            <w:r>
              <w:t xml:space="preserve">Fuel Surcharge (Ground)</w:t>
            </w:r>
          </w:p>
        </w:tc>
      </w:tr>
      <w:tr>
        <w:tc>
          <w:p>
            <w:r>
              <w:t xml:space="preserve">RES</w:t>
            </w:r>
          </w:p>
        </w:tc>
        <w:tc>
          <w:p>
            <w:r>
              <w:t xml:space="preserve">Residential Delivery</w:t>
            </w:r>
          </w:p>
        </w:tc>
      </w:tr>
      <w:tr>
        <w:tc>
          <w:p>
            <w:r>
              <w:t xml:space="preserve">RES-HD</w:t>
            </w:r>
          </w:p>
        </w:tc>
        <w:tc>
          <w:p>
            <w:r>
              <w:t xml:space="preserve">Home Delivery Charge</w:t>
            </w:r>
          </w:p>
        </w:tc>
      </w:tr>
      <w:tr>
        <w:tc>
          <w:p>
            <w:r>
              <w:t xml:space="preserve">DAS</w:t>
            </w:r>
          </w:p>
        </w:tc>
        <w:tc>
          <w:p>
            <w:r>
              <w:t xml:space="preserve">Delivery Area Surcharge — Commercial</w:t>
            </w:r>
          </w:p>
        </w:tc>
      </w:tr>
      <w:tr>
        <w:tc>
          <w:p>
            <w:r>
              <w:t xml:space="preserve">DAS-G</w:t>
            </w:r>
          </w:p>
        </w:tc>
        <w:tc>
          <w:p>
            <w:r>
              <w:t xml:space="preserve">Delivery Area Surcharge — Ground</w:t>
            </w:r>
          </w:p>
        </w:tc>
      </w:tr>
      <w:tr>
        <w:tc>
          <w:p>
            <w:r>
              <w:t xml:space="preserve">AH-D</w:t>
            </w:r>
          </w:p>
        </w:tc>
        <w:tc>
          <w:p>
            <w:r>
              <w:t xml:space="preserve">Additional Handling — Dimensions</w:t>
            </w:r>
          </w:p>
        </w:tc>
      </w:tr>
      <w:tr>
        <w:tc>
          <w:p>
            <w:r>
              <w:t xml:space="preserve">SIG-D</w:t>
            </w:r>
          </w:p>
        </w:tc>
        <w:tc>
          <w:p>
            <w:r>
              <w:t xml:space="preserve">Direct Signature Required</w:t>
            </w:r>
          </w:p>
        </w:tc>
      </w:tr>
      <w:tr>
        <w:tc>
          <w:p>
            <w:r>
              <w:t xml:space="preserve">INS</w:t>
            </w:r>
          </w:p>
        </w:tc>
        <w:tc>
          <w:p>
            <w:r>
              <w:t xml:space="preserve">Declared Value (per $100 over $100)</w:t>
            </w:r>
          </w:p>
        </w:tc>
      </w:tr>
      <w:tr>
        <w:tc>
          <w:p>
            <w:r>
              <w:t xml:space="preserve">ADDR</w:t>
            </w:r>
          </w:p>
        </w:tc>
        <w:tc>
          <w:p>
            <w:r>
              <w:t xml:space="preserve">Address Correction</w:t>
            </w:r>
          </w:p>
        </w:tc>
      </w:tr>
    </w:tbl>
    <w:p>
      <w:r>
        <w:t xml:space="preserve"/>
      </w:r>
    </w:p>
    <w:p>
      <w:r>
        <w:t xml:space="preserve">(79 fee keys total — full list on request. Most proposals only touch fuel + residential.)</w:t>
      </w:r>
    </w:p>
    <w:p>
      <w:pPr>
        <w:pStyle w:val="Heading2"/>
      </w:pPr>
      <w:r>
        <w:rPr>
          <w:b/>
        </w:rPr>
        <w:t xml:space="preserve">What I Need From You</w:t>
      </w:r>
    </w:p>
    <w:p>
      <w:pPr>
        <w:pStyle w:val="ListNumber"/>
      </w:pPr>
      <w:r>
        <w:t xml:space="preserve">Can your “Send” button POST the JSON in section 3 to our endpoint?</w:t>
      </w:r>
    </w:p>
    <w:p>
      <w:pPr>
        <w:pStyle w:val="ListNumber"/>
      </w:pPr>
      <w:r>
        <w:t xml:space="preserve">Will you store OUR customer_id from the response so repeat sends update instead of duplicate? (Or just always send the same external_id and we handle matching.)</w:t>
      </w:r>
    </w:p>
    <w:p>
      <w:pPr>
        <w:pStyle w:val="ListNumber"/>
      </w:pPr>
      <w:r>
        <w:t xml:space="preserve">Send me one sample of your proposal output (raw discounts/fees for one customer) so I can confirm every field maps to our service and fee names before you build.</w:t>
      </w:r>
    </w:p>
    <w:p>
      <w:pPr>
        <w:pStyle w:val="ListNumber"/>
      </w:pPr>
      <w:r>
        <w:t xml:space="preserve">Any services/fees in your proposals that DON'T map to the keys above? Send me the list.</w:t>
      </w:r>
    </w:p>
    <w:p>
      <w:pPr>
        <w:pStyle w:val="ListNumber"/>
      </w:pPr>
      <w:r>
        <w:t xml:space="preserve">What should happen if a call fails — will you retry or queue it so a proposal never silently drops?</w:t>
      </w:r>
    </w:p>
    <w:p>
      <w:pPr>
        <w:pStyle w:val="ListNumber"/>
      </w:pPr>
      <w:r>
        <w:t xml:space="preserve">Confirm you can keep the sck_admin_ key server-side (not exposed in a browser).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0" w:hanging="240"/>
      </w:pPr>
    </w:lvl>
  </w:abstractNum>
  <w:abstractNum w:abstractNumId="1">
    <w:lvl w:ilvl="0">
      <w:start w:val="1"/>
      <w:numFmt w:val="decimal"/>
      <w:lvlText w:val="%1."/>
      <w:pPr>
        <w:ind w:left="420" w:hanging="24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pPr>
      <w:spacing w:after="120" w:line="276" w:lineRule="auto"/>
    </w:pPr>
  </w:style>
  <w:style w:type="paragraph" w:styleId="Heading1">
    <w:name w:val="heading 1"/>
    <w:pPr>
      <w:spacing w:before="60" w:after="40"/>
    </w:pPr>
    <w:rPr>
      <w:b/>
      <w:color w:val="0F3D2E"/>
      <w:sz w:val="40"/>
    </w:rPr>
  </w:style>
  <w:style w:type="paragraph" w:styleId="Subtitle">
    <w:name w:val="Subtitle"/>
    <w:pPr>
      <w:spacing w:after="240"/>
    </w:pPr>
    <w:rPr>
      <w:color w:val="555555"/>
      <w:sz w:val="21"/>
    </w:rPr>
  </w:style>
  <w:style w:type="paragraph" w:styleId="Heading2">
    <w:name w:val="heading 2"/>
    <w:pPr>
      <w:spacing w:before="280" w:after="120"/>
      <w:pBdr>
        <w:bottom w:val="single" w:sz="8" w:color="0F3D2E"/>
      </w:pBdr>
    </w:pPr>
    <w:rPr>
      <w:b/>
      <w:color w:val="0F3D2E"/>
      <w:sz w:val="26"/>
    </w:rPr>
  </w:style>
  <w:style w:type="paragraph" w:styleId="Heading3">
    <w:name w:val="heading 3"/>
    <w:pPr>
      <w:spacing w:before="160" w:after="60"/>
    </w:pPr>
    <w:rPr>
      <w:b/>
      <w:sz w:val="23"/>
    </w:rPr>
  </w:style>
  <w:style w:type="paragraph" w:styleId="Code">
    <w:name w:val="Code"/>
    <w:pPr>
      <w:spacing w:after="120" w:line="240" w:lineRule="auto"/>
      <w:ind w:left="120" w:right="120"/>
    </w:pPr>
    <w:rPr>
      <w:rFonts w:ascii="Consolas" w:hAnsi="Consolas"/>
      <w:sz w:val="18"/>
    </w:rPr>
  </w:style>
  <w:style w:type="paragraph" w:styleId="ListBullet">
    <w:name w:val="List Bullet"/>
    <w:pPr>
      <w:numPr>
        <w:numId w:val="1"/>
      </w:numPr>
      <w:spacing w:after="80"/>
    </w:pPr>
  </w:style>
  <w:style w:type="paragraph" w:styleId="ListNumber">
    <w:name w:val="List Number"/>
    <w:pPr>
      <w:numPr>
        <w:numId w:val="2"/>
      </w:numPr>
      <w:spacing w:after="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