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Residential Mortgage / RMBS Trader External Data Reference Guide</w:t>
      </w:r>
    </w:p>
    <w:p>
      <w:pPr>
        <w:pStyle w:val="Subtitle"/>
      </w:pPr>
      <w:r>
        <w:t xml:space="preserve">Prepared Sep 30, 2026 · Public/commercial external sources only.</w:t>
      </w:r>
    </w:p>
    <w:p>
      <w:pPr>
        <w:pStyle w:val="FirstParagraph"/>
      </w:pPr>
      <w:r>
        <w:rPr>
          <w:b/>
          <w:bCs/>
        </w:rPr>
        <w:t xml:space="preserve">Prepared Sep 30, 2026.</w:t>
      </w:r>
      <w:r>
        <w:t xml:space="preserve"> </w:t>
      </w:r>
      <w:r>
        <w:rPr>
          <w:i/>
          <w:iCs/>
        </w:rPr>
        <w:t xml:space="preserve">Public/commercial external sources only.</w:t>
      </w:r>
      <w:r>
        <w:t xml:space="preserve"> </w:t>
      </w:r>
      <w:r>
        <w:t xml:space="preserve">This guide does not reference, describe, or rely on any internal systems, data, or desk sheets. Every link was checked when the guide was prepared; websites move, so if a deep link breaks, go to the site root listed and navigate from there. No market levels are quoted anywhere in this document on purpose: the point is to tell you where to get the current number, not to give you a number that will be stale by the time you read it.</w:t>
      </w:r>
    </w:p>
    <w:p>
      <w:pPr>
        <w:pStyle w:val="BodyText"/>
      </w:pPr>
      <w:r>
        <w:rPr>
          <w:b/>
          <w:bCs/>
        </w:rPr>
        <w:t xml:space="preserve">Cost key used throughout:</w:t>
      </w:r>
      <w:r>
        <w:t xml:space="preserve"> </w:t>
      </w:r>
      <w:r>
        <w:rPr>
          <w:b/>
          <w:bCs/>
        </w:rPr>
        <w:t xml:space="preserve">Free</w:t>
      </w:r>
      <w:r>
        <w:t xml:space="preserve"> </w:t>
      </w:r>
      <w:r>
        <w:t xml:space="preserve">= open to anyone.</w:t>
      </w:r>
      <w:r>
        <w:t xml:space="preserve"> </w:t>
      </w:r>
      <w:r>
        <w:rPr>
          <w:b/>
          <w:bCs/>
        </w:rPr>
        <w:t xml:space="preserve">Free w/ reg</w:t>
      </w:r>
      <w:r>
        <w:t xml:space="preserve"> </w:t>
      </w:r>
      <w:r>
        <w:t xml:space="preserve">= free but requires an account.</w:t>
      </w:r>
      <w:r>
        <w:t xml:space="preserve"> </w:t>
      </w:r>
      <w:r>
        <w:rPr>
          <w:b/>
          <w:bCs/>
        </w:rPr>
        <w:t xml:space="preserve">Paid</w:t>
      </w:r>
      <w:r>
        <w:t xml:space="preserve"> </w:t>
      </w:r>
      <w:r>
        <w:t xml:space="preserve">= subscription or license, tagged as</w:t>
      </w:r>
      <w:r>
        <w:t xml:space="preserve"> </w:t>
      </w:r>
      <w:r>
        <w:rPr>
          <w:b/>
          <w:bCs/>
        </w:rPr>
        <w:t xml:space="preserve">Must-request</w:t>
      </w:r>
      <w:r>
        <w:t xml:space="preserve"> </w:t>
      </w:r>
      <w:r>
        <w:t xml:space="preserve">(ask the firm for access now),</w:t>
      </w:r>
      <w:r>
        <w:t xml:space="preserve"> </w:t>
      </w:r>
      <w:r>
        <w:rPr>
          <w:b/>
          <w:bCs/>
        </w:rPr>
        <w:t xml:space="preserve">Nice to have</w:t>
      </w:r>
      <w:r>
        <w:t xml:space="preserve">, or</w:t>
      </w:r>
      <w:r>
        <w:t xml:space="preserve"> </w:t>
      </w:r>
      <w:r>
        <w:rPr>
          <w:b/>
          <w:bCs/>
        </w:rPr>
        <w:t xml:space="preserve">Skip</w:t>
      </w:r>
      <w:r>
        <w:t xml:space="preserve"> </w:t>
      </w:r>
      <w:r>
        <w:t xml:space="preserve">(not worth it for a temporary coverage role). All times are</w:t>
      </w:r>
      <w:r>
        <w:t xml:space="preserve"> </w:t>
      </w:r>
      <w:r>
        <w:rPr>
          <w:b/>
          <w:bCs/>
        </w:rPr>
        <w:t xml:space="preserve">Central Time (CT)</w:t>
      </w:r>
      <w:r>
        <w:t xml:space="preserve"> </w:t>
      </w:r>
      <w:r>
        <w:t xml:space="preserve">unless marked otherwise; most US releases are scheduled in Eastern Time (ET), which is one hour ahead of CT.</w:t>
      </w:r>
    </w:p>
    <w:p>
      <w:pPr>
        <w:pStyle w:val="BodyText"/>
      </w:pPr>
      <w:r>
        <w:rPr>
          <w:b/>
          <w:bCs/>
        </w:rPr>
        <w:t xml:space="preserve">Contents</w:t>
      </w:r>
    </w:p>
    <w:p>
      <w:pPr>
        <w:pStyle w:val="Compact"/>
        <w:numPr>
          <w:ilvl w:val="0"/>
          <w:numId w:val="1001"/>
        </w:numPr>
      </w:pPr>
      <w:r>
        <w:t xml:space="preserve">How to use this guide (incl. </w:t>
      </w:r>
      <w:r>
        <w:t xml:space="preserve">“PM asks X → go to Y”</w:t>
      </w:r>
      <w:r>
        <w:t xml:space="preserve"> </w:t>
      </w:r>
      <w:r>
        <w:t xml:space="preserve">quick-answer table)</w:t>
      </w:r>
    </w:p>
    <w:p>
      <w:pPr>
        <w:pStyle w:val="Compact"/>
        <w:numPr>
          <w:ilvl w:val="0"/>
          <w:numId w:val="1001"/>
        </w:numPr>
      </w:pPr>
      <w:r>
        <w:t xml:space="preserve">Rates and the curve (Treasuries, SOFR/swaps, Fed path, volatility and breakevens)</w:t>
      </w:r>
    </w:p>
    <w:p>
      <w:pPr>
        <w:pStyle w:val="Compact"/>
        <w:numPr>
          <w:ilvl w:val="0"/>
          <w:numId w:val="1001"/>
        </w:numPr>
      </w:pPr>
      <w:r>
        <w:t xml:space="preserve">Mortgage rates: which source, when (incl. mortgage-to-10Y and primary-secondary spread)</w:t>
      </w:r>
    </w:p>
    <w:p>
      <w:pPr>
        <w:pStyle w:val="Compact"/>
        <w:numPr>
          <w:ilvl w:val="0"/>
          <w:numId w:val="1001"/>
        </w:numPr>
      </w:pPr>
      <w:r>
        <w:t xml:space="preserve">Spreads and MBS pricing (agency TBA, non-agency, CRT, broad credit)</w:t>
      </w:r>
    </w:p>
    <w:p>
      <w:pPr>
        <w:pStyle w:val="Compact"/>
        <w:numPr>
          <w:ilvl w:val="0"/>
          <w:numId w:val="1001"/>
        </w:numPr>
      </w:pPr>
      <w:r>
        <w:t xml:space="preserve">Deal flow and new issue (incl. shelf names by issuer)</w:t>
      </w:r>
    </w:p>
    <w:p>
      <w:pPr>
        <w:pStyle w:val="Compact"/>
        <w:numPr>
          <w:ilvl w:val="0"/>
          <w:numId w:val="1001"/>
        </w:numPr>
      </w:pPr>
      <w:r>
        <w:t xml:space="preserve">Credit performance and surveillance</w:t>
      </w:r>
    </w:p>
    <w:p>
      <w:pPr>
        <w:pStyle w:val="Compact"/>
        <w:numPr>
          <w:ilvl w:val="0"/>
          <w:numId w:val="1001"/>
        </w:numPr>
      </w:pPr>
      <w:r>
        <w:t xml:space="preserve">Prepayments</w:t>
      </w:r>
    </w:p>
    <w:p>
      <w:pPr>
        <w:pStyle w:val="Compact"/>
        <w:numPr>
          <w:ilvl w:val="0"/>
          <w:numId w:val="1001"/>
        </w:numPr>
      </w:pPr>
      <w:r>
        <w:t xml:space="preserve">Housing and macro fundamentals (incl. economic calendar)</w:t>
      </w:r>
    </w:p>
    <w:p>
      <w:pPr>
        <w:pStyle w:val="Compact"/>
        <w:numPr>
          <w:ilvl w:val="0"/>
          <w:numId w:val="1001"/>
        </w:numPr>
      </w:pPr>
      <w:r>
        <w:t xml:space="preserve">Industry news and market color</w:t>
      </w:r>
    </w:p>
    <w:p>
      <w:pPr>
        <w:pStyle w:val="Compact"/>
        <w:numPr>
          <w:ilvl w:val="0"/>
          <w:numId w:val="1001"/>
        </w:numPr>
      </w:pPr>
      <w:r>
        <w:t xml:space="preserve">Regulatory and policy</w:t>
      </w:r>
    </w:p>
    <w:p>
      <w:pPr>
        <w:pStyle w:val="Compact"/>
        <w:numPr>
          <w:ilvl w:val="0"/>
          <w:numId w:val="1001"/>
        </w:numPr>
      </w:pPr>
      <w:r>
        <w:t xml:space="preserve">Paid access: what to request from the firm (incl. Bloomberg functions)</w:t>
      </w:r>
    </w:p>
    <w:p>
      <w:pPr>
        <w:pStyle w:val="Compact"/>
        <w:numPr>
          <w:ilvl w:val="0"/>
          <w:numId w:val="1001"/>
        </w:numPr>
      </w:pPr>
      <w:r>
        <w:t xml:space="preserve">Daily, weekly and monthly calendar (Central Time)</w:t>
      </w:r>
    </w:p>
    <w:p>
      <w:pPr>
        <w:pStyle w:val="Compact"/>
        <w:numPr>
          <w:ilvl w:val="0"/>
          <w:numId w:val="1001"/>
        </w:numPr>
      </w:pPr>
      <w:r>
        <w:t xml:space="preserve">Answering PMs (source hierarchy, rules, worked examples)</w:t>
      </w:r>
    </w:p>
    <w:p>
      <w:pPr>
        <w:pStyle w:val="FirstParagraph"/>
      </w:pPr>
      <w:r>
        <w:t xml:space="preserve">Appendix A: What is only available paid · Appendix B: Full link index</w:t>
      </w:r>
    </w:p>
    <w:bookmarkStart w:id="11" w:name="how-to-use-this-guide"/>
    <w:p>
      <w:pPr>
        <w:pStyle w:val="Heading1"/>
      </w:pPr>
      <w:r>
        <w:t xml:space="preserve">1. How to use this guide</w:t>
      </w:r>
    </w:p>
    <w:bookmarkStart w:id="9" w:name="the-three-step-routine"/>
    <w:p>
      <w:pPr>
        <w:pStyle w:val="Heading2"/>
      </w:pPr>
      <w:r>
        <w:t xml:space="preserve">1.1 The three-step routine</w:t>
      </w:r>
    </w:p>
    <w:p>
      <w:pPr>
        <w:pStyle w:val="Compact"/>
        <w:numPr>
          <w:ilvl w:val="0"/>
          <w:numId w:val="1002"/>
        </w:numPr>
      </w:pPr>
      <w:r>
        <w:rPr>
          <w:b/>
          <w:bCs/>
        </w:rPr>
        <w:t xml:space="preserve">Translate the vague question into a metric.</w:t>
      </w:r>
      <w:r>
        <w:t xml:space="preserve"> </w:t>
      </w:r>
      <w:r>
        <w:t xml:space="preserve">“Where are Non-QM spreads?”</w:t>
      </w:r>
      <w:r>
        <w:t xml:space="preserve"> </w:t>
      </w:r>
      <w:r>
        <w:t xml:space="preserve">really means</w:t>
      </w:r>
      <w:r>
        <w:t xml:space="preserve"> </w:t>
      </w:r>
      <w:r>
        <w:t xml:space="preserve">“What spread over the curve did the most recent AAA Non-QM senior tranches price at, and how does that compare with a month ago?”</w:t>
      </w:r>
      <w:r>
        <w:t xml:space="preserve"> </w:t>
      </w:r>
      <w:r>
        <w:t xml:space="preserve">Section 1.2 does this translation for the most common questions.</w:t>
      </w:r>
    </w:p>
    <w:p>
      <w:pPr>
        <w:pStyle w:val="Compact"/>
        <w:numPr>
          <w:ilvl w:val="0"/>
          <w:numId w:val="1002"/>
        </w:numPr>
      </w:pPr>
      <w:r>
        <w:rPr>
          <w:b/>
          <w:bCs/>
        </w:rPr>
        <w:t xml:space="preserve">Go to the highest-quality source that has that metric.</w:t>
      </w:r>
      <w:r>
        <w:t xml:space="preserve"> </w:t>
      </w:r>
      <w:r>
        <w:t xml:space="preserve">Official data beats index providers, which beat rating agencies, which beat trade press, which beat social media (see Section 13). If the only real source is paid, say so and use the best free proxy while you request access.</w:t>
      </w:r>
    </w:p>
    <w:p>
      <w:pPr>
        <w:pStyle w:val="Compact"/>
        <w:numPr>
          <w:ilvl w:val="0"/>
          <w:numId w:val="1002"/>
        </w:numPr>
      </w:pPr>
      <w:r>
        <w:rPr>
          <w:b/>
          <w:bCs/>
        </w:rPr>
        <w:t xml:space="preserve">Answer with a date-stamp and a source.</w:t>
      </w:r>
      <w:r>
        <w:t xml:space="preserve"> </w:t>
      </w:r>
      <w:r>
        <w:t xml:space="preserve">Say what the number is, when it was observed, where it came from, and whether it is survey, index, or transaction data. For example:</w:t>
      </w:r>
      <w:r>
        <w:t xml:space="preserve"> </w:t>
      </w:r>
      <w:r>
        <w:t xml:space="preserve">“Per Freddie Mac PMMS released Thursday (applications Thu–Wed), versus the 10-year CMT average over the same window.”</w:t>
      </w:r>
    </w:p>
    <w:bookmarkEnd w:id="9"/>
    <w:bookmarkStart w:id="10" w:name="quick-answer-table-pm-asks-x-go-to-y"/>
    <w:p>
      <w:pPr>
        <w:pStyle w:val="Heading2"/>
      </w:pPr>
      <w:r>
        <w:t xml:space="preserve">1.2 Quick-answer table:</w:t>
      </w:r>
      <w:r>
        <w:t xml:space="preserve"> </w:t>
      </w:r>
      <w:r>
        <w:t xml:space="preserve">“PM asks X → go to Y”</w:t>
      </w:r>
    </w:p>
    <w:p>
      <w:pPr>
        <w:pStyle w:val="TableCaption"/>
      </w:pPr>
      <w:r>
        <w:t xml:space="preserve">The most common PM questions and where to go first.</w:t>
      </w:r>
    </w:p>
    <w:tbl>
      <w:tblPr>
        <w:tblStyle w:val="Table"/>
        <w:tblLayout w:type="fixed"/>
        <w:tblLook w:firstRow="1" w:lastRow="0" w:firstColumn="0" w:lastColumn="0" w:noHBand="0" w:noVBand="0" w:val="0020"/>
        <w:tblCaption w:val="The most common PM questions and where to go firs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3437"/>
        <w:gridCol w:w="3437"/>
        <w:gridCol w:w="3799"/>
        <w:gridCol w:w="3437"/>
      </w:tblGrid>
      <w:tr>
        <w:trPr>
          <w:tblHeader w:val="on"/>
          <w:cantSplit/>
          <w:tblHeader/>
        </w:trPr>
        <w:tc>
          <w:tcPr>
            <w:tcW w:w="3437" w:type="dxa"/>
            <w:shd w:val="clear" w:color="auto" w:fill="1F3A5F"/>
          </w:tcPr>
          <w:p>
            <w:pPr>
              <w:pStyle w:val="Compact"/>
              <w:spacing w:after="20" w:before="20"/>
            </w:pPr>
            <w:r>
              <w:rPr>
                <w:b/>
                <w:color w:val="FFFFFF"/>
                <w:sz w:val="17"/>
              </w:rPr>
              <w:t xml:space="preserve">PM asks</w:t>
            </w:r>
          </w:p>
        </w:tc>
        <w:tc>
          <w:tcPr>
            <w:tcW w:w="3437" w:type="dxa"/>
            <w:shd w:val="clear" w:color="auto" w:fill="1F3A5F"/>
          </w:tcPr>
          <w:p>
            <w:pPr>
              <w:pStyle w:val="Compact"/>
              <w:spacing w:after="20" w:before="20"/>
            </w:pPr>
            <w:r>
              <w:rPr>
                <w:b/>
                <w:color w:val="FFFFFF"/>
                <w:sz w:val="17"/>
              </w:rPr>
              <w:t xml:space="preserve">Go to first</w:t>
            </w:r>
          </w:p>
        </w:tc>
        <w:tc>
          <w:tcPr>
            <w:tcW w:w="3799" w:type="dxa"/>
            <w:shd w:val="clear" w:color="auto" w:fill="1F3A5F"/>
          </w:tcPr>
          <w:p>
            <w:pPr>
              <w:pStyle w:val="Compact"/>
              <w:spacing w:after="20" w:before="20"/>
            </w:pPr>
            <w:r>
              <w:rPr>
                <w:b/>
                <w:color w:val="FFFFFF"/>
                <w:sz w:val="17"/>
              </w:rPr>
              <w:t xml:space="preserve">Specific metric to quote</w:t>
            </w:r>
          </w:p>
        </w:tc>
        <w:tc>
          <w:tcPr>
            <w:tcW w:w="3437" w:type="dxa"/>
            <w:shd w:val="clear" w:color="auto" w:fill="1F3A5F"/>
          </w:tcPr>
          <w:p>
            <w:pPr>
              <w:pStyle w:val="Compact"/>
              <w:spacing w:after="20" w:before="20"/>
            </w:pPr>
            <w:r>
              <w:rPr>
                <w:b/>
                <w:color w:val="FFFFFF"/>
                <w:sz w:val="17"/>
              </w:rPr>
              <w:t xml:space="preserve">Backup / paid upgrade</w:t>
            </w:r>
          </w:p>
        </w:tc>
      </w:tr>
      <w:tr>
        <w:trPr>
          <w:cantSplit/>
        </w:trPr>
        <w:tc>
          <w:tcPr>
            <w:tcW w:w="3437" w:type="dxa"/>
          </w:tcPr>
          <w:p>
            <w:pPr>
              <w:pStyle w:val="Compact"/>
              <w:spacing w:after="20" w:before="20"/>
            </w:pPr>
            <w:r>
              <w:rPr>
                <w:sz w:val="17"/>
              </w:rPr>
              <w:t xml:space="preserve">“Where are mortgage rates today?”</w:t>
            </w:r>
          </w:p>
        </w:tc>
        <w:tc>
          <w:tcPr>
            <w:tcW w:w="3437" w:type="dxa"/>
          </w:tcPr>
          <w:p>
            <w:pPr>
              <w:pStyle w:val="Compact"/>
              <w:spacing w:after="20" w:before="20"/>
            </w:pPr>
            <w:r>
              <w:rPr>
                <w:sz w:val="17"/>
              </w:rPr>
              <w:t xml:space="preserve">MND Daily Index (~3:00 pm CT)</w:t>
            </w:r>
          </w:p>
        </w:tc>
        <w:tc>
          <w:tcPr>
            <w:tcW w:w="3799" w:type="dxa"/>
          </w:tcPr>
          <w:p>
            <w:pPr>
              <w:pStyle w:val="Compact"/>
              <w:spacing w:after="20" w:before="20"/>
            </w:pPr>
            <w:r>
              <w:rPr>
                <w:sz w:val="17"/>
              </w:rPr>
              <w:t xml:space="preserve">30Y conforming rate today and day-over-day change</w:t>
            </w:r>
          </w:p>
        </w:tc>
        <w:tc>
          <w:tcPr>
            <w:tcW w:w="3437" w:type="dxa"/>
          </w:tcPr>
          <w:p>
            <w:pPr>
              <w:pStyle w:val="Compact"/>
              <w:spacing w:after="20" w:before="20"/>
            </w:pPr>
            <w:r>
              <w:rPr>
                <w:sz w:val="17"/>
              </w:rPr>
              <w:t xml:space="preserve">Optimal Blue OBMMI on FRED (OBMMIC30YF, one-day lag); Bloomberg</w:t>
            </w:r>
          </w:p>
        </w:tc>
      </w:tr>
      <w:tr>
        <w:trPr>
          <w:cantSplit/>
        </w:trPr>
        <w:tc>
          <w:tcPr>
            <w:tcW w:w="3437" w:type="dxa"/>
            <w:shd w:val="clear" w:color="auto" w:fill="EEF2F7"/>
          </w:tcPr>
          <w:p>
            <w:pPr>
              <w:pStyle w:val="Compact"/>
              <w:spacing w:after="20" w:before="20"/>
            </w:pPr>
            <w:r>
              <w:rPr>
                <w:sz w:val="17"/>
              </w:rPr>
              <w:t xml:space="preserve">“Where are mortgage rates vs 10s?”</w:t>
            </w:r>
          </w:p>
        </w:tc>
        <w:tc>
          <w:tcPr>
            <w:tcW w:w="3437" w:type="dxa"/>
            <w:shd w:val="clear" w:color="auto" w:fill="EEF2F7"/>
          </w:tcPr>
          <w:p>
            <w:pPr>
              <w:pStyle w:val="Compact"/>
              <w:spacing w:after="20" w:before="20"/>
            </w:pPr>
            <w:r>
              <w:rPr>
                <w:sz w:val="17"/>
              </w:rPr>
              <w:t xml:space="preserve">Freddie PMMS + FRED DGS10</w:t>
            </w:r>
          </w:p>
        </w:tc>
        <w:tc>
          <w:tcPr>
            <w:tcW w:w="3799" w:type="dxa"/>
            <w:shd w:val="clear" w:color="auto" w:fill="EEF2F7"/>
          </w:tcPr>
          <w:p>
            <w:pPr>
              <w:pStyle w:val="Compact"/>
              <w:spacing w:after="20" w:before="20"/>
            </w:pPr>
            <w:r>
              <w:rPr>
                <w:sz w:val="17"/>
              </w:rPr>
              <w:t xml:space="preserve">PMMS 30Y minus 10Y CMT averaged over the same Thu–Wed window, in bp; trend vs 4 and 52 weeks</w:t>
            </w:r>
          </w:p>
        </w:tc>
        <w:tc>
          <w:tcPr>
            <w:tcW w:w="3437" w:type="dxa"/>
            <w:shd w:val="clear" w:color="auto" w:fill="EEF2F7"/>
          </w:tcPr>
          <w:p>
            <w:pPr>
              <w:pStyle w:val="Compact"/>
              <w:spacing w:after="20" w:before="20"/>
            </w:pPr>
            <w:r>
              <w:rPr>
                <w:sz w:val="17"/>
              </w:rPr>
              <w:t xml:space="preserve">MND index minus same-day 10Y close; Urban Institute chartbook</w:t>
            </w:r>
          </w:p>
        </w:tc>
      </w:tr>
      <w:tr>
        <w:trPr>
          <w:cantSplit/>
        </w:trPr>
        <w:tc>
          <w:tcPr>
            <w:tcW w:w="3437" w:type="dxa"/>
          </w:tcPr>
          <w:p>
            <w:pPr>
              <w:pStyle w:val="Compact"/>
              <w:spacing w:after="20" w:before="20"/>
            </w:pPr>
            <w:r>
              <w:rPr>
                <w:sz w:val="17"/>
              </w:rPr>
              <w:t xml:space="preserve">“Where is the primary-secondary spread?”</w:t>
            </w:r>
          </w:p>
        </w:tc>
        <w:tc>
          <w:tcPr>
            <w:tcW w:w="3437" w:type="dxa"/>
          </w:tcPr>
          <w:p>
            <w:pPr>
              <w:pStyle w:val="Compact"/>
              <w:spacing w:after="20" w:before="20"/>
            </w:pPr>
            <w:r>
              <w:rPr>
                <w:sz w:val="17"/>
              </w:rPr>
              <w:t xml:space="preserve">Urban Institute chartbook (monthly chart)</w:t>
            </w:r>
          </w:p>
        </w:tc>
        <w:tc>
          <w:tcPr>
            <w:tcW w:w="3799" w:type="dxa"/>
          </w:tcPr>
          <w:p>
            <w:pPr>
              <w:pStyle w:val="Compact"/>
              <w:spacing w:after="20" w:before="20"/>
            </w:pPr>
            <w:r>
              <w:rPr>
                <w:sz w:val="17"/>
              </w:rPr>
              <w:t xml:space="preserve">Mortgage rate minus current-coupon MBS yield</w:t>
            </w:r>
          </w:p>
        </w:tc>
        <w:tc>
          <w:tcPr>
            <w:tcW w:w="3437" w:type="dxa"/>
          </w:tcPr>
          <w:p>
            <w:pPr>
              <w:pStyle w:val="Compact"/>
              <w:spacing w:after="20" w:before="20"/>
            </w:pPr>
            <w:r>
              <w:rPr>
                <w:sz w:val="17"/>
              </w:rPr>
              <w:t xml:space="preserve">Bloomberg current-coupon ticker (confirm with desk); dealer research</w:t>
            </w:r>
          </w:p>
        </w:tc>
      </w:tr>
      <w:tr>
        <w:trPr>
          <w:cantSplit/>
        </w:trPr>
        <w:tc>
          <w:tcPr>
            <w:tcW w:w="3437" w:type="dxa"/>
            <w:shd w:val="clear" w:color="auto" w:fill="EEF2F7"/>
          </w:tcPr>
          <w:p>
            <w:pPr>
              <w:pStyle w:val="Compact"/>
              <w:spacing w:after="20" w:before="20"/>
            </w:pPr>
            <w:r>
              <w:rPr>
                <w:sz w:val="17"/>
              </w:rPr>
              <w:t xml:space="preserve">“Where are jumbo rates vs conforming?”</w:t>
            </w:r>
          </w:p>
        </w:tc>
        <w:tc>
          <w:tcPr>
            <w:tcW w:w="3437" w:type="dxa"/>
            <w:shd w:val="clear" w:color="auto" w:fill="EEF2F7"/>
          </w:tcPr>
          <w:p>
            <w:pPr>
              <w:pStyle w:val="Compact"/>
              <w:spacing w:after="20" w:before="20"/>
            </w:pPr>
            <w:r>
              <w:rPr>
                <w:sz w:val="17"/>
              </w:rPr>
              <w:t xml:space="preserve">FRED: OBMMIJUMBO30YF vs OBMMIC30YF</w:t>
            </w:r>
          </w:p>
        </w:tc>
        <w:tc>
          <w:tcPr>
            <w:tcW w:w="3799" w:type="dxa"/>
            <w:shd w:val="clear" w:color="auto" w:fill="EEF2F7"/>
          </w:tcPr>
          <w:p>
            <w:pPr>
              <w:pStyle w:val="Compact"/>
              <w:spacing w:after="20" w:before="20"/>
            </w:pPr>
            <w:r>
              <w:rPr>
                <w:sz w:val="17"/>
              </w:rPr>
              <w:t xml:space="preserve">Jumbo-minus-conforming lock-rate differential (bp)</w:t>
            </w:r>
          </w:p>
        </w:tc>
        <w:tc>
          <w:tcPr>
            <w:tcW w:w="3437" w:type="dxa"/>
            <w:shd w:val="clear" w:color="auto" w:fill="EEF2F7"/>
          </w:tcPr>
          <w:p>
            <w:pPr>
              <w:pStyle w:val="Compact"/>
              <w:spacing w:after="20" w:before="20"/>
            </w:pPr>
            <w:r>
              <w:rPr>
                <w:sz w:val="17"/>
              </w:rPr>
              <w:t xml:space="preserve">MND jumbo commentary; Optimal Blue Market Data (paid)</w:t>
            </w:r>
          </w:p>
        </w:tc>
      </w:tr>
      <w:tr>
        <w:trPr>
          <w:cantSplit/>
        </w:trPr>
        <w:tc>
          <w:tcPr>
            <w:tcW w:w="3437" w:type="dxa"/>
          </w:tcPr>
          <w:p>
            <w:pPr>
              <w:pStyle w:val="Compact"/>
              <w:spacing w:after="20" w:before="20"/>
            </w:pPr>
            <w:r>
              <w:rPr>
                <w:sz w:val="17"/>
              </w:rPr>
              <w:t xml:space="preserve">“Where are Non-QM spreads?”</w:t>
            </w:r>
          </w:p>
        </w:tc>
        <w:tc>
          <w:tcPr>
            <w:tcW w:w="3437" w:type="dxa"/>
          </w:tcPr>
          <w:p>
            <w:pPr>
              <w:pStyle w:val="Compact"/>
              <w:spacing w:after="20" w:before="20"/>
            </w:pPr>
            <w:r>
              <w:rPr>
                <w:sz w:val="17"/>
              </w:rPr>
              <w:t xml:space="preserve">Trade press deal stories (ASR, HousingWire), dealer research, broker color</w:t>
            </w:r>
          </w:p>
        </w:tc>
        <w:tc>
          <w:tcPr>
            <w:tcW w:w="3799" w:type="dxa"/>
          </w:tcPr>
          <w:p>
            <w:pPr>
              <w:pStyle w:val="Compact"/>
              <w:spacing w:after="20" w:before="20"/>
            </w:pPr>
            <w:r>
              <w:rPr>
                <w:sz w:val="17"/>
              </w:rPr>
              <w:t xml:space="preserve">Latest AAA senior spread and coupon on recent Non-QM deals, with deal names and dates</w:t>
            </w:r>
          </w:p>
        </w:tc>
        <w:tc>
          <w:tcPr>
            <w:tcW w:w="3437" w:type="dxa"/>
          </w:tcPr>
          <w:p>
            <w:pPr>
              <w:pStyle w:val="Compact"/>
              <w:spacing w:after="20" w:before="20"/>
            </w:pPr>
            <w:r>
              <w:rPr>
                <w:sz w:val="17"/>
              </w:rPr>
              <w:t xml:space="preserve">Finsight/CreditFlow, Asset-Backed Alert, Bloomberg NIM (paid)</w:t>
            </w:r>
          </w:p>
        </w:tc>
      </w:tr>
      <w:tr>
        <w:trPr>
          <w:cantSplit/>
        </w:trPr>
        <w:tc>
          <w:tcPr>
            <w:tcW w:w="3437" w:type="dxa"/>
            <w:shd w:val="clear" w:color="auto" w:fill="EEF2F7"/>
          </w:tcPr>
          <w:p>
            <w:pPr>
              <w:pStyle w:val="Compact"/>
              <w:spacing w:after="20" w:before="20"/>
            </w:pPr>
            <w:r>
              <w:rPr>
                <w:sz w:val="17"/>
              </w:rPr>
              <w:t xml:space="preserve">“What did the last Non-QM deal price at?”</w:t>
            </w:r>
          </w:p>
        </w:tc>
        <w:tc>
          <w:tcPr>
            <w:tcW w:w="3437" w:type="dxa"/>
            <w:shd w:val="clear" w:color="auto" w:fill="EEF2F7"/>
          </w:tcPr>
          <w:p>
            <w:pPr>
              <w:pStyle w:val="Compact"/>
              <w:spacing w:after="20" w:before="20"/>
            </w:pPr>
            <w:r>
              <w:rPr>
                <w:sz w:val="17"/>
              </w:rPr>
              <w:t xml:space="preserve">Finsight/CreditFlow (free w/ reg for basic views) + rating-agency new-issue reports</w:t>
            </w:r>
          </w:p>
        </w:tc>
        <w:tc>
          <w:tcPr>
            <w:tcW w:w="3799" w:type="dxa"/>
            <w:shd w:val="clear" w:color="auto" w:fill="EEF2F7"/>
          </w:tcPr>
          <w:p>
            <w:pPr>
              <w:pStyle w:val="Compact"/>
              <w:spacing w:after="20" w:before="20"/>
            </w:pPr>
            <w:r>
              <w:rPr>
                <w:sz w:val="17"/>
              </w:rPr>
              <w:t xml:space="preserve">Tranche sizes, ratings, CE levels, pricing spreads or coupons, pool WAC/FICO/CLTV</w:t>
            </w:r>
          </w:p>
        </w:tc>
        <w:tc>
          <w:tcPr>
            <w:tcW w:w="3437" w:type="dxa"/>
            <w:shd w:val="clear" w:color="auto" w:fill="EEF2F7"/>
          </w:tcPr>
          <w:p>
            <w:pPr>
              <w:pStyle w:val="Compact"/>
              <w:spacing w:after="20" w:before="20"/>
            </w:pPr>
            <w:r>
              <w:rPr>
                <w:sz w:val="17"/>
              </w:rPr>
              <w:t xml:space="preserve">Bloomberg NIM/DES; IFR; Asset-Backed Alert</w:t>
            </w:r>
          </w:p>
        </w:tc>
      </w:tr>
      <w:tr>
        <w:trPr>
          <w:cantSplit/>
        </w:trPr>
        <w:tc>
          <w:tcPr>
            <w:tcW w:w="3437" w:type="dxa"/>
          </w:tcPr>
          <w:p>
            <w:pPr>
              <w:pStyle w:val="Compact"/>
              <w:spacing w:after="20" w:before="20"/>
            </w:pPr>
            <w:r>
              <w:rPr>
                <w:sz w:val="17"/>
              </w:rPr>
              <w:t xml:space="preserve">“What did the last CRT deal price at?”</w:t>
            </w:r>
          </w:p>
        </w:tc>
        <w:tc>
          <w:tcPr>
            <w:tcW w:w="3437" w:type="dxa"/>
          </w:tcPr>
          <w:p>
            <w:pPr>
              <w:pStyle w:val="Compact"/>
              <w:spacing w:after="20" w:before="20"/>
            </w:pPr>
            <w:r>
              <w:rPr>
                <w:sz w:val="17"/>
              </w:rPr>
              <w:t xml:space="preserve">Fannie Mae CAS Pricing page; Freddie Mac STACR Pricing page</w:t>
            </w:r>
          </w:p>
        </w:tc>
        <w:tc>
          <w:tcPr>
            <w:tcW w:w="3799" w:type="dxa"/>
          </w:tcPr>
          <w:p>
            <w:pPr>
              <w:pStyle w:val="Compact"/>
              <w:spacing w:after="20" w:before="20"/>
            </w:pPr>
            <w:r>
              <w:rPr>
                <w:sz w:val="17"/>
              </w:rPr>
              <w:t xml:space="preserve">Tranche spread over 30-day SOFR, size, CE, ratings, per deal</w:t>
            </w:r>
          </w:p>
        </w:tc>
        <w:tc>
          <w:tcPr>
            <w:tcW w:w="3437" w:type="dxa"/>
          </w:tcPr>
          <w:p>
            <w:pPr>
              <w:pStyle w:val="Compact"/>
              <w:spacing w:after="20" w:before="20"/>
            </w:pPr>
            <w:r>
              <w:rPr>
                <w:sz w:val="17"/>
              </w:rPr>
              <w:t xml:space="preserve">Dealer CRT research; Bloomberg</w:t>
            </w:r>
          </w:p>
        </w:tc>
      </w:tr>
      <w:tr>
        <w:trPr>
          <w:cantSplit/>
        </w:trPr>
        <w:tc>
          <w:tcPr>
            <w:tcW w:w="3437" w:type="dxa"/>
            <w:shd w:val="clear" w:color="auto" w:fill="EEF2F7"/>
          </w:tcPr>
          <w:p>
            <w:pPr>
              <w:pStyle w:val="Compact"/>
              <w:spacing w:after="20" w:before="20"/>
            </w:pPr>
            <w:r>
              <w:rPr>
                <w:sz w:val="17"/>
              </w:rPr>
              <w:t xml:space="preserve">“Where are Non-QM / DSCR note rates to borrowers?”</w:t>
            </w:r>
          </w:p>
        </w:tc>
        <w:tc>
          <w:tcPr>
            <w:tcW w:w="3437" w:type="dxa"/>
            <w:shd w:val="clear" w:color="auto" w:fill="EEF2F7"/>
          </w:tcPr>
          <w:p>
            <w:pPr>
              <w:pStyle w:val="Compact"/>
              <w:spacing w:after="20" w:before="20"/>
            </w:pPr>
            <w:r>
              <w:rPr>
                <w:sz w:val="17"/>
              </w:rPr>
              <w:t xml:space="preserve">Latest presale reports (KBRA, Fitch, Morningstar DBRS)</w:t>
            </w:r>
          </w:p>
        </w:tc>
        <w:tc>
          <w:tcPr>
            <w:tcW w:w="3799" w:type="dxa"/>
            <w:shd w:val="clear" w:color="auto" w:fill="EEF2F7"/>
          </w:tcPr>
          <w:p>
            <w:pPr>
              <w:pStyle w:val="Compact"/>
              <w:spacing w:after="20" w:before="20"/>
            </w:pPr>
            <w:r>
              <w:rPr>
                <w:sz w:val="17"/>
              </w:rPr>
              <w:t xml:space="preserve">Pool weighted-average coupon (WAC), split by DSCR vs full-doc/bank statement</w:t>
            </w:r>
          </w:p>
        </w:tc>
        <w:tc>
          <w:tcPr>
            <w:tcW w:w="3437" w:type="dxa"/>
            <w:shd w:val="clear" w:color="auto" w:fill="EEF2F7"/>
          </w:tcPr>
          <w:p>
            <w:pPr>
              <w:pStyle w:val="Compact"/>
              <w:spacing w:after="20" w:before="20"/>
            </w:pPr>
            <w:r>
              <w:rPr>
                <w:sz w:val="17"/>
              </w:rPr>
              <w:t xml:space="preserve">dv01 and Fitch-dv01 benchmarks (paid); Optimal Blue non-QM data (paid)</w:t>
            </w:r>
          </w:p>
        </w:tc>
      </w:tr>
      <w:tr>
        <w:trPr>
          <w:cantSplit/>
        </w:trPr>
        <w:tc>
          <w:tcPr>
            <w:tcW w:w="3437" w:type="dxa"/>
          </w:tcPr>
          <w:p>
            <w:pPr>
              <w:pStyle w:val="Compact"/>
              <w:spacing w:after="20" w:before="20"/>
            </w:pPr>
            <w:r>
              <w:rPr>
                <w:sz w:val="17"/>
              </w:rPr>
              <w:t xml:space="preserve">“How’s DSCR / investor credit performing?”</w:t>
            </w:r>
          </w:p>
        </w:tc>
        <w:tc>
          <w:tcPr>
            <w:tcW w:w="3437" w:type="dxa"/>
          </w:tcPr>
          <w:p>
            <w:pPr>
              <w:pStyle w:val="Compact"/>
              <w:spacing w:after="20" w:before="20"/>
            </w:pPr>
            <w:r>
              <w:rPr>
                <w:sz w:val="17"/>
              </w:rPr>
              <w:t xml:space="preserve">Rating-agency surveillance and research pieces; KBRA/Fitch Non-QM research</w:t>
            </w:r>
          </w:p>
        </w:tc>
        <w:tc>
          <w:tcPr>
            <w:tcW w:w="3799" w:type="dxa"/>
          </w:tcPr>
          <w:p>
            <w:pPr>
              <w:pStyle w:val="Compact"/>
              <w:spacing w:after="20" w:before="20"/>
            </w:pPr>
            <w:r>
              <w:rPr>
                <w:sz w:val="17"/>
              </w:rPr>
              <w:t xml:space="preserve">60+ DQ, 90+ DQ, CDR and loss by vintage, DSCR vs non-DSCR split</w:t>
            </w:r>
          </w:p>
        </w:tc>
        <w:tc>
          <w:tcPr>
            <w:tcW w:w="3437" w:type="dxa"/>
          </w:tcPr>
          <w:p>
            <w:pPr>
              <w:pStyle w:val="Compact"/>
              <w:spacing w:after="20" w:before="20"/>
            </w:pPr>
            <w:r>
              <w:rPr>
                <w:sz w:val="17"/>
              </w:rPr>
              <w:t xml:space="preserve">dv01, Intex, KBRA Premium RMBS indices (paid)</w:t>
            </w:r>
          </w:p>
        </w:tc>
      </w:tr>
      <w:tr>
        <w:trPr>
          <w:cantSplit/>
        </w:trPr>
        <w:tc>
          <w:tcPr>
            <w:tcW w:w="3437" w:type="dxa"/>
            <w:shd w:val="clear" w:color="auto" w:fill="EEF2F7"/>
          </w:tcPr>
          <w:p>
            <w:pPr>
              <w:pStyle w:val="Compact"/>
              <w:spacing w:after="20" w:before="20"/>
            </w:pPr>
            <w:r>
              <w:rPr>
                <w:sz w:val="17"/>
              </w:rPr>
              <w:t xml:space="preserve">“How’s Non-QM credit performing overall?”</w:t>
            </w:r>
          </w:p>
        </w:tc>
        <w:tc>
          <w:tcPr>
            <w:tcW w:w="3437" w:type="dxa"/>
            <w:shd w:val="clear" w:color="auto" w:fill="EEF2F7"/>
          </w:tcPr>
          <w:p>
            <w:pPr>
              <w:pStyle w:val="Compact"/>
              <w:spacing w:after="20" w:before="20"/>
            </w:pPr>
            <w:r>
              <w:rPr>
                <w:sz w:val="17"/>
              </w:rPr>
              <w:t xml:space="preserve">Fitch / KBRA / Morningstar DBRS research; Asset Securitization Report</w:t>
            </w:r>
          </w:p>
        </w:tc>
        <w:tc>
          <w:tcPr>
            <w:tcW w:w="3799" w:type="dxa"/>
            <w:shd w:val="clear" w:color="auto" w:fill="EEF2F7"/>
          </w:tcPr>
          <w:p>
            <w:pPr>
              <w:pStyle w:val="Compact"/>
              <w:spacing w:after="20" w:before="20"/>
            </w:pPr>
            <w:r>
              <w:rPr>
                <w:sz w:val="17"/>
              </w:rPr>
              <w:t xml:space="preserve">Serious delinquency trend by vintage; roll rates if available</w:t>
            </w:r>
          </w:p>
        </w:tc>
        <w:tc>
          <w:tcPr>
            <w:tcW w:w="3437" w:type="dxa"/>
            <w:shd w:val="clear" w:color="auto" w:fill="EEF2F7"/>
          </w:tcPr>
          <w:p>
            <w:pPr>
              <w:pStyle w:val="Compact"/>
              <w:spacing w:after="20" w:before="20"/>
            </w:pPr>
            <w:r>
              <w:rPr>
                <w:sz w:val="17"/>
              </w:rPr>
              <w:t xml:space="preserve">dv01 (paid, best), Intex, Cotality PLS data</w:t>
            </w:r>
          </w:p>
        </w:tc>
      </w:tr>
      <w:tr>
        <w:trPr>
          <w:cantSplit/>
        </w:trPr>
        <w:tc>
          <w:tcPr>
            <w:tcW w:w="3437" w:type="dxa"/>
          </w:tcPr>
          <w:p>
            <w:pPr>
              <w:pStyle w:val="Compact"/>
              <w:spacing w:after="20" w:before="20"/>
            </w:pPr>
            <w:r>
              <w:rPr>
                <w:sz w:val="17"/>
              </w:rPr>
              <w:t xml:space="preserve">“How’s prime jumbo credit?”</w:t>
            </w:r>
          </w:p>
        </w:tc>
        <w:tc>
          <w:tcPr>
            <w:tcW w:w="3437" w:type="dxa"/>
          </w:tcPr>
          <w:p>
            <w:pPr>
              <w:pStyle w:val="Compact"/>
              <w:spacing w:after="20" w:before="20"/>
            </w:pPr>
            <w:r>
              <w:rPr>
                <w:sz w:val="17"/>
              </w:rPr>
              <w:t xml:space="preserve">Rating-agency surveillance; Fitch-dv01 prime jumbo benchmark (paid)</w:t>
            </w:r>
          </w:p>
        </w:tc>
        <w:tc>
          <w:tcPr>
            <w:tcW w:w="3799" w:type="dxa"/>
          </w:tcPr>
          <w:p>
            <w:pPr>
              <w:pStyle w:val="Compact"/>
              <w:spacing w:after="20" w:before="20"/>
            </w:pPr>
            <w:r>
              <w:rPr>
                <w:sz w:val="17"/>
              </w:rPr>
              <w:t xml:space="preserve">60+ DQ and CPR for recent jumbo shelves (SEMT, JPMMT, etc.)</w:t>
            </w:r>
          </w:p>
        </w:tc>
        <w:tc>
          <w:tcPr>
            <w:tcW w:w="3437" w:type="dxa"/>
          </w:tcPr>
          <w:p>
            <w:pPr>
              <w:pStyle w:val="Compact"/>
              <w:spacing w:after="20" w:before="20"/>
            </w:pPr>
            <w:r>
              <w:rPr>
                <w:sz w:val="17"/>
              </w:rPr>
              <w:t xml:space="preserve">dv01, Intex</w:t>
            </w:r>
          </w:p>
        </w:tc>
      </w:tr>
      <w:tr>
        <w:trPr>
          <w:cantSplit/>
        </w:trPr>
        <w:tc>
          <w:tcPr>
            <w:tcW w:w="3437" w:type="dxa"/>
            <w:shd w:val="clear" w:color="auto" w:fill="EEF2F7"/>
          </w:tcPr>
          <w:p>
            <w:pPr>
              <w:pStyle w:val="Compact"/>
              <w:spacing w:after="20" w:before="20"/>
            </w:pPr>
            <w:r>
              <w:rPr>
                <w:sz w:val="17"/>
              </w:rPr>
              <w:t xml:space="preserve">“How’s agency credit / overall mortgage credit?”</w:t>
            </w:r>
          </w:p>
        </w:tc>
        <w:tc>
          <w:tcPr>
            <w:tcW w:w="3437" w:type="dxa"/>
            <w:shd w:val="clear" w:color="auto" w:fill="EEF2F7"/>
          </w:tcPr>
          <w:p>
            <w:pPr>
              <w:pStyle w:val="Compact"/>
              <w:spacing w:after="20" w:before="20"/>
            </w:pPr>
            <w:r>
              <w:rPr>
                <w:sz w:val="17"/>
              </w:rPr>
              <w:t xml:space="preserve">ICE First Look (monthly); MBA NDS (quarterly)</w:t>
            </w:r>
          </w:p>
        </w:tc>
        <w:tc>
          <w:tcPr>
            <w:tcW w:w="3799" w:type="dxa"/>
            <w:shd w:val="clear" w:color="auto" w:fill="EEF2F7"/>
          </w:tcPr>
          <w:p>
            <w:pPr>
              <w:pStyle w:val="Compact"/>
              <w:spacing w:after="20" w:before="20"/>
            </w:pPr>
            <w:r>
              <w:rPr>
                <w:sz w:val="17"/>
              </w:rPr>
              <w:t xml:space="preserve">National DQ rate, serious DQ, foreclosure starts; by product (FHA/VA/conv)</w:t>
            </w:r>
          </w:p>
        </w:tc>
        <w:tc>
          <w:tcPr>
            <w:tcW w:w="3437" w:type="dxa"/>
            <w:shd w:val="clear" w:color="auto" w:fill="EEF2F7"/>
          </w:tcPr>
          <w:p>
            <w:pPr>
              <w:pStyle w:val="Compact"/>
              <w:spacing w:after="20" w:before="20"/>
            </w:pPr>
            <w:r>
              <w:rPr>
                <w:sz w:val="17"/>
              </w:rPr>
              <w:t xml:space="preserve">NY Fed Household Debt &amp; Credit (quarterly); Fed DRSFRMACBS on FRED</w:t>
            </w:r>
          </w:p>
        </w:tc>
      </w:tr>
      <w:tr>
        <w:trPr>
          <w:cantSplit/>
        </w:trPr>
        <w:tc>
          <w:tcPr>
            <w:tcW w:w="3437" w:type="dxa"/>
          </w:tcPr>
          <w:p>
            <w:pPr>
              <w:pStyle w:val="Compact"/>
              <w:spacing w:after="20" w:before="20"/>
            </w:pPr>
            <w:r>
              <w:rPr>
                <w:sz w:val="17"/>
              </w:rPr>
              <w:t xml:space="preserve">“What’s the prepay outlook?”</w:t>
            </w:r>
          </w:p>
        </w:tc>
        <w:tc>
          <w:tcPr>
            <w:tcW w:w="3437" w:type="dxa"/>
          </w:tcPr>
          <w:p>
            <w:pPr>
              <w:pStyle w:val="Compact"/>
              <w:spacing w:after="20" w:before="20"/>
            </w:pPr>
            <w:r>
              <w:rPr>
                <w:sz w:val="17"/>
              </w:rPr>
              <w:t xml:space="preserve">ICE First Look (SMM); MBA Refi Index (weekly); Fannie/Freddie monthly prepay disclosures</w:t>
            </w:r>
          </w:p>
        </w:tc>
        <w:tc>
          <w:tcPr>
            <w:tcW w:w="3799" w:type="dxa"/>
          </w:tcPr>
          <w:p>
            <w:pPr>
              <w:pStyle w:val="Compact"/>
              <w:spacing w:after="20" w:before="20"/>
            </w:pPr>
            <w:r>
              <w:rPr>
                <w:sz w:val="17"/>
              </w:rPr>
              <w:t xml:space="preserve">Last month SMM/CPR, refi application trend, share of borrowers in the money</w:t>
            </w:r>
          </w:p>
        </w:tc>
        <w:tc>
          <w:tcPr>
            <w:tcW w:w="3437" w:type="dxa"/>
          </w:tcPr>
          <w:p>
            <w:pPr>
              <w:pStyle w:val="Compact"/>
              <w:spacing w:after="20" w:before="20"/>
            </w:pPr>
            <w:r>
              <w:rPr>
                <w:sz w:val="17"/>
              </w:rPr>
              <w:t xml:space="preserve">eMBS, Recursion, dealer prepay reports (paid/broker)</w:t>
            </w:r>
          </w:p>
        </w:tc>
      </w:tr>
      <w:tr>
        <w:trPr>
          <w:cantSplit/>
        </w:trPr>
        <w:tc>
          <w:tcPr>
            <w:tcW w:w="3437" w:type="dxa"/>
            <w:shd w:val="clear" w:color="auto" w:fill="EEF2F7"/>
          </w:tcPr>
          <w:p>
            <w:pPr>
              <w:pStyle w:val="Compact"/>
              <w:spacing w:after="20" w:before="20"/>
            </w:pPr>
            <w:r>
              <w:rPr>
                <w:sz w:val="17"/>
              </w:rPr>
              <w:t xml:space="preserve">“What were speeds this month?”</w:t>
            </w:r>
          </w:p>
        </w:tc>
        <w:tc>
          <w:tcPr>
            <w:tcW w:w="3437" w:type="dxa"/>
            <w:shd w:val="clear" w:color="auto" w:fill="EEF2F7"/>
          </w:tcPr>
          <w:p>
            <w:pPr>
              <w:pStyle w:val="Compact"/>
              <w:spacing w:after="20" w:before="20"/>
            </w:pPr>
            <w:r>
              <w:rPr>
                <w:sz w:val="17"/>
              </w:rPr>
              <w:t xml:space="preserve">Fannie Mae Data Dynamics / Freddie Mac MBS disclosures (4th business day)</w:t>
            </w:r>
          </w:p>
        </w:tc>
        <w:tc>
          <w:tcPr>
            <w:tcW w:w="3799" w:type="dxa"/>
            <w:shd w:val="clear" w:color="auto" w:fill="EEF2F7"/>
          </w:tcPr>
          <w:p>
            <w:pPr>
              <w:pStyle w:val="Compact"/>
              <w:spacing w:after="20" w:before="20"/>
            </w:pPr>
            <w:r>
              <w:rPr>
                <w:sz w:val="17"/>
              </w:rPr>
              <w:t xml:space="preserve">1-month CPR by coupon/vintage</w:t>
            </w:r>
          </w:p>
        </w:tc>
        <w:tc>
          <w:tcPr>
            <w:tcW w:w="3437" w:type="dxa"/>
            <w:shd w:val="clear" w:color="auto" w:fill="EEF2F7"/>
          </w:tcPr>
          <w:p>
            <w:pPr>
              <w:pStyle w:val="Compact"/>
              <w:spacing w:after="20" w:before="20"/>
            </w:pPr>
            <w:r>
              <w:rPr>
                <w:sz w:val="17"/>
              </w:rPr>
              <w:t xml:space="preserve">eMBS, Recursion, Bloomberg; dealer CPR-day notes</w:t>
            </w:r>
          </w:p>
        </w:tc>
      </w:tr>
      <w:tr>
        <w:trPr>
          <w:cantSplit/>
        </w:trPr>
        <w:tc>
          <w:tcPr>
            <w:tcW w:w="3437" w:type="dxa"/>
          </w:tcPr>
          <w:p>
            <w:pPr>
              <w:pStyle w:val="Compact"/>
              <w:spacing w:after="20" w:before="20"/>
            </w:pPr>
            <w:r>
              <w:rPr>
                <w:sz w:val="17"/>
              </w:rPr>
              <w:t xml:space="preserve">“Where are RTL / fix-and-flip deals clearing?”</w:t>
            </w:r>
          </w:p>
        </w:tc>
        <w:tc>
          <w:tcPr>
            <w:tcW w:w="3437" w:type="dxa"/>
          </w:tcPr>
          <w:p>
            <w:pPr>
              <w:pStyle w:val="Compact"/>
              <w:spacing w:after="20" w:before="20"/>
            </w:pPr>
            <w:r>
              <w:rPr>
                <w:sz w:val="17"/>
              </w:rPr>
              <w:t xml:space="preserve">Rating-agency new-issue reports for rated RTL (e.g., LHOME, TRK); trade press</w:t>
            </w:r>
          </w:p>
        </w:tc>
        <w:tc>
          <w:tcPr>
            <w:tcW w:w="3799" w:type="dxa"/>
          </w:tcPr>
          <w:p>
            <w:pPr>
              <w:pStyle w:val="Compact"/>
              <w:spacing w:after="20" w:before="20"/>
            </w:pPr>
            <w:r>
              <w:rPr>
                <w:sz w:val="17"/>
              </w:rPr>
              <w:t xml:space="preserve">Deal size, advance rates, CE, coupon; note most RTL is unrated/private</w:t>
            </w:r>
          </w:p>
        </w:tc>
        <w:tc>
          <w:tcPr>
            <w:tcW w:w="3437" w:type="dxa"/>
          </w:tcPr>
          <w:p>
            <w:pPr>
              <w:pStyle w:val="Compact"/>
              <w:spacing w:after="20" w:before="20"/>
            </w:pPr>
            <w:r>
              <w:rPr>
                <w:sz w:val="17"/>
              </w:rPr>
              <w:t xml:space="preserve">Broker color; Finsight/CreditFlow</w:t>
            </w:r>
          </w:p>
        </w:tc>
      </w:tr>
      <w:tr>
        <w:trPr>
          <w:cantSplit/>
        </w:trPr>
        <w:tc>
          <w:tcPr>
            <w:tcW w:w="3437" w:type="dxa"/>
            <w:shd w:val="clear" w:color="auto" w:fill="EEF2F7"/>
          </w:tcPr>
          <w:p>
            <w:pPr>
              <w:pStyle w:val="Compact"/>
              <w:spacing w:after="20" w:before="20"/>
            </w:pPr>
            <w:r>
              <w:rPr>
                <w:sz w:val="17"/>
              </w:rPr>
              <w:t xml:space="preserve">“What’s going on in HELOC / closed-end seconds?”</w:t>
            </w:r>
          </w:p>
        </w:tc>
        <w:tc>
          <w:tcPr>
            <w:tcW w:w="3437" w:type="dxa"/>
            <w:shd w:val="clear" w:color="auto" w:fill="EEF2F7"/>
          </w:tcPr>
          <w:p>
            <w:pPr>
              <w:pStyle w:val="Compact"/>
              <w:spacing w:after="20" w:before="20"/>
            </w:pPr>
            <w:r>
              <w:rPr>
                <w:sz w:val="17"/>
              </w:rPr>
              <w:t xml:space="preserve">Rating-agency presales for CES/HELOC shelves (RCKT CES, FIGRE, BRAVO CES)</w:t>
            </w:r>
          </w:p>
        </w:tc>
        <w:tc>
          <w:tcPr>
            <w:tcW w:w="3799" w:type="dxa"/>
            <w:shd w:val="clear" w:color="auto" w:fill="EEF2F7"/>
          </w:tcPr>
          <w:p>
            <w:pPr>
              <w:pStyle w:val="Compact"/>
              <w:spacing w:after="20" w:before="20"/>
            </w:pPr>
            <w:r>
              <w:rPr>
                <w:sz w:val="17"/>
              </w:rPr>
              <w:t xml:space="preserve">Pool CLTV, FICO, WAC; senior spread from deal stories</w:t>
            </w:r>
          </w:p>
        </w:tc>
        <w:tc>
          <w:tcPr>
            <w:tcW w:w="3437" w:type="dxa"/>
            <w:shd w:val="clear" w:color="auto" w:fill="EEF2F7"/>
          </w:tcPr>
          <w:p>
            <w:pPr>
              <w:pStyle w:val="Compact"/>
              <w:spacing w:after="20" w:before="20"/>
            </w:pPr>
            <w:r>
              <w:rPr>
                <w:sz w:val="17"/>
              </w:rPr>
              <w:t xml:space="preserve">dv01 CES/HELOC benchmarks; Finsight</w:t>
            </w:r>
          </w:p>
        </w:tc>
      </w:tr>
      <w:tr>
        <w:trPr>
          <w:cantSplit/>
        </w:trPr>
        <w:tc>
          <w:tcPr>
            <w:tcW w:w="3437" w:type="dxa"/>
          </w:tcPr>
          <w:p>
            <w:pPr>
              <w:pStyle w:val="Compact"/>
              <w:spacing w:after="20" w:before="20"/>
            </w:pPr>
            <w:r>
              <w:rPr>
                <w:sz w:val="17"/>
              </w:rPr>
              <w:t xml:space="preserve">“How much Non-agency issuance YTD?”</w:t>
            </w:r>
          </w:p>
        </w:tc>
        <w:tc>
          <w:tcPr>
            <w:tcW w:w="3437" w:type="dxa"/>
          </w:tcPr>
          <w:p>
            <w:pPr>
              <w:pStyle w:val="Compact"/>
              <w:spacing w:after="20" w:before="20"/>
            </w:pPr>
            <w:r>
              <w:rPr>
                <w:sz w:val="17"/>
              </w:rPr>
              <w:t xml:space="preserve">SIFMA MBS statistics; ASR issuance totals</w:t>
            </w:r>
          </w:p>
        </w:tc>
        <w:tc>
          <w:tcPr>
            <w:tcW w:w="3799" w:type="dxa"/>
          </w:tcPr>
          <w:p>
            <w:pPr>
              <w:pStyle w:val="Compact"/>
              <w:spacing w:after="20" w:before="20"/>
            </w:pPr>
            <w:r>
              <w:rPr>
                <w:sz w:val="17"/>
              </w:rPr>
              <w:t xml:space="preserve">YTD issuance by sector vs prior year</w:t>
            </w:r>
          </w:p>
        </w:tc>
        <w:tc>
          <w:tcPr>
            <w:tcW w:w="3437" w:type="dxa"/>
          </w:tcPr>
          <w:p>
            <w:pPr>
              <w:pStyle w:val="Compact"/>
              <w:spacing w:after="20" w:before="20"/>
            </w:pPr>
            <w:r>
              <w:rPr>
                <w:sz w:val="17"/>
              </w:rPr>
              <w:t xml:space="preserve">Finsight/CreditFlow, Inside Mortgage Finance (paid)</w:t>
            </w:r>
          </w:p>
        </w:tc>
      </w:tr>
      <w:tr>
        <w:trPr>
          <w:cantSplit/>
        </w:trPr>
        <w:tc>
          <w:tcPr>
            <w:tcW w:w="3437" w:type="dxa"/>
            <w:shd w:val="clear" w:color="auto" w:fill="EEF2F7"/>
          </w:tcPr>
          <w:p>
            <w:pPr>
              <w:pStyle w:val="Compact"/>
              <w:spacing w:after="20" w:before="20"/>
            </w:pPr>
            <w:r>
              <w:rPr>
                <w:sz w:val="17"/>
              </w:rPr>
              <w:t xml:space="preserve">“Where’s the 10-year / 2s10s?”</w:t>
            </w:r>
          </w:p>
        </w:tc>
        <w:tc>
          <w:tcPr>
            <w:tcW w:w="3437" w:type="dxa"/>
            <w:shd w:val="clear" w:color="auto" w:fill="EEF2F7"/>
          </w:tcPr>
          <w:p>
            <w:pPr>
              <w:pStyle w:val="Compact"/>
              <w:spacing w:after="20" w:before="20"/>
            </w:pPr>
            <w:r>
              <w:rPr>
                <w:sz w:val="17"/>
              </w:rPr>
              <w:t xml:space="preserve">CNBC quote (intraday); Treasury par curve (end-of-day)</w:t>
            </w:r>
          </w:p>
        </w:tc>
        <w:tc>
          <w:tcPr>
            <w:tcW w:w="3799" w:type="dxa"/>
            <w:shd w:val="clear" w:color="auto" w:fill="EEF2F7"/>
          </w:tcPr>
          <w:p>
            <w:pPr>
              <w:pStyle w:val="Compact"/>
              <w:spacing w:after="20" w:before="20"/>
            </w:pPr>
            <w:r>
              <w:rPr>
                <w:sz w:val="17"/>
              </w:rPr>
              <w:t xml:space="preserve">10Y yield and 2s10s slope in bp; change on the day</w:t>
            </w:r>
          </w:p>
        </w:tc>
        <w:tc>
          <w:tcPr>
            <w:tcW w:w="3437" w:type="dxa"/>
            <w:shd w:val="clear" w:color="auto" w:fill="EEF2F7"/>
          </w:tcPr>
          <w:p>
            <w:pPr>
              <w:pStyle w:val="Compact"/>
              <w:spacing w:after="20" w:before="20"/>
            </w:pPr>
            <w:r>
              <w:rPr>
                <w:sz w:val="17"/>
              </w:rPr>
              <w:t xml:space="preserve">FRED T10Y2Y (next day); Bloomberg</w:t>
            </w:r>
          </w:p>
        </w:tc>
      </w:tr>
      <w:tr>
        <w:trPr>
          <w:cantSplit/>
        </w:trPr>
        <w:tc>
          <w:tcPr>
            <w:tcW w:w="3437" w:type="dxa"/>
          </w:tcPr>
          <w:p>
            <w:pPr>
              <w:pStyle w:val="Compact"/>
              <w:spacing w:after="20" w:before="20"/>
            </w:pPr>
            <w:r>
              <w:rPr>
                <w:sz w:val="17"/>
              </w:rPr>
              <w:t xml:space="preserve">“What is the market pricing for the Fed?”</w:t>
            </w:r>
          </w:p>
        </w:tc>
        <w:tc>
          <w:tcPr>
            <w:tcW w:w="3437" w:type="dxa"/>
          </w:tcPr>
          <w:p>
            <w:pPr>
              <w:pStyle w:val="Compact"/>
              <w:spacing w:after="20" w:before="20"/>
            </w:pPr>
            <w:r>
              <w:rPr>
                <w:sz w:val="17"/>
              </w:rPr>
              <w:t xml:space="preserve">CME FedWatch</w:t>
            </w:r>
          </w:p>
        </w:tc>
        <w:tc>
          <w:tcPr>
            <w:tcW w:w="3799" w:type="dxa"/>
          </w:tcPr>
          <w:p>
            <w:pPr>
              <w:pStyle w:val="Compact"/>
              <w:spacing w:after="20" w:before="20"/>
            </w:pPr>
            <w:r>
              <w:rPr>
                <w:sz w:val="17"/>
              </w:rPr>
              <w:t xml:space="preserve">Probability of a cut/hike at the next meeting; implied path</w:t>
            </w:r>
          </w:p>
        </w:tc>
        <w:tc>
          <w:tcPr>
            <w:tcW w:w="3437" w:type="dxa"/>
          </w:tcPr>
          <w:p>
            <w:pPr>
              <w:pStyle w:val="Compact"/>
              <w:spacing w:after="20" w:before="20"/>
            </w:pPr>
            <w:r>
              <w:rPr>
                <w:sz w:val="17"/>
              </w:rPr>
              <w:t xml:space="preserve">Bloomberg WIRP; Fed dot plot for comparison</w:t>
            </w:r>
          </w:p>
        </w:tc>
      </w:tr>
      <w:tr>
        <w:trPr>
          <w:cantSplit/>
        </w:trPr>
        <w:tc>
          <w:tcPr>
            <w:tcW w:w="3437" w:type="dxa"/>
            <w:shd w:val="clear" w:color="auto" w:fill="EEF2F7"/>
          </w:tcPr>
          <w:p>
            <w:pPr>
              <w:pStyle w:val="Compact"/>
              <w:spacing w:after="20" w:before="20"/>
            </w:pPr>
            <w:r>
              <w:rPr>
                <w:sz w:val="17"/>
              </w:rPr>
              <w:t xml:space="preserve">“What does the Fed think?”</w:t>
            </w:r>
          </w:p>
        </w:tc>
        <w:tc>
          <w:tcPr>
            <w:tcW w:w="3437" w:type="dxa"/>
            <w:shd w:val="clear" w:color="auto" w:fill="EEF2F7"/>
          </w:tcPr>
          <w:p>
            <w:pPr>
              <w:pStyle w:val="Compact"/>
              <w:spacing w:after="20" w:before="20"/>
            </w:pPr>
            <w:r>
              <w:rPr>
                <w:sz w:val="17"/>
              </w:rPr>
              <w:t xml:space="preserve">FOMC statement, SEP / dot plot, minutes</w:t>
            </w:r>
          </w:p>
        </w:tc>
        <w:tc>
          <w:tcPr>
            <w:tcW w:w="3799" w:type="dxa"/>
            <w:shd w:val="clear" w:color="auto" w:fill="EEF2F7"/>
          </w:tcPr>
          <w:p>
            <w:pPr>
              <w:pStyle w:val="Compact"/>
              <w:spacing w:after="20" w:before="20"/>
            </w:pPr>
            <w:r>
              <w:rPr>
                <w:sz w:val="17"/>
              </w:rPr>
              <w:t xml:space="preserve">Median dot for year-end, statement language changes</w:t>
            </w:r>
          </w:p>
        </w:tc>
        <w:tc>
          <w:tcPr>
            <w:tcW w:w="3437" w:type="dxa"/>
            <w:shd w:val="clear" w:color="auto" w:fill="EEF2F7"/>
          </w:tcPr>
          <w:p>
            <w:pPr>
              <w:pStyle w:val="Compact"/>
              <w:spacing w:after="20" w:before="20"/>
            </w:pPr>
            <w:r>
              <w:rPr>
                <w:sz w:val="17"/>
              </w:rPr>
              <w:t xml:space="preserve">Fed speaker calendar; Nick Timiraos (WSJ)</w:t>
            </w:r>
          </w:p>
        </w:tc>
      </w:tr>
      <w:tr>
        <w:trPr>
          <w:cantSplit/>
        </w:trPr>
        <w:tc>
          <w:tcPr>
            <w:tcW w:w="3437" w:type="dxa"/>
          </w:tcPr>
          <w:p>
            <w:pPr>
              <w:pStyle w:val="Compact"/>
              <w:spacing w:after="20" w:before="20"/>
            </w:pPr>
            <w:r>
              <w:rPr>
                <w:sz w:val="17"/>
              </w:rPr>
              <w:t xml:space="preserve">“Where are credit spreads broadly (HY/IG)?”</w:t>
            </w:r>
          </w:p>
        </w:tc>
        <w:tc>
          <w:tcPr>
            <w:tcW w:w="3437" w:type="dxa"/>
          </w:tcPr>
          <w:p>
            <w:pPr>
              <w:pStyle w:val="Compact"/>
              <w:spacing w:after="20" w:before="20"/>
            </w:pPr>
            <w:r>
              <w:rPr>
                <w:sz w:val="17"/>
              </w:rPr>
              <w:t xml:space="preserve">FRED ICE BofA OAS series</w:t>
            </w:r>
          </w:p>
        </w:tc>
        <w:tc>
          <w:tcPr>
            <w:tcW w:w="3799" w:type="dxa"/>
          </w:tcPr>
          <w:p>
            <w:pPr>
              <w:pStyle w:val="Compact"/>
              <w:spacing w:after="20" w:before="20"/>
            </w:pPr>
            <w:r>
              <w:rPr>
                <w:sz w:val="17"/>
              </w:rPr>
              <w:t xml:space="preserve">BAMLH0A0HYM2 (HY OAS), BAMLC0A0CM (IG OAS), BAMLC0A4CBBB (BBB OAS)</w:t>
            </w:r>
          </w:p>
        </w:tc>
        <w:tc>
          <w:tcPr>
            <w:tcW w:w="3437" w:type="dxa"/>
          </w:tcPr>
          <w:p>
            <w:pPr>
              <w:pStyle w:val="Compact"/>
              <w:spacing w:after="20" w:before="20"/>
            </w:pPr>
            <w:r>
              <w:rPr>
                <w:sz w:val="17"/>
              </w:rPr>
              <w:t xml:space="preserve">Bloomberg; dealer credit research</w:t>
            </w:r>
          </w:p>
        </w:tc>
      </w:tr>
      <w:tr>
        <w:trPr>
          <w:cantSplit/>
        </w:trPr>
        <w:tc>
          <w:tcPr>
            <w:tcW w:w="3437" w:type="dxa"/>
            <w:shd w:val="clear" w:color="auto" w:fill="EEF2F7"/>
          </w:tcPr>
          <w:p>
            <w:pPr>
              <w:pStyle w:val="Compact"/>
              <w:spacing w:after="20" w:before="20"/>
            </w:pPr>
            <w:r>
              <w:rPr>
                <w:sz w:val="17"/>
              </w:rPr>
              <w:t xml:space="preserve">“How volatile are rates?”</w:t>
            </w:r>
          </w:p>
        </w:tc>
        <w:tc>
          <w:tcPr>
            <w:tcW w:w="3437" w:type="dxa"/>
            <w:shd w:val="clear" w:color="auto" w:fill="EEF2F7"/>
          </w:tcPr>
          <w:p>
            <w:pPr>
              <w:pStyle w:val="Compact"/>
              <w:spacing w:after="20" w:before="20"/>
            </w:pPr>
            <w:r>
              <w:rPr>
                <w:sz w:val="17"/>
              </w:rPr>
              <w:t xml:space="preserve">MOVE index (Bloomberg, broker screens); VIX on FRED (VIXCLS)</w:t>
            </w:r>
          </w:p>
        </w:tc>
        <w:tc>
          <w:tcPr>
            <w:tcW w:w="3799" w:type="dxa"/>
            <w:shd w:val="clear" w:color="auto" w:fill="EEF2F7"/>
          </w:tcPr>
          <w:p>
            <w:pPr>
              <w:pStyle w:val="Compact"/>
              <w:spacing w:after="20" w:before="20"/>
            </w:pPr>
            <w:r>
              <w:rPr>
                <w:sz w:val="17"/>
              </w:rPr>
              <w:t xml:space="preserve">MOVE level and change; realized 10Y moves</w:t>
            </w:r>
          </w:p>
        </w:tc>
        <w:tc>
          <w:tcPr>
            <w:tcW w:w="3437" w:type="dxa"/>
            <w:shd w:val="clear" w:color="auto" w:fill="EEF2F7"/>
          </w:tcPr>
          <w:p>
            <w:pPr>
              <w:pStyle w:val="Compact"/>
              <w:spacing w:after="20" w:before="20"/>
            </w:pPr>
            <w:r>
              <w:rPr>
                <w:sz w:val="17"/>
              </w:rPr>
              <w:t xml:space="preserve">Swaption vol from dealer research</w:t>
            </w:r>
          </w:p>
        </w:tc>
      </w:tr>
      <w:tr>
        <w:trPr>
          <w:cantSplit/>
        </w:trPr>
        <w:tc>
          <w:tcPr>
            <w:tcW w:w="3437" w:type="dxa"/>
          </w:tcPr>
          <w:p>
            <w:pPr>
              <w:pStyle w:val="Compact"/>
              <w:spacing w:after="20" w:before="20"/>
            </w:pPr>
            <w:r>
              <w:rPr>
                <w:sz w:val="17"/>
              </w:rPr>
              <w:t xml:space="preserve">“Where are home prices going?”</w:t>
            </w:r>
          </w:p>
        </w:tc>
        <w:tc>
          <w:tcPr>
            <w:tcW w:w="3437" w:type="dxa"/>
          </w:tcPr>
          <w:p>
            <w:pPr>
              <w:pStyle w:val="Compact"/>
              <w:spacing w:after="20" w:before="20"/>
            </w:pPr>
            <w:r>
              <w:rPr>
                <w:sz w:val="17"/>
              </w:rPr>
              <w:t xml:space="preserve">S&amp;P Cotality Case-Shiller; FHFA HPI; ICE HPI (Mortgage Monitor)</w:t>
            </w:r>
          </w:p>
        </w:tc>
        <w:tc>
          <w:tcPr>
            <w:tcW w:w="3799" w:type="dxa"/>
          </w:tcPr>
          <w:p>
            <w:pPr>
              <w:pStyle w:val="Compact"/>
              <w:spacing w:after="20" w:before="20"/>
            </w:pPr>
            <w:r>
              <w:rPr>
                <w:sz w:val="17"/>
              </w:rPr>
              <w:t xml:space="preserve">YoY and MoM (SA) HPA, national and top MSAs</w:t>
            </w:r>
          </w:p>
        </w:tc>
        <w:tc>
          <w:tcPr>
            <w:tcW w:w="3437" w:type="dxa"/>
          </w:tcPr>
          <w:p>
            <w:pPr>
              <w:pStyle w:val="Compact"/>
              <w:spacing w:after="20" w:before="20"/>
            </w:pPr>
            <w:r>
              <w:rPr>
                <w:sz w:val="17"/>
              </w:rPr>
              <w:t xml:space="preserve">Cotality HPI (paid detail); Zillow ZHVI</w:t>
            </w:r>
          </w:p>
        </w:tc>
      </w:tr>
      <w:tr>
        <w:trPr>
          <w:cantSplit/>
        </w:trPr>
        <w:tc>
          <w:tcPr>
            <w:tcW w:w="3437" w:type="dxa"/>
            <w:shd w:val="clear" w:color="auto" w:fill="EEF2F7"/>
          </w:tcPr>
          <w:p>
            <w:pPr>
              <w:pStyle w:val="Compact"/>
              <w:spacing w:after="20" w:before="20"/>
            </w:pPr>
            <w:r>
              <w:rPr>
                <w:sz w:val="17"/>
              </w:rPr>
              <w:t xml:space="preserve">“How are rents? (DSCR angle)”</w:t>
            </w:r>
          </w:p>
        </w:tc>
        <w:tc>
          <w:tcPr>
            <w:tcW w:w="3437" w:type="dxa"/>
            <w:shd w:val="clear" w:color="auto" w:fill="EEF2F7"/>
          </w:tcPr>
          <w:p>
            <w:pPr>
              <w:pStyle w:val="Compact"/>
              <w:spacing w:after="20" w:before="20"/>
            </w:pPr>
            <w:r>
              <w:rPr>
                <w:sz w:val="17"/>
              </w:rPr>
              <w:t xml:space="preserve">Zillow ZORI; Apartment List national rent data</w:t>
            </w:r>
          </w:p>
        </w:tc>
        <w:tc>
          <w:tcPr>
            <w:tcW w:w="3799" w:type="dxa"/>
            <w:shd w:val="clear" w:color="auto" w:fill="EEF2F7"/>
          </w:tcPr>
          <w:p>
            <w:pPr>
              <w:pStyle w:val="Compact"/>
              <w:spacing w:after="20" w:before="20"/>
            </w:pPr>
            <w:r>
              <w:rPr>
                <w:sz w:val="17"/>
              </w:rPr>
              <w:t xml:space="preserve">YoY rent growth, vacancy index</w:t>
            </w:r>
          </w:p>
        </w:tc>
        <w:tc>
          <w:tcPr>
            <w:tcW w:w="3437" w:type="dxa"/>
            <w:shd w:val="clear" w:color="auto" w:fill="EEF2F7"/>
          </w:tcPr>
          <w:p>
            <w:pPr>
              <w:pStyle w:val="Compact"/>
              <w:spacing w:after="20" w:before="20"/>
            </w:pPr>
            <w:r>
              <w:rPr>
                <w:sz w:val="17"/>
              </w:rPr>
              <w:t xml:space="preserve">Census rental vacancy (FRED RRVRUSQ156N)</w:t>
            </w:r>
          </w:p>
        </w:tc>
      </w:tr>
      <w:tr>
        <w:trPr>
          <w:cantSplit/>
        </w:trPr>
        <w:tc>
          <w:tcPr>
            <w:tcW w:w="3437" w:type="dxa"/>
          </w:tcPr>
          <w:p>
            <w:pPr>
              <w:pStyle w:val="Compact"/>
              <w:spacing w:after="20" w:before="20"/>
            </w:pPr>
            <w:r>
              <w:rPr>
                <w:sz w:val="17"/>
              </w:rPr>
              <w:t xml:space="preserve">“How’s housing activity?”</w:t>
            </w:r>
          </w:p>
        </w:tc>
        <w:tc>
          <w:tcPr>
            <w:tcW w:w="3437" w:type="dxa"/>
          </w:tcPr>
          <w:p>
            <w:pPr>
              <w:pStyle w:val="Compact"/>
              <w:spacing w:after="20" w:before="20"/>
            </w:pPr>
            <w:r>
              <w:rPr>
                <w:sz w:val="17"/>
              </w:rPr>
              <w:t xml:space="preserve">NAR existing sales; Census new home sales/starts; NAHB HMI</w:t>
            </w:r>
          </w:p>
        </w:tc>
        <w:tc>
          <w:tcPr>
            <w:tcW w:w="3799" w:type="dxa"/>
          </w:tcPr>
          <w:p>
            <w:pPr>
              <w:pStyle w:val="Compact"/>
              <w:spacing w:after="20" w:before="20"/>
            </w:pPr>
            <w:r>
              <w:rPr>
                <w:sz w:val="17"/>
              </w:rPr>
              <w:t xml:space="preserve">SAAR sales, months’ supply, starts/permits, builder sentiment</w:t>
            </w:r>
          </w:p>
        </w:tc>
        <w:tc>
          <w:tcPr>
            <w:tcW w:w="3437" w:type="dxa"/>
          </w:tcPr>
          <w:p>
            <w:pPr>
              <w:pStyle w:val="Compact"/>
              <w:spacing w:after="20" w:before="20"/>
            </w:pPr>
            <w:r>
              <w:rPr>
                <w:sz w:val="17"/>
              </w:rPr>
              <w:t xml:space="preserve">Redfin / Realtor.com weekly data</w:t>
            </w:r>
          </w:p>
        </w:tc>
      </w:tr>
      <w:tr>
        <w:trPr>
          <w:cantSplit/>
        </w:trPr>
        <w:tc>
          <w:tcPr>
            <w:tcW w:w="3437" w:type="dxa"/>
            <w:shd w:val="clear" w:color="auto" w:fill="EEF2F7"/>
          </w:tcPr>
          <w:p>
            <w:pPr>
              <w:pStyle w:val="Compact"/>
              <w:spacing w:after="20" w:before="20"/>
            </w:pPr>
            <w:r>
              <w:rPr>
                <w:sz w:val="17"/>
              </w:rPr>
              <w:t xml:space="preserve">“What’s inventory doing?”</w:t>
            </w:r>
          </w:p>
        </w:tc>
        <w:tc>
          <w:tcPr>
            <w:tcW w:w="3437" w:type="dxa"/>
            <w:shd w:val="clear" w:color="auto" w:fill="EEF2F7"/>
          </w:tcPr>
          <w:p>
            <w:pPr>
              <w:pStyle w:val="Compact"/>
              <w:spacing w:after="20" w:before="20"/>
            </w:pPr>
            <w:r>
              <w:rPr>
                <w:sz w:val="17"/>
              </w:rPr>
              <w:t xml:space="preserve">Realtor.com research data; Redfin data center</w:t>
            </w:r>
          </w:p>
        </w:tc>
        <w:tc>
          <w:tcPr>
            <w:tcW w:w="3799" w:type="dxa"/>
            <w:shd w:val="clear" w:color="auto" w:fill="EEF2F7"/>
          </w:tcPr>
          <w:p>
            <w:pPr>
              <w:pStyle w:val="Compact"/>
              <w:spacing w:after="20" w:before="20"/>
            </w:pPr>
            <w:r>
              <w:rPr>
                <w:sz w:val="17"/>
              </w:rPr>
              <w:t xml:space="preserve">Active listings YoY, new listings, days on market</w:t>
            </w:r>
          </w:p>
        </w:tc>
        <w:tc>
          <w:tcPr>
            <w:tcW w:w="3437" w:type="dxa"/>
            <w:shd w:val="clear" w:color="auto" w:fill="EEF2F7"/>
          </w:tcPr>
          <w:p>
            <w:pPr>
              <w:pStyle w:val="Compact"/>
              <w:spacing w:after="20" w:before="20"/>
            </w:pPr>
            <w:r>
              <w:rPr>
                <w:sz w:val="17"/>
              </w:rPr>
              <w:t xml:space="preserve">FRED ACTLISCOUUS (Realtor.com)</w:t>
            </w:r>
          </w:p>
        </w:tc>
      </w:tr>
      <w:tr>
        <w:trPr>
          <w:cantSplit/>
        </w:trPr>
        <w:tc>
          <w:tcPr>
            <w:tcW w:w="3437" w:type="dxa"/>
          </w:tcPr>
          <w:p>
            <w:pPr>
              <w:pStyle w:val="Compact"/>
              <w:spacing w:after="20" w:before="20"/>
            </w:pPr>
            <w:r>
              <w:rPr>
                <w:sz w:val="17"/>
              </w:rPr>
              <w:t xml:space="preserve">“What are the forecasters saying on originations/rates?”</w:t>
            </w:r>
          </w:p>
        </w:tc>
        <w:tc>
          <w:tcPr>
            <w:tcW w:w="3437" w:type="dxa"/>
          </w:tcPr>
          <w:p>
            <w:pPr>
              <w:pStyle w:val="Compact"/>
              <w:spacing w:after="20" w:before="20"/>
            </w:pPr>
            <w:r>
              <w:rPr>
                <w:sz w:val="17"/>
              </w:rPr>
              <w:t xml:space="preserve">Fannie Mae ESR forecast; MBA forecast</w:t>
            </w:r>
          </w:p>
        </w:tc>
        <w:tc>
          <w:tcPr>
            <w:tcW w:w="3799" w:type="dxa"/>
          </w:tcPr>
          <w:p>
            <w:pPr>
              <w:pStyle w:val="Compact"/>
              <w:spacing w:after="20" w:before="20"/>
            </w:pPr>
            <w:r>
              <w:rPr>
                <w:sz w:val="17"/>
              </w:rPr>
              <w:t xml:space="preserve">Origination volume, purchase vs refi, rate path</w:t>
            </w:r>
          </w:p>
        </w:tc>
        <w:tc>
          <w:tcPr>
            <w:tcW w:w="3437" w:type="dxa"/>
          </w:tcPr>
          <w:p>
            <w:pPr>
              <w:pStyle w:val="Compact"/>
              <w:spacing w:after="20" w:before="20"/>
            </w:pPr>
            <w:r>
              <w:rPr>
                <w:sz w:val="17"/>
              </w:rPr>
              <w:t xml:space="preserve">Freddie Mac research; dealer outlooks</w:t>
            </w:r>
          </w:p>
        </w:tc>
      </w:tr>
      <w:tr>
        <w:trPr>
          <w:cantSplit/>
        </w:trPr>
        <w:tc>
          <w:tcPr>
            <w:tcW w:w="3437" w:type="dxa"/>
            <w:shd w:val="clear" w:color="auto" w:fill="EEF2F7"/>
          </w:tcPr>
          <w:p>
            <w:pPr>
              <w:pStyle w:val="Compact"/>
              <w:spacing w:after="20" w:before="20"/>
            </w:pPr>
            <w:r>
              <w:rPr>
                <w:sz w:val="17"/>
              </w:rPr>
              <w:t xml:space="preserve">“Is credit tightening?”</w:t>
            </w:r>
          </w:p>
        </w:tc>
        <w:tc>
          <w:tcPr>
            <w:tcW w:w="3437" w:type="dxa"/>
            <w:shd w:val="clear" w:color="auto" w:fill="EEF2F7"/>
          </w:tcPr>
          <w:p>
            <w:pPr>
              <w:pStyle w:val="Compact"/>
              <w:spacing w:after="20" w:before="20"/>
            </w:pPr>
            <w:r>
              <w:rPr>
                <w:sz w:val="17"/>
              </w:rPr>
              <w:t xml:space="preserve">MBA Mortgage Credit Availability Index (monthly); Fed SLOOS (quarterly)</w:t>
            </w:r>
          </w:p>
        </w:tc>
        <w:tc>
          <w:tcPr>
            <w:tcW w:w="3799" w:type="dxa"/>
            <w:shd w:val="clear" w:color="auto" w:fill="EEF2F7"/>
          </w:tcPr>
          <w:p>
            <w:pPr>
              <w:pStyle w:val="Compact"/>
              <w:spacing w:after="20" w:before="20"/>
            </w:pPr>
            <w:r>
              <w:rPr>
                <w:sz w:val="17"/>
              </w:rPr>
              <w:t xml:space="preserve">MCAI level/change by segment; net % banks tightening</w:t>
            </w:r>
          </w:p>
        </w:tc>
        <w:tc>
          <w:tcPr>
            <w:tcW w:w="3437" w:type="dxa"/>
            <w:shd w:val="clear" w:color="auto" w:fill="EEF2F7"/>
          </w:tcPr>
          <w:p>
            <w:pPr>
              <w:pStyle w:val="Compact"/>
              <w:spacing w:after="20" w:before="20"/>
            </w:pPr>
            <w:r>
              <w:rPr>
                <w:sz w:val="17"/>
              </w:rPr>
              <w:t xml:space="preserve">Trade press on lender guideline changes</w:t>
            </w:r>
          </w:p>
        </w:tc>
      </w:tr>
      <w:tr>
        <w:trPr>
          <w:cantSplit/>
        </w:trPr>
        <w:tc>
          <w:tcPr>
            <w:tcW w:w="3437" w:type="dxa"/>
          </w:tcPr>
          <w:p>
            <w:pPr>
              <w:pStyle w:val="Compact"/>
              <w:spacing w:after="20" w:before="20"/>
            </w:pPr>
            <w:r>
              <w:rPr>
                <w:sz w:val="17"/>
              </w:rPr>
              <w:t xml:space="preserve">“Any regulatory changes that matter?”</w:t>
            </w:r>
          </w:p>
        </w:tc>
        <w:tc>
          <w:tcPr>
            <w:tcW w:w="3437" w:type="dxa"/>
          </w:tcPr>
          <w:p>
            <w:pPr>
              <w:pStyle w:val="Compact"/>
              <w:spacing w:after="20" w:before="20"/>
            </w:pPr>
            <w:r>
              <w:rPr>
                <w:sz w:val="17"/>
              </w:rPr>
              <w:t xml:space="preserve">FHFA news; Fannie/Freddie seller communications; CFPB</w:t>
            </w:r>
          </w:p>
        </w:tc>
        <w:tc>
          <w:tcPr>
            <w:tcW w:w="3799" w:type="dxa"/>
          </w:tcPr>
          <w:p>
            <w:pPr>
              <w:pStyle w:val="Compact"/>
              <w:spacing w:after="20" w:before="20"/>
            </w:pPr>
            <w:r>
              <w:rPr>
                <w:sz w:val="17"/>
              </w:rPr>
              <w:t xml:space="preserve">Loan limits, LLPAs, credit score policy, QM rule changes</w:t>
            </w:r>
          </w:p>
        </w:tc>
        <w:tc>
          <w:tcPr>
            <w:tcW w:w="3437" w:type="dxa"/>
          </w:tcPr>
          <w:p>
            <w:pPr>
              <w:pStyle w:val="Compact"/>
              <w:spacing w:after="20" w:before="20"/>
            </w:pPr>
            <w:r>
              <w:rPr>
                <w:sz w:val="17"/>
              </w:rPr>
              <w:t xml:space="preserve">Inside Mortgage Finance (paid); law-firm client alerts</w:t>
            </w:r>
          </w:p>
        </w:tc>
      </w:tr>
      <w:tr>
        <w:trPr>
          <w:cantSplit/>
        </w:trPr>
        <w:tc>
          <w:tcPr>
            <w:tcW w:w="3437" w:type="dxa"/>
            <w:shd w:val="clear" w:color="auto" w:fill="EEF2F7"/>
          </w:tcPr>
          <w:p>
            <w:pPr>
              <w:pStyle w:val="Compact"/>
              <w:spacing w:after="20" w:before="20"/>
            </w:pPr>
            <w:r>
              <w:rPr>
                <w:sz w:val="17"/>
              </w:rPr>
              <w:t xml:space="preserve">“What’s the macro calendar this week?”</w:t>
            </w:r>
          </w:p>
        </w:tc>
        <w:tc>
          <w:tcPr>
            <w:tcW w:w="3437" w:type="dxa"/>
            <w:shd w:val="clear" w:color="auto" w:fill="EEF2F7"/>
          </w:tcPr>
          <w:p>
            <w:pPr>
              <w:pStyle w:val="Compact"/>
              <w:spacing w:after="20" w:before="20"/>
            </w:pPr>
            <w:r>
              <w:rPr>
                <w:sz w:val="17"/>
              </w:rPr>
              <w:t xml:space="preserve">BLS, BEA, Census, Fed calendars</w:t>
            </w:r>
          </w:p>
        </w:tc>
        <w:tc>
          <w:tcPr>
            <w:tcW w:w="3799" w:type="dxa"/>
            <w:shd w:val="clear" w:color="auto" w:fill="EEF2F7"/>
          </w:tcPr>
          <w:p>
            <w:pPr>
              <w:pStyle w:val="Compact"/>
              <w:spacing w:after="20" w:before="20"/>
            </w:pPr>
            <w:r>
              <w:rPr>
                <w:sz w:val="17"/>
              </w:rPr>
              <w:t xml:space="preserve">Date/time (CT) of CPI, payrolls, PCE, GDP, FOMC</w:t>
            </w:r>
          </w:p>
        </w:tc>
        <w:tc>
          <w:tcPr>
            <w:tcW w:w="3437" w:type="dxa"/>
            <w:shd w:val="clear" w:color="auto" w:fill="EEF2F7"/>
          </w:tcPr>
          <w:p>
            <w:pPr>
              <w:pStyle w:val="Compact"/>
              <w:spacing w:after="20" w:before="20"/>
            </w:pPr>
            <w:r>
              <w:rPr>
                <w:sz w:val="17"/>
              </w:rPr>
              <w:t xml:space="preserve">Bloomberg ECO; Investing.com calendar</w:t>
            </w:r>
          </w:p>
        </w:tc>
      </w:tr>
    </w:tbl>
    <w:bookmarkEnd w:id="10"/>
    <w:bookmarkEnd w:id="11"/>
    <w:bookmarkStart w:id="44" w:name="rates-and-the-curve"/>
    <w:p>
      <w:pPr>
        <w:pStyle w:val="Heading1"/>
      </w:pPr>
      <w:r>
        <w:t xml:space="preserve">2. Rates and the curve</w:t>
      </w:r>
    </w:p>
    <w:p>
      <w:pPr>
        <w:pStyle w:val="FirstParagraph"/>
      </w:pPr>
      <w:r>
        <w:t xml:space="preserve">Mortgage pricing is a spread product, so almost every answer starts with the Treasury and swap curve. Know three things cold: where the 10-year is (the benchmark PMs and the press use for mortgage rates), where the 2s10s and 5s/10s slope is (drives hedge ratios and the relative value of shorter-duration product such as RTL and HELOCs), and what the market is pricing for the Fed (drives the front end, SOFR-floating CRT coupons, and warehouse funding costs).</w:t>
      </w:r>
    </w:p>
    <w:bookmarkStart w:id="20" w:name="treasury-yields"/>
    <w:p>
      <w:pPr>
        <w:pStyle w:val="Heading2"/>
      </w:pPr>
      <w:r>
        <w:t xml:space="preserve">2.1 Treasury yields</w:t>
      </w:r>
    </w:p>
    <w:p>
      <w:pPr>
        <w:pStyle w:val="TableCaption"/>
      </w:pPr>
      <w:r>
        <w:t xml:space="preserve">Treasury yield sources.</w:t>
      </w:r>
    </w:p>
    <w:tbl>
      <w:tblPr>
        <w:tblStyle w:val="Table"/>
        <w:tblLayout w:type="fixed"/>
        <w:tblLook w:firstRow="1" w:lastRow="0" w:firstColumn="0" w:lastColumn="0" w:noHBand="0" w:noVBand="0" w:val="0020"/>
        <w:tblCaption w:val="Treasury yield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U.S. Treasury Daily Par Yield Curve</w:t>
            </w:r>
          </w:p>
        </w:tc>
        <w:tc>
          <w:tcPr>
            <w:tcW w:w="3485" w:type="dxa"/>
          </w:tcPr>
          <w:p>
            <w:pPr>
              <w:pStyle w:val="Compact"/>
              <w:spacing w:after="20" w:before="20"/>
            </w:pPr>
            <w:r>
              <w:rPr>
                <w:sz w:val="17"/>
              </w:rPr>
              <w:t xml:space="preserve">Official par yields 1M–30Y (the</w:t>
            </w:r>
            <w:r>
              <w:rPr>
                <w:sz w:val="17"/>
              </w:rPr>
              <w:t xml:space="preserve"> </w:t>
            </w:r>
            <w:r>
              <w:rPr>
                <w:sz w:val="17"/>
              </w:rPr>
              <w:t xml:space="preserve">“CMT”</w:t>
            </w:r>
            <w:r>
              <w:rPr>
                <w:sz w:val="17"/>
              </w:rPr>
              <w:t xml:space="preserve"> </w:t>
            </w:r>
            <w:r>
              <w:rPr>
                <w:sz w:val="17"/>
              </w:rPr>
              <w:t xml:space="preserve">curve); real yield curve on a separate page</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Business days; based on indicative bid quotes collected at or near 2:30 pm CT; usually posted late afternoon/evening (time not guaranteed)</w:t>
            </w:r>
          </w:p>
        </w:tc>
        <w:tc>
          <w:tcPr>
            <w:tcW w:w="2438" w:type="dxa"/>
          </w:tcPr>
          <w:p>
            <w:pPr>
              <w:pStyle w:val="Compact"/>
              <w:spacing w:after="20" w:before="20"/>
            </w:pPr>
            <w:r>
              <w:rPr>
                <w:sz w:val="17"/>
              </w:rPr>
              <w:t xml:space="preserve">The official end-of-day curve for date-stamped answers</w:t>
            </w:r>
          </w:p>
        </w:tc>
        <w:tc>
          <w:tcPr>
            <w:tcW w:w="2438" w:type="dxa"/>
          </w:tcPr>
          <w:p>
            <w:pPr>
              <w:pStyle w:val="Compact"/>
              <w:spacing w:after="20" w:before="20"/>
            </w:pPr>
            <w:hyperlink r:id="rId12">
              <w:r>
                <w:rPr>
                  <w:rStyle w:val="Hyperlink"/>
                  <w:sz w:val="17"/>
                </w:rPr>
                <w:t xml:space="preserve">home.treasury.gov – Daily Treasury Par Yield Curve</w:t>
              </w:r>
            </w:hyperlink>
          </w:p>
        </w:tc>
      </w:tr>
      <w:tr>
        <w:trPr>
          <w:cantSplit/>
        </w:trPr>
        <w:tc>
          <w:tcPr>
            <w:tcW w:w="2438" w:type="dxa"/>
            <w:shd w:val="clear" w:color="auto" w:fill="EEF2F7"/>
          </w:tcPr>
          <w:p>
            <w:pPr>
              <w:pStyle w:val="Compact"/>
              <w:spacing w:after="20" w:before="20"/>
            </w:pPr>
            <w:r>
              <w:rPr>
                <w:sz w:val="17"/>
              </w:rPr>
              <w:t xml:space="preserve">Treasury Interest Rate Statistics (methodology)</w:t>
            </w:r>
          </w:p>
        </w:tc>
        <w:tc>
          <w:tcPr>
            <w:tcW w:w="3485" w:type="dxa"/>
            <w:shd w:val="clear" w:color="auto" w:fill="EEF2F7"/>
          </w:tcPr>
          <w:p>
            <w:pPr>
              <w:pStyle w:val="Compact"/>
              <w:spacing w:after="20" w:before="20"/>
            </w:pPr>
            <w:r>
              <w:rPr>
                <w:sz w:val="17"/>
              </w:rPr>
              <w:t xml:space="preserve">Explanation of how the par curve is built</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Static</w:t>
            </w:r>
          </w:p>
        </w:tc>
        <w:tc>
          <w:tcPr>
            <w:tcW w:w="2438" w:type="dxa"/>
            <w:shd w:val="clear" w:color="auto" w:fill="EEF2F7"/>
          </w:tcPr>
          <w:p>
            <w:pPr>
              <w:pStyle w:val="Compact"/>
              <w:spacing w:after="20" w:before="20"/>
            </w:pPr>
            <w:r>
              <w:rPr>
                <w:sz w:val="17"/>
              </w:rPr>
              <w:t xml:space="preserve">Understanding what</w:t>
            </w:r>
            <w:r>
              <w:rPr>
                <w:sz w:val="17"/>
              </w:rPr>
              <w:t xml:space="preserve"> </w:t>
            </w:r>
            <w:r>
              <w:rPr>
                <w:sz w:val="17"/>
              </w:rPr>
              <w:t xml:space="preserve">“CMT”</w:t>
            </w:r>
            <w:r>
              <w:rPr>
                <w:sz w:val="17"/>
              </w:rPr>
              <w:t xml:space="preserve"> </w:t>
            </w:r>
            <w:r>
              <w:rPr>
                <w:sz w:val="17"/>
              </w:rPr>
              <w:t xml:space="preserve">means when a PM asks</w:t>
            </w:r>
          </w:p>
        </w:tc>
        <w:tc>
          <w:tcPr>
            <w:tcW w:w="2438" w:type="dxa"/>
            <w:shd w:val="clear" w:color="auto" w:fill="EEF2F7"/>
          </w:tcPr>
          <w:p>
            <w:pPr>
              <w:pStyle w:val="Compact"/>
              <w:spacing w:after="20" w:before="20"/>
            </w:pPr>
            <w:hyperlink r:id="rId13">
              <w:r>
                <w:rPr>
                  <w:rStyle w:val="Hyperlink"/>
                  <w:sz w:val="17"/>
                </w:rPr>
                <w:t xml:space="preserve">home.treasury.gov – Interest Rate Statistics</w:t>
              </w:r>
            </w:hyperlink>
          </w:p>
        </w:tc>
      </w:tr>
      <w:tr>
        <w:trPr>
          <w:cantSplit/>
        </w:trPr>
        <w:tc>
          <w:tcPr>
            <w:tcW w:w="2438" w:type="dxa"/>
          </w:tcPr>
          <w:p>
            <w:pPr>
              <w:pStyle w:val="Compact"/>
              <w:spacing w:after="20" w:before="20"/>
            </w:pPr>
            <w:r>
              <w:rPr>
                <w:sz w:val="17"/>
              </w:rPr>
              <w:t xml:space="preserve">FRED constant-maturity series</w:t>
            </w:r>
          </w:p>
        </w:tc>
        <w:tc>
          <w:tcPr>
            <w:tcW w:w="3485" w:type="dxa"/>
          </w:tcPr>
          <w:p>
            <w:pPr>
              <w:pStyle w:val="Compact"/>
              <w:spacing w:after="20" w:before="20"/>
            </w:pPr>
            <w:r>
              <w:rPr>
                <w:sz w:val="17"/>
              </w:rPr>
              <w:t xml:space="preserve">DGS1MO, DGS3MO, DGS2, DGS5, DGS10, DGS30; spreads T10Y2Y, T10Y3M</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Daily, generally posted the following business day (sourced from Fed H.15)</w:t>
            </w:r>
          </w:p>
        </w:tc>
        <w:tc>
          <w:tcPr>
            <w:tcW w:w="2438" w:type="dxa"/>
          </w:tcPr>
          <w:p>
            <w:pPr>
              <w:pStyle w:val="Compact"/>
              <w:spacing w:after="20" w:before="20"/>
            </w:pPr>
            <w:r>
              <w:rPr>
                <w:sz w:val="17"/>
              </w:rPr>
              <w:t xml:space="preserve">Charts, history, spreads, Excel downloads, combining with mortgage series</w:t>
            </w:r>
          </w:p>
        </w:tc>
        <w:tc>
          <w:tcPr>
            <w:tcW w:w="2438" w:type="dxa"/>
          </w:tcPr>
          <w:p>
            <w:pPr>
              <w:pStyle w:val="Compact"/>
              <w:spacing w:after="20" w:before="20"/>
            </w:pPr>
            <w:hyperlink r:id="rId14">
              <w:r>
                <w:rPr>
                  <w:rStyle w:val="Hyperlink"/>
                  <w:sz w:val="17"/>
                </w:rPr>
                <w:t xml:space="preserve">fred.stlouisfed.org/series/DGS10</w:t>
              </w:r>
            </w:hyperlink>
          </w:p>
        </w:tc>
      </w:tr>
      <w:tr>
        <w:trPr>
          <w:cantSplit/>
        </w:trPr>
        <w:tc>
          <w:tcPr>
            <w:tcW w:w="2438" w:type="dxa"/>
            <w:shd w:val="clear" w:color="auto" w:fill="EEF2F7"/>
          </w:tcPr>
          <w:p>
            <w:pPr>
              <w:pStyle w:val="Compact"/>
              <w:spacing w:after="20" w:before="20"/>
            </w:pPr>
            <w:r>
              <w:rPr>
                <w:sz w:val="17"/>
              </w:rPr>
              <w:t xml:space="preserve">Federal Reserve H.15 Selected Interest Rates</w:t>
            </w:r>
          </w:p>
        </w:tc>
        <w:tc>
          <w:tcPr>
            <w:tcW w:w="3485" w:type="dxa"/>
            <w:shd w:val="clear" w:color="auto" w:fill="EEF2F7"/>
          </w:tcPr>
          <w:p>
            <w:pPr>
              <w:pStyle w:val="Compact"/>
              <w:spacing w:after="20" w:before="20"/>
            </w:pPr>
            <w:r>
              <w:rPr>
                <w:sz w:val="17"/>
              </w:rPr>
              <w:t xml:space="preserve">Daily Treasury CMT, fed funds, commercial paper</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Daily (business days)</w:t>
            </w:r>
          </w:p>
        </w:tc>
        <w:tc>
          <w:tcPr>
            <w:tcW w:w="2438" w:type="dxa"/>
            <w:shd w:val="clear" w:color="auto" w:fill="EEF2F7"/>
          </w:tcPr>
          <w:p>
            <w:pPr>
              <w:pStyle w:val="Compact"/>
              <w:spacing w:after="20" w:before="20"/>
            </w:pPr>
            <w:r>
              <w:rPr>
                <w:sz w:val="17"/>
              </w:rPr>
              <w:t xml:space="preserve">Official citation for historical rates</w:t>
            </w:r>
          </w:p>
        </w:tc>
        <w:tc>
          <w:tcPr>
            <w:tcW w:w="2438" w:type="dxa"/>
            <w:shd w:val="clear" w:color="auto" w:fill="EEF2F7"/>
          </w:tcPr>
          <w:p>
            <w:pPr>
              <w:pStyle w:val="Compact"/>
              <w:spacing w:after="20" w:before="20"/>
            </w:pPr>
            <w:hyperlink r:id="rId15">
              <w:r>
                <w:rPr>
                  <w:rStyle w:val="Hyperlink"/>
                  <w:sz w:val="17"/>
                </w:rPr>
                <w:t xml:space="preserve">federalreserve.gov/releases/h15</w:t>
              </w:r>
            </w:hyperlink>
          </w:p>
        </w:tc>
      </w:tr>
      <w:tr>
        <w:trPr>
          <w:cantSplit/>
        </w:trPr>
        <w:tc>
          <w:tcPr>
            <w:tcW w:w="2438" w:type="dxa"/>
          </w:tcPr>
          <w:p>
            <w:pPr>
              <w:pStyle w:val="Compact"/>
              <w:spacing w:after="20" w:before="20"/>
            </w:pPr>
            <w:r>
              <w:rPr>
                <w:sz w:val="17"/>
              </w:rPr>
              <w:t xml:space="preserve">CNBC bond quotes</w:t>
            </w:r>
          </w:p>
        </w:tc>
        <w:tc>
          <w:tcPr>
            <w:tcW w:w="3485" w:type="dxa"/>
          </w:tcPr>
          <w:p>
            <w:pPr>
              <w:pStyle w:val="Compact"/>
              <w:spacing w:after="20" w:before="20"/>
            </w:pPr>
            <w:r>
              <w:rPr>
                <w:sz w:val="17"/>
              </w:rPr>
              <w:t xml:space="preserve">Real-time-ish Treasury yields, intraday charts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Intraday</w:t>
            </w:r>
          </w:p>
        </w:tc>
        <w:tc>
          <w:tcPr>
            <w:tcW w:w="2438" w:type="dxa"/>
          </w:tcPr>
          <w:p>
            <w:pPr>
              <w:pStyle w:val="Compact"/>
              <w:spacing w:after="20" w:before="20"/>
            </w:pPr>
            <w:r>
              <w:rPr>
                <w:sz w:val="17"/>
              </w:rPr>
              <w:t xml:space="preserve">Fast</w:t>
            </w:r>
            <w:r>
              <w:rPr>
                <w:sz w:val="17"/>
              </w:rPr>
              <w:t xml:space="preserve"> </w:t>
            </w:r>
            <w:r>
              <w:rPr>
                <w:sz w:val="17"/>
              </w:rPr>
              <w:t xml:space="preserve">“where’s the 10-year right now?”</w:t>
            </w:r>
            <w:r>
              <w:rPr>
                <w:sz w:val="17"/>
              </w:rPr>
              <w:t xml:space="preserve"> </w:t>
            </w:r>
            <w:r>
              <w:rPr>
                <w:sz w:val="17"/>
              </w:rPr>
              <w:t xml:space="preserve">check</w:t>
            </w:r>
          </w:p>
        </w:tc>
        <w:tc>
          <w:tcPr>
            <w:tcW w:w="2438" w:type="dxa"/>
          </w:tcPr>
          <w:p>
            <w:pPr>
              <w:pStyle w:val="Compact"/>
              <w:spacing w:after="20" w:before="20"/>
            </w:pPr>
            <w:hyperlink r:id="rId16">
              <w:r>
                <w:rPr>
                  <w:rStyle w:val="Hyperlink"/>
                  <w:sz w:val="17"/>
                </w:rPr>
                <w:t xml:space="preserve">cnbc.com/quotes/US10Y</w:t>
              </w:r>
            </w:hyperlink>
          </w:p>
        </w:tc>
      </w:tr>
      <w:tr>
        <w:trPr>
          <w:cantSplit/>
        </w:trPr>
        <w:tc>
          <w:tcPr>
            <w:tcW w:w="2438" w:type="dxa"/>
            <w:shd w:val="clear" w:color="auto" w:fill="EEF2F7"/>
          </w:tcPr>
          <w:p>
            <w:pPr>
              <w:pStyle w:val="Compact"/>
              <w:spacing w:after="20" w:before="20"/>
            </w:pPr>
            <w:r>
              <w:rPr>
                <w:sz w:val="17"/>
              </w:rPr>
              <w:t xml:space="preserve">WSJ Market Data – Bonds</w:t>
            </w:r>
          </w:p>
        </w:tc>
        <w:tc>
          <w:tcPr>
            <w:tcW w:w="3485" w:type="dxa"/>
            <w:shd w:val="clear" w:color="auto" w:fill="EEF2F7"/>
          </w:tcPr>
          <w:p>
            <w:pPr>
              <w:pStyle w:val="Compact"/>
              <w:spacing w:after="20" w:before="20"/>
            </w:pPr>
            <w:r>
              <w:rPr>
                <w:sz w:val="17"/>
              </w:rPr>
              <w:t xml:space="preserve">Treasury yields, benchmark rates table</w:t>
            </w:r>
          </w:p>
        </w:tc>
        <w:tc>
          <w:tcPr>
            <w:tcW w:w="1394" w:type="dxa"/>
            <w:shd w:val="clear" w:color="auto" w:fill="EEF2F7"/>
          </w:tcPr>
          <w:p>
            <w:pPr>
              <w:pStyle w:val="Compact"/>
              <w:spacing w:after="20" w:before="20"/>
            </w:pPr>
            <w:r>
              <w:rPr>
                <w:sz w:val="17"/>
              </w:rPr>
              <w:t xml:space="preserve">Free (some content paywalled)</w:t>
            </w:r>
          </w:p>
        </w:tc>
        <w:tc>
          <w:tcPr>
            <w:tcW w:w="1916" w:type="dxa"/>
            <w:shd w:val="clear" w:color="auto" w:fill="EEF2F7"/>
          </w:tcPr>
          <w:p>
            <w:pPr>
              <w:pStyle w:val="Compact"/>
              <w:spacing w:after="20" w:before="20"/>
            </w:pPr>
            <w:r>
              <w:rPr>
                <w:sz w:val="17"/>
              </w:rPr>
              <w:t xml:space="preserve">Intraday / end of day</w:t>
            </w:r>
          </w:p>
        </w:tc>
        <w:tc>
          <w:tcPr>
            <w:tcW w:w="2438" w:type="dxa"/>
            <w:shd w:val="clear" w:color="auto" w:fill="EEF2F7"/>
          </w:tcPr>
          <w:p>
            <w:pPr>
              <w:pStyle w:val="Compact"/>
              <w:spacing w:after="20" w:before="20"/>
            </w:pPr>
            <w:r>
              <w:rPr>
                <w:sz w:val="17"/>
              </w:rPr>
              <w:t xml:space="preserve">Quick table of the curve</w:t>
            </w:r>
          </w:p>
        </w:tc>
        <w:tc>
          <w:tcPr>
            <w:tcW w:w="2438" w:type="dxa"/>
            <w:shd w:val="clear" w:color="auto" w:fill="EEF2F7"/>
          </w:tcPr>
          <w:p>
            <w:pPr>
              <w:pStyle w:val="Compact"/>
              <w:spacing w:after="20" w:before="20"/>
            </w:pPr>
            <w:hyperlink r:id="rId17">
              <w:r>
                <w:rPr>
                  <w:rStyle w:val="Hyperlink"/>
                  <w:sz w:val="17"/>
                </w:rPr>
                <w:t xml:space="preserve">wsj.com/market-data/bonds</w:t>
              </w:r>
            </w:hyperlink>
          </w:p>
        </w:tc>
      </w:tr>
      <w:tr>
        <w:trPr>
          <w:cantSplit/>
        </w:trPr>
        <w:tc>
          <w:tcPr>
            <w:tcW w:w="2438" w:type="dxa"/>
          </w:tcPr>
          <w:p>
            <w:pPr>
              <w:pStyle w:val="Compact"/>
              <w:spacing w:after="20" w:before="20"/>
            </w:pPr>
            <w:r>
              <w:rPr>
                <w:sz w:val="17"/>
              </w:rPr>
              <w:t xml:space="preserve">TreasuryDirect upcoming auctions</w:t>
            </w:r>
          </w:p>
        </w:tc>
        <w:tc>
          <w:tcPr>
            <w:tcW w:w="3485" w:type="dxa"/>
          </w:tcPr>
          <w:p>
            <w:pPr>
              <w:pStyle w:val="Compact"/>
              <w:spacing w:after="20" w:before="20"/>
            </w:pPr>
            <w:r>
              <w:rPr>
                <w:sz w:val="17"/>
              </w:rPr>
              <w:t xml:space="preserve">Auction schedule and results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Ongoing; most coupon auction results post at 12:00 pm CT</w:t>
            </w:r>
          </w:p>
        </w:tc>
        <w:tc>
          <w:tcPr>
            <w:tcW w:w="2438" w:type="dxa"/>
          </w:tcPr>
          <w:p>
            <w:pPr>
              <w:pStyle w:val="Compact"/>
              <w:spacing w:after="20" w:before="20"/>
            </w:pPr>
            <w:r>
              <w:rPr>
                <w:sz w:val="17"/>
              </w:rPr>
              <w:t xml:space="preserve">Knowing when 10Y/30Y supply hits (can move MBS)</w:t>
            </w:r>
          </w:p>
        </w:tc>
        <w:tc>
          <w:tcPr>
            <w:tcW w:w="2438" w:type="dxa"/>
          </w:tcPr>
          <w:p>
            <w:pPr>
              <w:pStyle w:val="Compact"/>
              <w:spacing w:after="20" w:before="20"/>
            </w:pPr>
            <w:hyperlink r:id="rId18">
              <w:r>
                <w:rPr>
                  <w:rStyle w:val="Hyperlink"/>
                  <w:sz w:val="17"/>
                </w:rPr>
                <w:t xml:space="preserve">treasurydirect.gov – Upcoming auctions</w:t>
              </w:r>
            </w:hyperlink>
          </w:p>
        </w:tc>
      </w:tr>
      <w:tr>
        <w:trPr>
          <w:cantSplit/>
        </w:trPr>
        <w:tc>
          <w:tcPr>
            <w:tcW w:w="2438" w:type="dxa"/>
            <w:shd w:val="clear" w:color="auto" w:fill="EEF2F7"/>
          </w:tcPr>
          <w:p>
            <w:pPr>
              <w:pStyle w:val="Compact"/>
              <w:spacing w:after="20" w:before="20"/>
            </w:pPr>
            <w:r>
              <w:rPr>
                <w:sz w:val="17"/>
              </w:rPr>
              <w:t xml:space="preserve">Bloomberg Terminal</w:t>
            </w:r>
          </w:p>
        </w:tc>
        <w:tc>
          <w:tcPr>
            <w:tcW w:w="3485" w:type="dxa"/>
            <w:shd w:val="clear" w:color="auto" w:fill="EEF2F7"/>
          </w:tcPr>
          <w:p>
            <w:pPr>
              <w:pStyle w:val="Compact"/>
              <w:spacing w:after="20" w:before="20"/>
            </w:pPr>
            <w:r>
              <w:rPr>
                <w:sz w:val="17"/>
              </w:rPr>
              <w:t xml:space="preserve">Live curve, USGG10YR Index etc., BTMM monitor</w:t>
            </w:r>
          </w:p>
        </w:tc>
        <w:tc>
          <w:tcPr>
            <w:tcW w:w="1394" w:type="dxa"/>
            <w:shd w:val="clear" w:color="auto" w:fill="EEF2F7"/>
          </w:tcPr>
          <w:p>
            <w:pPr>
              <w:pStyle w:val="Compact"/>
              <w:spacing w:after="20" w:before="20"/>
            </w:pPr>
            <w:r>
              <w:rPr>
                <w:sz w:val="17"/>
              </w:rPr>
              <w:t xml:space="preserve">Paid – Must-request</w:t>
            </w:r>
          </w:p>
        </w:tc>
        <w:tc>
          <w:tcPr>
            <w:tcW w:w="1916" w:type="dxa"/>
            <w:shd w:val="clear" w:color="auto" w:fill="EEF2F7"/>
          </w:tcPr>
          <w:p>
            <w:pPr>
              <w:pStyle w:val="Compact"/>
              <w:spacing w:after="20" w:before="20"/>
            </w:pPr>
            <w:r>
              <w:rPr>
                <w:sz w:val="17"/>
              </w:rPr>
              <w:t xml:space="preserve">Real time</w:t>
            </w:r>
          </w:p>
        </w:tc>
        <w:tc>
          <w:tcPr>
            <w:tcW w:w="2438" w:type="dxa"/>
            <w:shd w:val="clear" w:color="auto" w:fill="EEF2F7"/>
          </w:tcPr>
          <w:p>
            <w:pPr>
              <w:pStyle w:val="Compact"/>
              <w:spacing w:after="20" w:before="20"/>
            </w:pPr>
            <w:r>
              <w:rPr>
                <w:sz w:val="17"/>
              </w:rPr>
              <w:t xml:space="preserve">Everything live; the professional standard</w:t>
            </w:r>
          </w:p>
        </w:tc>
        <w:tc>
          <w:tcPr>
            <w:tcW w:w="2438" w:type="dxa"/>
            <w:shd w:val="clear" w:color="auto" w:fill="EEF2F7"/>
          </w:tcPr>
          <w:p>
            <w:pPr>
              <w:pStyle w:val="Compact"/>
              <w:spacing w:after="20" w:before="20"/>
            </w:pPr>
            <w:hyperlink r:id="rId19">
              <w:r>
                <w:rPr>
                  <w:rStyle w:val="Hyperlink"/>
                  <w:sz w:val="17"/>
                </w:rPr>
                <w:t xml:space="preserve">bloomberg.com/professional</w:t>
              </w:r>
            </w:hyperlink>
          </w:p>
        </w:tc>
      </w:tr>
    </w:tbl>
    <w:bookmarkEnd w:id="20"/>
    <w:bookmarkStart w:id="27" w:name="sofr-swaps-and-floating-rate-benchmarks"/>
    <w:p>
      <w:pPr>
        <w:pStyle w:val="Heading2"/>
      </w:pPr>
      <w:r>
        <w:t xml:space="preserve">2.2 SOFR, swaps, and floating-rate benchmarks</w:t>
      </w:r>
    </w:p>
    <w:p>
      <w:pPr>
        <w:pStyle w:val="FirstParagraph"/>
      </w:pPr>
      <w:r>
        <w:t xml:space="preserve">SOFR matters for three reasons in this role: CRT (CAS and STACR) coupons float over 30-day average SOFR, many warehouse and repo lines are priced off SOFR or Term SOFR, and swap spreads affect how agency and non-agency paper is hedged and valued.</w:t>
      </w:r>
    </w:p>
    <w:p>
      <w:pPr>
        <w:pStyle w:val="TableCaption"/>
      </w:pPr>
      <w:r>
        <w:t xml:space="preserve">SOFR and swap-rate sources.</w:t>
      </w:r>
    </w:p>
    <w:tbl>
      <w:tblPr>
        <w:tblStyle w:val="Table"/>
        <w:tblLayout w:type="fixed"/>
        <w:tblLook w:firstRow="1" w:lastRow="0" w:firstColumn="0" w:lastColumn="0" w:noHBand="0" w:noVBand="0" w:val="0020"/>
        <w:tblCaption w:val="SOFR and swap-rate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NY Fed SOFR</w:t>
            </w:r>
          </w:p>
        </w:tc>
        <w:tc>
          <w:tcPr>
            <w:tcW w:w="3485" w:type="dxa"/>
          </w:tcPr>
          <w:p>
            <w:pPr>
              <w:pStyle w:val="Compact"/>
              <w:spacing w:after="20" w:before="20"/>
            </w:pPr>
            <w:r>
              <w:rPr>
                <w:sz w:val="17"/>
              </w:rPr>
              <w:t xml:space="preserve">Official SOFR rate, volume, percentiles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Around 7:00 am CT each business day (can be revised until 1:30 pm CT)</w:t>
            </w:r>
          </w:p>
        </w:tc>
        <w:tc>
          <w:tcPr>
            <w:tcW w:w="2438" w:type="dxa"/>
          </w:tcPr>
          <w:p>
            <w:pPr>
              <w:pStyle w:val="Compact"/>
              <w:spacing w:after="20" w:before="20"/>
            </w:pPr>
            <w:r>
              <w:rPr>
                <w:sz w:val="17"/>
              </w:rPr>
              <w:t xml:space="preserve">Official overnight SOFR</w:t>
            </w:r>
          </w:p>
        </w:tc>
        <w:tc>
          <w:tcPr>
            <w:tcW w:w="2438" w:type="dxa"/>
          </w:tcPr>
          <w:p>
            <w:pPr>
              <w:pStyle w:val="Compact"/>
              <w:spacing w:after="20" w:before="20"/>
            </w:pPr>
            <w:hyperlink r:id="rId21">
              <w:r>
                <w:rPr>
                  <w:rStyle w:val="Hyperlink"/>
                  <w:sz w:val="17"/>
                </w:rPr>
                <w:t xml:space="preserve">newyorkfed.org – SOFR</w:t>
              </w:r>
            </w:hyperlink>
          </w:p>
        </w:tc>
      </w:tr>
      <w:tr>
        <w:trPr>
          <w:cantSplit/>
        </w:trPr>
        <w:tc>
          <w:tcPr>
            <w:tcW w:w="2438" w:type="dxa"/>
            <w:shd w:val="clear" w:color="auto" w:fill="EEF2F7"/>
          </w:tcPr>
          <w:p>
            <w:pPr>
              <w:pStyle w:val="Compact"/>
              <w:spacing w:after="20" w:before="20"/>
            </w:pPr>
            <w:r>
              <w:rPr>
                <w:sz w:val="17"/>
              </w:rPr>
              <w:t xml:space="preserve">NY Fed SOFR Averages &amp; Index</w:t>
            </w:r>
          </w:p>
        </w:tc>
        <w:tc>
          <w:tcPr>
            <w:tcW w:w="3485" w:type="dxa"/>
            <w:shd w:val="clear" w:color="auto" w:fill="EEF2F7"/>
          </w:tcPr>
          <w:p>
            <w:pPr>
              <w:pStyle w:val="Compact"/>
              <w:spacing w:after="20" w:before="20"/>
            </w:pPr>
            <w:r>
              <w:rPr>
                <w:sz w:val="17"/>
              </w:rPr>
              <w:t xml:space="preserve">30-, 90-, 180-day compounded averages; SOFR Index</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Shortly after the SOFR release</w:t>
            </w:r>
          </w:p>
        </w:tc>
        <w:tc>
          <w:tcPr>
            <w:tcW w:w="2438" w:type="dxa"/>
            <w:shd w:val="clear" w:color="auto" w:fill="EEF2F7"/>
          </w:tcPr>
          <w:p>
            <w:pPr>
              <w:pStyle w:val="Compact"/>
              <w:spacing w:after="20" w:before="20"/>
            </w:pPr>
            <w:r>
              <w:rPr>
                <w:sz w:val="17"/>
              </w:rPr>
              <w:t xml:space="preserve">CRT coupon math (30-day average SOFR)</w:t>
            </w:r>
          </w:p>
        </w:tc>
        <w:tc>
          <w:tcPr>
            <w:tcW w:w="2438" w:type="dxa"/>
            <w:shd w:val="clear" w:color="auto" w:fill="EEF2F7"/>
          </w:tcPr>
          <w:p>
            <w:pPr>
              <w:pStyle w:val="Compact"/>
              <w:spacing w:after="20" w:before="20"/>
            </w:pPr>
            <w:hyperlink r:id="rId22">
              <w:r>
                <w:rPr>
                  <w:rStyle w:val="Hyperlink"/>
                  <w:sz w:val="17"/>
                </w:rPr>
                <w:t xml:space="preserve">newyorkfed.org – SOFR Averages and Index</w:t>
              </w:r>
            </w:hyperlink>
          </w:p>
        </w:tc>
      </w:tr>
      <w:tr>
        <w:trPr>
          <w:cantSplit/>
        </w:trPr>
        <w:tc>
          <w:tcPr>
            <w:tcW w:w="2438" w:type="dxa"/>
          </w:tcPr>
          <w:p>
            <w:pPr>
              <w:pStyle w:val="Compact"/>
              <w:spacing w:after="20" w:before="20"/>
            </w:pPr>
            <w:r>
              <w:rPr>
                <w:sz w:val="17"/>
              </w:rPr>
              <w:t xml:space="preserve">FRED SOFR series</w:t>
            </w:r>
          </w:p>
        </w:tc>
        <w:tc>
          <w:tcPr>
            <w:tcW w:w="3485" w:type="dxa"/>
          </w:tcPr>
          <w:p>
            <w:pPr>
              <w:pStyle w:val="Compact"/>
              <w:spacing w:after="20" w:before="20"/>
            </w:pPr>
            <w:r>
              <w:rPr>
                <w:sz w:val="17"/>
              </w:rPr>
              <w:t xml:space="preserve">SOFR, SOFR30DAYAVG, EFFR, DFEDTARU/DFEDTARL (target range)</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Charting SOFR vs fed funds and target range</w:t>
            </w:r>
          </w:p>
        </w:tc>
        <w:tc>
          <w:tcPr>
            <w:tcW w:w="2438" w:type="dxa"/>
          </w:tcPr>
          <w:p>
            <w:pPr>
              <w:pStyle w:val="Compact"/>
              <w:spacing w:after="20" w:before="20"/>
            </w:pPr>
            <w:hyperlink r:id="rId23">
              <w:r>
                <w:rPr>
                  <w:rStyle w:val="Hyperlink"/>
                  <w:sz w:val="17"/>
                </w:rPr>
                <w:t xml:space="preserve">fred.stlouisfed.org/series/SOFR</w:t>
              </w:r>
            </w:hyperlink>
          </w:p>
        </w:tc>
      </w:tr>
      <w:tr>
        <w:trPr>
          <w:cantSplit/>
        </w:trPr>
        <w:tc>
          <w:tcPr>
            <w:tcW w:w="2438" w:type="dxa"/>
            <w:shd w:val="clear" w:color="auto" w:fill="EEF2F7"/>
          </w:tcPr>
          <w:p>
            <w:pPr>
              <w:pStyle w:val="Compact"/>
              <w:spacing w:after="20" w:before="20"/>
            </w:pPr>
            <w:r>
              <w:rPr>
                <w:sz w:val="17"/>
              </w:rPr>
              <w:t xml:space="preserve">CME Term SOFR</w:t>
            </w:r>
          </w:p>
        </w:tc>
        <w:tc>
          <w:tcPr>
            <w:tcW w:w="3485" w:type="dxa"/>
            <w:shd w:val="clear" w:color="auto" w:fill="EEF2F7"/>
          </w:tcPr>
          <w:p>
            <w:pPr>
              <w:pStyle w:val="Compact"/>
              <w:spacing w:after="20" w:before="20"/>
            </w:pPr>
            <w:r>
              <w:rPr>
                <w:sz w:val="17"/>
              </w:rPr>
              <w:t xml:space="preserve">1M/3M/6M/12M forward-looking Term SOFR</w:t>
            </w:r>
          </w:p>
        </w:tc>
        <w:tc>
          <w:tcPr>
            <w:tcW w:w="1394" w:type="dxa"/>
            <w:shd w:val="clear" w:color="auto" w:fill="EEF2F7"/>
          </w:tcPr>
          <w:p>
            <w:pPr>
              <w:pStyle w:val="Compact"/>
              <w:spacing w:after="20" w:before="20"/>
            </w:pPr>
            <w:r>
              <w:rPr>
                <w:sz w:val="17"/>
              </w:rPr>
              <w:t xml:space="preserve">Free to view (license for commercial use)</w:t>
            </w:r>
          </w:p>
        </w:tc>
        <w:tc>
          <w:tcPr>
            <w:tcW w:w="1916" w:type="dxa"/>
            <w:shd w:val="clear" w:color="auto" w:fill="EEF2F7"/>
          </w:tcPr>
          <w:p>
            <w:pPr>
              <w:pStyle w:val="Compact"/>
              <w:spacing w:after="20" w:before="20"/>
            </w:pPr>
            <w:r>
              <w:rPr>
                <w:sz w:val="17"/>
              </w:rPr>
              <w:t xml:space="preserve">Daily</w:t>
            </w:r>
          </w:p>
        </w:tc>
        <w:tc>
          <w:tcPr>
            <w:tcW w:w="2438" w:type="dxa"/>
            <w:shd w:val="clear" w:color="auto" w:fill="EEF2F7"/>
          </w:tcPr>
          <w:p>
            <w:pPr>
              <w:pStyle w:val="Compact"/>
              <w:spacing w:after="20" w:before="20"/>
            </w:pPr>
            <w:r>
              <w:rPr>
                <w:sz w:val="17"/>
              </w:rPr>
              <w:t xml:space="preserve">Loan/warehouse benchmarks</w:t>
            </w:r>
          </w:p>
        </w:tc>
        <w:tc>
          <w:tcPr>
            <w:tcW w:w="2438" w:type="dxa"/>
            <w:shd w:val="clear" w:color="auto" w:fill="EEF2F7"/>
          </w:tcPr>
          <w:p>
            <w:pPr>
              <w:pStyle w:val="Compact"/>
              <w:spacing w:after="20" w:before="20"/>
            </w:pPr>
            <w:hyperlink r:id="rId24">
              <w:r>
                <w:rPr>
                  <w:rStyle w:val="Hyperlink"/>
                  <w:sz w:val="17"/>
                </w:rPr>
                <w:t xml:space="preserve">cmegroup.com – Term SOFR</w:t>
              </w:r>
            </w:hyperlink>
          </w:p>
        </w:tc>
      </w:tr>
      <w:tr>
        <w:trPr>
          <w:cantSplit/>
        </w:trPr>
        <w:tc>
          <w:tcPr>
            <w:tcW w:w="2438" w:type="dxa"/>
          </w:tcPr>
          <w:p>
            <w:pPr>
              <w:pStyle w:val="Compact"/>
              <w:spacing w:after="20" w:before="20"/>
            </w:pPr>
            <w:r>
              <w:rPr>
                <w:sz w:val="17"/>
              </w:rPr>
              <w:t xml:space="preserve">Chatham Financial market rates</w:t>
            </w:r>
          </w:p>
        </w:tc>
        <w:tc>
          <w:tcPr>
            <w:tcW w:w="3485" w:type="dxa"/>
          </w:tcPr>
          <w:p>
            <w:pPr>
              <w:pStyle w:val="Compact"/>
              <w:spacing w:after="20" w:before="20"/>
            </w:pPr>
            <w:r>
              <w:rPr>
                <w:sz w:val="17"/>
              </w:rPr>
              <w:t xml:space="preserve">Swap rates, SOFR forward curve, Treasury rates (free display)</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Quick free swap-rate and forward-curve check</w:t>
            </w:r>
          </w:p>
        </w:tc>
        <w:tc>
          <w:tcPr>
            <w:tcW w:w="2438" w:type="dxa"/>
          </w:tcPr>
          <w:p>
            <w:pPr>
              <w:pStyle w:val="Compact"/>
              <w:spacing w:after="20" w:before="20"/>
            </w:pPr>
            <w:hyperlink r:id="rId25">
              <w:r>
                <w:rPr>
                  <w:rStyle w:val="Hyperlink"/>
                  <w:sz w:val="17"/>
                </w:rPr>
                <w:t xml:space="preserve">chathamfinancial.com – US market rates</w:t>
              </w:r>
            </w:hyperlink>
          </w:p>
        </w:tc>
      </w:tr>
      <w:tr>
        <w:trPr>
          <w:cantSplit/>
        </w:trPr>
        <w:tc>
          <w:tcPr>
            <w:tcW w:w="2438" w:type="dxa"/>
            <w:shd w:val="clear" w:color="auto" w:fill="EEF2F7"/>
          </w:tcPr>
          <w:p>
            <w:pPr>
              <w:pStyle w:val="Compact"/>
              <w:spacing w:after="20" w:before="20"/>
            </w:pPr>
            <w:r>
              <w:rPr>
                <w:sz w:val="17"/>
              </w:rPr>
              <w:t xml:space="preserve">Pensford forward curve</w:t>
            </w:r>
          </w:p>
        </w:tc>
        <w:tc>
          <w:tcPr>
            <w:tcW w:w="3485" w:type="dxa"/>
            <w:shd w:val="clear" w:color="auto" w:fill="EEF2F7"/>
          </w:tcPr>
          <w:p>
            <w:pPr>
              <w:pStyle w:val="Compact"/>
              <w:spacing w:after="20" w:before="20"/>
            </w:pPr>
            <w:r>
              <w:rPr>
                <w:sz w:val="17"/>
              </w:rPr>
              <w:t xml:space="preserve">SOFR forward curve and rate-cap context</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Daily</w:t>
            </w:r>
          </w:p>
        </w:tc>
        <w:tc>
          <w:tcPr>
            <w:tcW w:w="2438" w:type="dxa"/>
            <w:shd w:val="clear" w:color="auto" w:fill="EEF2F7"/>
          </w:tcPr>
          <w:p>
            <w:pPr>
              <w:pStyle w:val="Compact"/>
              <w:spacing w:after="20" w:before="20"/>
            </w:pPr>
            <w:r>
              <w:rPr>
                <w:sz w:val="17"/>
              </w:rPr>
              <w:t xml:space="preserve">Quick forward SOFR path</w:t>
            </w:r>
          </w:p>
        </w:tc>
        <w:tc>
          <w:tcPr>
            <w:tcW w:w="2438" w:type="dxa"/>
            <w:shd w:val="clear" w:color="auto" w:fill="EEF2F7"/>
          </w:tcPr>
          <w:p>
            <w:pPr>
              <w:pStyle w:val="Compact"/>
              <w:spacing w:after="20" w:before="20"/>
            </w:pPr>
            <w:hyperlink r:id="rId26">
              <w:r>
                <w:rPr>
                  <w:rStyle w:val="Hyperlink"/>
                  <w:sz w:val="17"/>
                </w:rPr>
                <w:t xml:space="preserve">pensford.com/forward-curve</w:t>
              </w:r>
            </w:hyperlink>
          </w:p>
        </w:tc>
      </w:tr>
      <w:tr>
        <w:trPr>
          <w:cantSplit/>
        </w:trPr>
        <w:tc>
          <w:tcPr>
            <w:tcW w:w="2438" w:type="dxa"/>
          </w:tcPr>
          <w:p>
            <w:pPr>
              <w:pStyle w:val="Compact"/>
              <w:spacing w:after="20" w:before="20"/>
            </w:pPr>
            <w:r>
              <w:rPr>
                <w:sz w:val="17"/>
              </w:rPr>
              <w:t xml:space="preserve">Bloomberg (SWPM, curve screens)</w:t>
            </w:r>
          </w:p>
        </w:tc>
        <w:tc>
          <w:tcPr>
            <w:tcW w:w="3485" w:type="dxa"/>
          </w:tcPr>
          <w:p>
            <w:pPr>
              <w:pStyle w:val="Compact"/>
              <w:spacing w:after="20" w:before="20"/>
            </w:pPr>
            <w:r>
              <w:rPr>
                <w:sz w:val="17"/>
              </w:rPr>
              <w:t xml:space="preserve">Live swap curve, swap spreads, forwards</w:t>
            </w:r>
          </w:p>
        </w:tc>
        <w:tc>
          <w:tcPr>
            <w:tcW w:w="1394" w:type="dxa"/>
          </w:tcPr>
          <w:p>
            <w:pPr>
              <w:pStyle w:val="Compact"/>
              <w:spacing w:after="20" w:before="20"/>
            </w:pPr>
            <w:r>
              <w:rPr>
                <w:sz w:val="17"/>
              </w:rPr>
              <w:t xml:space="preserve">Paid – Must-request</w:t>
            </w:r>
          </w:p>
        </w:tc>
        <w:tc>
          <w:tcPr>
            <w:tcW w:w="1916" w:type="dxa"/>
          </w:tcPr>
          <w:p>
            <w:pPr>
              <w:pStyle w:val="Compact"/>
              <w:spacing w:after="20" w:before="20"/>
            </w:pPr>
            <w:r>
              <w:rPr>
                <w:sz w:val="17"/>
              </w:rPr>
              <w:t xml:space="preserve">Real time</w:t>
            </w:r>
          </w:p>
        </w:tc>
        <w:tc>
          <w:tcPr>
            <w:tcW w:w="2438" w:type="dxa"/>
          </w:tcPr>
          <w:p>
            <w:pPr>
              <w:pStyle w:val="Compact"/>
              <w:spacing w:after="20" w:before="20"/>
            </w:pPr>
            <w:r>
              <w:rPr>
                <w:sz w:val="17"/>
              </w:rPr>
              <w:t xml:space="preserve">Precise swap/hedge levels</w:t>
            </w:r>
          </w:p>
        </w:tc>
        <w:tc>
          <w:tcPr>
            <w:tcW w:w="2438" w:type="dxa"/>
          </w:tcPr>
          <w:p>
            <w:pPr>
              <w:pStyle w:val="Compact"/>
              <w:spacing w:after="20" w:before="20"/>
            </w:pPr>
            <w:hyperlink r:id="rId19">
              <w:r>
                <w:rPr>
                  <w:rStyle w:val="Hyperlink"/>
                  <w:sz w:val="17"/>
                </w:rPr>
                <w:t xml:space="preserve">bloomberg.com/professional</w:t>
              </w:r>
            </w:hyperlink>
          </w:p>
        </w:tc>
      </w:tr>
    </w:tbl>
    <w:p>
      <w:pPr>
        <w:pStyle w:val="BodyText"/>
      </w:pPr>
      <w:r>
        <w:t xml:space="preserve">Free swap-rate pages (Chatham, Pensford) are fine for context (</w:t>
      </w:r>
      <w:r>
        <w:t xml:space="preserve">“the 5-year swap is roughly X”</w:t>
      </w:r>
      <w:r>
        <w:t xml:space="preserve">) but should not be used to mark positions. For anything that goes into a price or a hedge ratio, use Bloomberg or dealer runs.</w:t>
      </w:r>
    </w:p>
    <w:bookmarkEnd w:id="27"/>
    <w:bookmarkStart w:id="35" w:name="the-fed-path"/>
    <w:p>
      <w:pPr>
        <w:pStyle w:val="Heading2"/>
      </w:pPr>
      <w:r>
        <w:t xml:space="preserve">2.3 The Fed path</w:t>
      </w:r>
    </w:p>
    <w:p>
      <w:pPr>
        <w:pStyle w:val="TableCaption"/>
      </w:pPr>
      <w:r>
        <w:t xml:space="preserve">Fed policy sources.</w:t>
      </w:r>
    </w:p>
    <w:tbl>
      <w:tblPr>
        <w:tblStyle w:val="Table"/>
        <w:tblLayout w:type="fixed"/>
        <w:tblLook w:firstRow="1" w:lastRow="0" w:firstColumn="0" w:lastColumn="0" w:noHBand="0" w:noVBand="0" w:val="0020"/>
        <w:tblCaption w:val="Fed policy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CME FedWatch</w:t>
            </w:r>
          </w:p>
        </w:tc>
        <w:tc>
          <w:tcPr>
            <w:tcW w:w="3485" w:type="dxa"/>
          </w:tcPr>
          <w:p>
            <w:pPr>
              <w:pStyle w:val="Compact"/>
              <w:spacing w:after="20" w:before="20"/>
            </w:pPr>
            <w:r>
              <w:rPr>
                <w:sz w:val="17"/>
              </w:rPr>
              <w:t xml:space="preserve">Market-implied probabilities for each FOMC meeting from fed funds futures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Real time during futures trading</w:t>
            </w:r>
          </w:p>
        </w:tc>
        <w:tc>
          <w:tcPr>
            <w:tcW w:w="2438" w:type="dxa"/>
          </w:tcPr>
          <w:p>
            <w:pPr>
              <w:pStyle w:val="Compact"/>
              <w:spacing w:after="20" w:before="20"/>
            </w:pPr>
            <w:r>
              <w:rPr>
                <w:sz w:val="17"/>
              </w:rPr>
              <w:t xml:space="preserve">“What’s priced for the next meeting?”</w:t>
            </w:r>
          </w:p>
        </w:tc>
        <w:tc>
          <w:tcPr>
            <w:tcW w:w="2438" w:type="dxa"/>
          </w:tcPr>
          <w:p>
            <w:pPr>
              <w:pStyle w:val="Compact"/>
              <w:spacing w:after="20" w:before="20"/>
            </w:pPr>
            <w:hyperlink r:id="rId28">
              <w:r>
                <w:rPr>
                  <w:rStyle w:val="Hyperlink"/>
                  <w:sz w:val="17"/>
                </w:rPr>
                <w:t xml:space="preserve">cmegroup.com – FedWatch</w:t>
              </w:r>
            </w:hyperlink>
          </w:p>
        </w:tc>
      </w:tr>
      <w:tr>
        <w:trPr>
          <w:cantSplit/>
        </w:trPr>
        <w:tc>
          <w:tcPr>
            <w:tcW w:w="2438" w:type="dxa"/>
            <w:shd w:val="clear" w:color="auto" w:fill="EEF2F7"/>
          </w:tcPr>
          <w:p>
            <w:pPr>
              <w:pStyle w:val="Compact"/>
              <w:spacing w:after="20" w:before="20"/>
            </w:pPr>
            <w:r>
              <w:rPr>
                <w:sz w:val="17"/>
              </w:rPr>
              <w:t xml:space="preserve">FOMC meeting calendar, statements, minutes</w:t>
            </w:r>
          </w:p>
        </w:tc>
        <w:tc>
          <w:tcPr>
            <w:tcW w:w="3485" w:type="dxa"/>
            <w:shd w:val="clear" w:color="auto" w:fill="EEF2F7"/>
          </w:tcPr>
          <w:p>
            <w:pPr>
              <w:pStyle w:val="Compact"/>
              <w:spacing w:after="20" w:before="20"/>
            </w:pPr>
            <w:r>
              <w:rPr>
                <w:sz w:val="17"/>
              </w:rPr>
              <w:t xml:space="preserve">Meeting dates, statements (1:00 pm CT on decision day), minutes (1:00 pm CT, about three weeks after)</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Per schedule (8 meetings/year)</w:t>
            </w:r>
          </w:p>
        </w:tc>
        <w:tc>
          <w:tcPr>
            <w:tcW w:w="2438" w:type="dxa"/>
            <w:shd w:val="clear" w:color="auto" w:fill="EEF2F7"/>
          </w:tcPr>
          <w:p>
            <w:pPr>
              <w:pStyle w:val="Compact"/>
              <w:spacing w:after="20" w:before="20"/>
            </w:pPr>
            <w:r>
              <w:rPr>
                <w:sz w:val="17"/>
              </w:rPr>
              <w:t xml:space="preserve">Knowing when event risk hits</w:t>
            </w:r>
          </w:p>
        </w:tc>
        <w:tc>
          <w:tcPr>
            <w:tcW w:w="2438" w:type="dxa"/>
            <w:shd w:val="clear" w:color="auto" w:fill="EEF2F7"/>
          </w:tcPr>
          <w:p>
            <w:pPr>
              <w:pStyle w:val="Compact"/>
              <w:spacing w:after="20" w:before="20"/>
            </w:pPr>
            <w:hyperlink r:id="rId29">
              <w:r>
                <w:rPr>
                  <w:rStyle w:val="Hyperlink"/>
                  <w:sz w:val="17"/>
                </w:rPr>
                <w:t xml:space="preserve">federalreserve.gov – FOMC calendars</w:t>
              </w:r>
            </w:hyperlink>
          </w:p>
        </w:tc>
      </w:tr>
      <w:tr>
        <w:trPr>
          <w:cantSplit/>
        </w:trPr>
        <w:tc>
          <w:tcPr>
            <w:tcW w:w="2438" w:type="dxa"/>
          </w:tcPr>
          <w:p>
            <w:pPr>
              <w:pStyle w:val="Compact"/>
              <w:spacing w:after="20" w:before="20"/>
            </w:pPr>
            <w:r>
              <w:rPr>
                <w:sz w:val="17"/>
              </w:rPr>
              <w:t xml:space="preserve">Summary of Economic Projections (dot plot)</w:t>
            </w:r>
          </w:p>
        </w:tc>
        <w:tc>
          <w:tcPr>
            <w:tcW w:w="3485" w:type="dxa"/>
          </w:tcPr>
          <w:p>
            <w:pPr>
              <w:pStyle w:val="Compact"/>
              <w:spacing w:after="20" w:before="20"/>
            </w:pPr>
            <w:r>
              <w:rPr>
                <w:sz w:val="17"/>
              </w:rPr>
              <w:t xml:space="preserve">Median and dispersion of FOMC participants’ rate, growth, inflation, unemployment projections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Quarterly (March, June, September, December meetings)</w:t>
            </w:r>
          </w:p>
        </w:tc>
        <w:tc>
          <w:tcPr>
            <w:tcW w:w="2438" w:type="dxa"/>
          </w:tcPr>
          <w:p>
            <w:pPr>
              <w:pStyle w:val="Compact"/>
              <w:spacing w:after="20" w:before="20"/>
            </w:pPr>
            <w:r>
              <w:rPr>
                <w:sz w:val="17"/>
              </w:rPr>
              <w:t xml:space="preserve">“What does the Fed itself expect?”</w:t>
            </w:r>
          </w:p>
        </w:tc>
        <w:tc>
          <w:tcPr>
            <w:tcW w:w="2438" w:type="dxa"/>
          </w:tcPr>
          <w:p>
            <w:pPr>
              <w:pStyle w:val="Compact"/>
              <w:spacing w:after="20" w:before="20"/>
            </w:pPr>
            <w:hyperlink r:id="rId30">
              <w:r>
                <w:rPr>
                  <w:rStyle w:val="Hyperlink"/>
                  <w:sz w:val="17"/>
                </w:rPr>
                <w:t xml:space="preserve">Guide to the SEP</w:t>
              </w:r>
            </w:hyperlink>
            <w:r>
              <w:rPr>
                <w:sz w:val="17"/>
              </w:rPr>
              <w:t xml:space="preserve">; latest:</w:t>
            </w:r>
            <w:r>
              <w:rPr>
                <w:sz w:val="17"/>
              </w:rPr>
              <w:t xml:space="preserve"> </w:t>
            </w:r>
            <w:hyperlink r:id="rId31">
              <w:r>
                <w:rPr>
                  <w:rStyle w:val="Hyperlink"/>
                  <w:sz w:val="17"/>
                </w:rPr>
                <w:t xml:space="preserve">Sept 16, 2026 SEP</w:t>
              </w:r>
            </w:hyperlink>
          </w:p>
        </w:tc>
      </w:tr>
      <w:tr>
        <w:trPr>
          <w:cantSplit/>
        </w:trPr>
        <w:tc>
          <w:tcPr>
            <w:tcW w:w="2438" w:type="dxa"/>
            <w:shd w:val="clear" w:color="auto" w:fill="EEF2F7"/>
          </w:tcPr>
          <w:p>
            <w:pPr>
              <w:pStyle w:val="Compact"/>
              <w:spacing w:after="20" w:before="20"/>
            </w:pPr>
            <w:r>
              <w:rPr>
                <w:sz w:val="17"/>
              </w:rPr>
              <w:t xml:space="preserve">Fed events calendar</w:t>
            </w:r>
          </w:p>
        </w:tc>
        <w:tc>
          <w:tcPr>
            <w:tcW w:w="3485" w:type="dxa"/>
            <w:shd w:val="clear" w:color="auto" w:fill="EEF2F7"/>
          </w:tcPr>
          <w:p>
            <w:pPr>
              <w:pStyle w:val="Compact"/>
              <w:spacing w:after="20" w:before="20"/>
            </w:pPr>
            <w:r>
              <w:rPr>
                <w:sz w:val="17"/>
              </w:rPr>
              <w:t xml:space="preserve">Speeches, testimony by Board members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Updated continuously</w:t>
            </w:r>
          </w:p>
        </w:tc>
        <w:tc>
          <w:tcPr>
            <w:tcW w:w="2438" w:type="dxa"/>
            <w:shd w:val="clear" w:color="auto" w:fill="EEF2F7"/>
          </w:tcPr>
          <w:p>
            <w:pPr>
              <w:pStyle w:val="Compact"/>
              <w:spacing w:after="20" w:before="20"/>
            </w:pPr>
            <w:r>
              <w:rPr>
                <w:sz w:val="17"/>
              </w:rPr>
              <w:t xml:space="preserve">Knowing which Fed speakers are on today</w:t>
            </w:r>
          </w:p>
        </w:tc>
        <w:tc>
          <w:tcPr>
            <w:tcW w:w="2438" w:type="dxa"/>
            <w:shd w:val="clear" w:color="auto" w:fill="EEF2F7"/>
          </w:tcPr>
          <w:p>
            <w:pPr>
              <w:pStyle w:val="Compact"/>
              <w:spacing w:after="20" w:before="20"/>
            </w:pPr>
            <w:hyperlink r:id="rId32">
              <w:r>
                <w:rPr>
                  <w:rStyle w:val="Hyperlink"/>
                  <w:sz w:val="17"/>
                </w:rPr>
                <w:t xml:space="preserve">federalreserve.gov – Calendar</w:t>
              </w:r>
            </w:hyperlink>
          </w:p>
        </w:tc>
      </w:tr>
      <w:tr>
        <w:trPr>
          <w:cantSplit/>
        </w:trPr>
        <w:tc>
          <w:tcPr>
            <w:tcW w:w="2438" w:type="dxa"/>
          </w:tcPr>
          <w:p>
            <w:pPr>
              <w:pStyle w:val="Compact"/>
              <w:spacing w:after="20" w:before="20"/>
            </w:pPr>
            <w:r>
              <w:rPr>
                <w:sz w:val="17"/>
              </w:rPr>
              <w:t xml:space="preserve">Nick Timiraos (WSJ chief economics correspondent)</w:t>
            </w:r>
          </w:p>
        </w:tc>
        <w:tc>
          <w:tcPr>
            <w:tcW w:w="3485" w:type="dxa"/>
          </w:tcPr>
          <w:p>
            <w:pPr>
              <w:pStyle w:val="Compact"/>
              <w:spacing w:after="20" w:before="20"/>
            </w:pPr>
            <w:r>
              <w:rPr>
                <w:sz w:val="17"/>
              </w:rPr>
              <w:t xml:space="preserve">Widely read reporting on Fed thinking</w:t>
            </w:r>
          </w:p>
        </w:tc>
        <w:tc>
          <w:tcPr>
            <w:tcW w:w="1394" w:type="dxa"/>
          </w:tcPr>
          <w:p>
            <w:pPr>
              <w:pStyle w:val="Compact"/>
              <w:spacing w:after="20" w:before="20"/>
            </w:pPr>
            <w:r>
              <w:rPr>
                <w:sz w:val="17"/>
              </w:rPr>
              <w:t xml:space="preserve">WSJ Paid (X posts free)</w:t>
            </w:r>
          </w:p>
        </w:tc>
        <w:tc>
          <w:tcPr>
            <w:tcW w:w="1916" w:type="dxa"/>
          </w:tcPr>
          <w:p>
            <w:pPr>
              <w:pStyle w:val="Compact"/>
              <w:spacing w:after="20" w:before="20"/>
            </w:pPr>
            <w:r>
              <w:rPr>
                <w:sz w:val="17"/>
              </w:rPr>
              <w:t xml:space="preserve">Ad hoc, heaviest around FOMC</w:t>
            </w:r>
          </w:p>
        </w:tc>
        <w:tc>
          <w:tcPr>
            <w:tcW w:w="2438" w:type="dxa"/>
          </w:tcPr>
          <w:p>
            <w:pPr>
              <w:pStyle w:val="Compact"/>
              <w:spacing w:after="20" w:before="20"/>
            </w:pPr>
            <w:r>
              <w:rPr>
                <w:sz w:val="17"/>
              </w:rPr>
              <w:t xml:space="preserve">Reading the Fed’s likely message before meetings</w:t>
            </w:r>
          </w:p>
        </w:tc>
        <w:tc>
          <w:tcPr>
            <w:tcW w:w="2438" w:type="dxa"/>
          </w:tcPr>
          <w:p>
            <w:pPr>
              <w:pStyle w:val="Compact"/>
              <w:spacing w:after="20" w:before="20"/>
            </w:pPr>
            <w:hyperlink r:id="rId33">
              <w:r>
                <w:rPr>
                  <w:rStyle w:val="Hyperlink"/>
                  <w:sz w:val="17"/>
                </w:rPr>
                <w:t xml:space="preserve">x.com/NickTimiraos</w:t>
              </w:r>
            </w:hyperlink>
            <w:r>
              <w:rPr>
                <w:sz w:val="17"/>
              </w:rPr>
              <w:t xml:space="preserve">;</w:t>
            </w:r>
            <w:r>
              <w:rPr>
                <w:sz w:val="17"/>
              </w:rPr>
              <w:t xml:space="preserve"> </w:t>
            </w:r>
            <w:hyperlink r:id="rId34">
              <w:r>
                <w:rPr>
                  <w:rStyle w:val="Hyperlink"/>
                  <w:sz w:val="17"/>
                </w:rPr>
                <w:t xml:space="preserve">wsj.com</w:t>
              </w:r>
            </w:hyperlink>
          </w:p>
        </w:tc>
      </w:tr>
      <w:tr>
        <w:trPr>
          <w:cantSplit/>
        </w:trPr>
        <w:tc>
          <w:tcPr>
            <w:tcW w:w="2438" w:type="dxa"/>
            <w:shd w:val="clear" w:color="auto" w:fill="EEF2F7"/>
          </w:tcPr>
          <w:p>
            <w:pPr>
              <w:pStyle w:val="Compact"/>
              <w:spacing w:after="20" w:before="20"/>
            </w:pPr>
            <w:r>
              <w:rPr>
                <w:sz w:val="17"/>
              </w:rPr>
              <w:t xml:space="preserve">Bloomberg WIRP</w:t>
            </w:r>
          </w:p>
        </w:tc>
        <w:tc>
          <w:tcPr>
            <w:tcW w:w="3485" w:type="dxa"/>
            <w:shd w:val="clear" w:color="auto" w:fill="EEF2F7"/>
          </w:tcPr>
          <w:p>
            <w:pPr>
              <w:pStyle w:val="Compact"/>
              <w:spacing w:after="20" w:before="20"/>
            </w:pPr>
            <w:r>
              <w:rPr>
                <w:sz w:val="17"/>
              </w:rPr>
              <w:t xml:space="preserve">World interest rate probabilities (implied policy path)</w:t>
            </w:r>
          </w:p>
        </w:tc>
        <w:tc>
          <w:tcPr>
            <w:tcW w:w="1394" w:type="dxa"/>
            <w:shd w:val="clear" w:color="auto" w:fill="EEF2F7"/>
          </w:tcPr>
          <w:p>
            <w:pPr>
              <w:pStyle w:val="Compact"/>
              <w:spacing w:after="20" w:before="20"/>
            </w:pPr>
            <w:r>
              <w:rPr>
                <w:sz w:val="17"/>
              </w:rPr>
              <w:t xml:space="preserve">Paid – Must-request</w:t>
            </w:r>
          </w:p>
        </w:tc>
        <w:tc>
          <w:tcPr>
            <w:tcW w:w="1916" w:type="dxa"/>
            <w:shd w:val="clear" w:color="auto" w:fill="EEF2F7"/>
          </w:tcPr>
          <w:p>
            <w:pPr>
              <w:pStyle w:val="Compact"/>
              <w:spacing w:after="20" w:before="20"/>
            </w:pPr>
            <w:r>
              <w:rPr>
                <w:sz w:val="17"/>
              </w:rPr>
              <w:t xml:space="preserve">Real time</w:t>
            </w:r>
          </w:p>
        </w:tc>
        <w:tc>
          <w:tcPr>
            <w:tcW w:w="2438" w:type="dxa"/>
            <w:shd w:val="clear" w:color="auto" w:fill="EEF2F7"/>
          </w:tcPr>
          <w:p>
            <w:pPr>
              <w:pStyle w:val="Compact"/>
              <w:spacing w:after="20" w:before="20"/>
            </w:pPr>
            <w:r>
              <w:rPr>
                <w:sz w:val="17"/>
              </w:rPr>
              <w:t xml:space="preserve">Precise implied path</w:t>
            </w:r>
          </w:p>
        </w:tc>
        <w:tc>
          <w:tcPr>
            <w:tcW w:w="2438" w:type="dxa"/>
            <w:shd w:val="clear" w:color="auto" w:fill="EEF2F7"/>
          </w:tcPr>
          <w:p>
            <w:pPr>
              <w:pStyle w:val="Compact"/>
              <w:spacing w:after="20" w:before="20"/>
            </w:pPr>
            <w:hyperlink r:id="rId19">
              <w:r>
                <w:rPr>
                  <w:rStyle w:val="Hyperlink"/>
                  <w:sz w:val="17"/>
                </w:rPr>
                <w:t xml:space="preserve">bloomberg.com/professional</w:t>
              </w:r>
            </w:hyperlink>
          </w:p>
        </w:tc>
      </w:tr>
    </w:tbl>
    <w:bookmarkEnd w:id="35"/>
    <w:bookmarkStart w:id="43" w:name="X5f8951db486ff9e69da1b23bdf4bf589fb1c677"/>
    <w:p>
      <w:pPr>
        <w:pStyle w:val="Heading2"/>
      </w:pPr>
      <w:r>
        <w:t xml:space="preserve">2.4 Rate volatility and inflation expectations</w:t>
      </w:r>
    </w:p>
    <w:p>
      <w:pPr>
        <w:pStyle w:val="TableCaption"/>
      </w:pPr>
      <w:r>
        <w:t xml:space="preserve">Volatility and inflation-expectation sources.</w:t>
      </w:r>
    </w:p>
    <w:tbl>
      <w:tblPr>
        <w:tblStyle w:val="Table"/>
        <w:tblLayout w:type="fixed"/>
        <w:tblLook w:firstRow="1" w:lastRow="0" w:firstColumn="0" w:lastColumn="0" w:noHBand="0" w:noVBand="0" w:val="0020"/>
        <w:tblCaption w:val="Volatility and inflation-expectation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ICE BofA MOVE Index</w:t>
            </w:r>
          </w:p>
        </w:tc>
        <w:tc>
          <w:tcPr>
            <w:tcW w:w="3485" w:type="dxa"/>
          </w:tcPr>
          <w:p>
            <w:pPr>
              <w:pStyle w:val="Compact"/>
              <w:spacing w:after="20" w:before="20"/>
            </w:pPr>
            <w:r>
              <w:rPr>
                <w:sz w:val="17"/>
              </w:rPr>
              <w:t xml:space="preserve">Treasury implied volatility index (the rates</w:t>
            </w:r>
            <w:r>
              <w:rPr>
                <w:sz w:val="17"/>
              </w:rPr>
              <w:t xml:space="preserve"> </w:t>
            </w:r>
            <w:r>
              <w:rPr>
                <w:sz w:val="17"/>
              </w:rPr>
              <w:t xml:space="preserve">“VIX”</w:t>
            </w:r>
            <w:r>
              <w:rPr>
                <w:sz w:val="17"/>
              </w:rPr>
              <w:t xml:space="preserve">)</w:t>
            </w:r>
          </w:p>
        </w:tc>
        <w:tc>
          <w:tcPr>
            <w:tcW w:w="1394" w:type="dxa"/>
          </w:tcPr>
          <w:p>
            <w:pPr>
              <w:pStyle w:val="Compact"/>
              <w:spacing w:after="20" w:before="20"/>
            </w:pPr>
            <w:r>
              <w:rPr>
                <w:sz w:val="17"/>
              </w:rPr>
              <w:t xml:space="preserve">Paid for full data (quoted on Bloomberg as MOVE Index; often shown on free charting sites)</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Explaining why MBS spreads widened/tightened (MBS are short volatility)</w:t>
            </w:r>
          </w:p>
        </w:tc>
        <w:tc>
          <w:tcPr>
            <w:tcW w:w="2438" w:type="dxa"/>
          </w:tcPr>
          <w:p>
            <w:pPr>
              <w:pStyle w:val="Compact"/>
              <w:spacing w:after="20" w:before="20"/>
            </w:pPr>
            <w:hyperlink r:id="rId36">
              <w:r>
                <w:rPr>
                  <w:rStyle w:val="Hyperlink"/>
                  <w:sz w:val="17"/>
                </w:rPr>
                <w:t xml:space="preserve">ice.com – fixed income indices</w:t>
              </w:r>
            </w:hyperlink>
          </w:p>
        </w:tc>
      </w:tr>
      <w:tr>
        <w:trPr>
          <w:cantSplit/>
        </w:trPr>
        <w:tc>
          <w:tcPr>
            <w:tcW w:w="2438" w:type="dxa"/>
            <w:shd w:val="clear" w:color="auto" w:fill="EEF2F7"/>
          </w:tcPr>
          <w:p>
            <w:pPr>
              <w:pStyle w:val="Compact"/>
              <w:spacing w:after="20" w:before="20"/>
            </w:pPr>
            <w:r>
              <w:rPr>
                <w:sz w:val="17"/>
              </w:rPr>
              <w:t xml:space="preserve">Cboe VIX / FRED VIXCLS</w:t>
            </w:r>
          </w:p>
        </w:tc>
        <w:tc>
          <w:tcPr>
            <w:tcW w:w="3485" w:type="dxa"/>
            <w:shd w:val="clear" w:color="auto" w:fill="EEF2F7"/>
          </w:tcPr>
          <w:p>
            <w:pPr>
              <w:pStyle w:val="Compact"/>
              <w:spacing w:after="20" w:before="20"/>
            </w:pPr>
            <w:r>
              <w:rPr>
                <w:sz w:val="17"/>
              </w:rPr>
              <w:t xml:space="preserve">Equity implied volatility</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Daily (FRED next day)</w:t>
            </w:r>
          </w:p>
        </w:tc>
        <w:tc>
          <w:tcPr>
            <w:tcW w:w="2438" w:type="dxa"/>
            <w:shd w:val="clear" w:color="auto" w:fill="EEF2F7"/>
          </w:tcPr>
          <w:p>
            <w:pPr>
              <w:pStyle w:val="Compact"/>
              <w:spacing w:after="20" w:before="20"/>
            </w:pPr>
            <w:r>
              <w:rPr>
                <w:sz w:val="17"/>
              </w:rPr>
              <w:t xml:space="preserve">Risk-sentiment context</w:t>
            </w:r>
          </w:p>
        </w:tc>
        <w:tc>
          <w:tcPr>
            <w:tcW w:w="2438" w:type="dxa"/>
            <w:shd w:val="clear" w:color="auto" w:fill="EEF2F7"/>
          </w:tcPr>
          <w:p>
            <w:pPr>
              <w:pStyle w:val="Compact"/>
              <w:spacing w:after="20" w:before="20"/>
            </w:pPr>
            <w:hyperlink r:id="rId37">
              <w:r>
                <w:rPr>
                  <w:rStyle w:val="Hyperlink"/>
                  <w:sz w:val="17"/>
                </w:rPr>
                <w:t xml:space="preserve">fred.stlouisfed.org/series/VIXCLS</w:t>
              </w:r>
            </w:hyperlink>
            <w:r>
              <w:rPr>
                <w:sz w:val="17"/>
              </w:rPr>
              <w:t xml:space="preserve">;</w:t>
            </w:r>
            <w:r>
              <w:rPr>
                <w:sz w:val="17"/>
              </w:rPr>
              <w:t xml:space="preserve"> </w:t>
            </w:r>
            <w:hyperlink r:id="rId38">
              <w:r>
                <w:rPr>
                  <w:rStyle w:val="Hyperlink"/>
                  <w:sz w:val="17"/>
                </w:rPr>
                <w:t xml:space="preserve">cboe.com – VIX</w:t>
              </w:r>
            </w:hyperlink>
          </w:p>
        </w:tc>
      </w:tr>
      <w:tr>
        <w:trPr>
          <w:cantSplit/>
        </w:trPr>
        <w:tc>
          <w:tcPr>
            <w:tcW w:w="2438" w:type="dxa"/>
          </w:tcPr>
          <w:p>
            <w:pPr>
              <w:pStyle w:val="Compact"/>
              <w:spacing w:after="20" w:before="20"/>
            </w:pPr>
            <w:r>
              <w:rPr>
                <w:sz w:val="17"/>
              </w:rPr>
              <w:t xml:space="preserve">FRED breakevens</w:t>
            </w:r>
          </w:p>
        </w:tc>
        <w:tc>
          <w:tcPr>
            <w:tcW w:w="3485" w:type="dxa"/>
          </w:tcPr>
          <w:p>
            <w:pPr>
              <w:pStyle w:val="Compact"/>
              <w:spacing w:after="20" w:before="20"/>
            </w:pPr>
            <w:r>
              <w:rPr>
                <w:sz w:val="17"/>
              </w:rPr>
              <w:t xml:space="preserve">T5YIE, T10YIE (breakeven inflation), T5YIFR (5y5y forward); DFII10 (10Y TIPS real yield)</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Daily (next business day)</w:t>
            </w:r>
          </w:p>
        </w:tc>
        <w:tc>
          <w:tcPr>
            <w:tcW w:w="2438" w:type="dxa"/>
          </w:tcPr>
          <w:p>
            <w:pPr>
              <w:pStyle w:val="Compact"/>
              <w:spacing w:after="20" w:before="20"/>
            </w:pPr>
            <w:r>
              <w:rPr>
                <w:sz w:val="17"/>
              </w:rPr>
              <w:t xml:space="preserve">“Is the move in 10s real yields or inflation?”</w:t>
            </w:r>
          </w:p>
        </w:tc>
        <w:tc>
          <w:tcPr>
            <w:tcW w:w="2438" w:type="dxa"/>
          </w:tcPr>
          <w:p>
            <w:pPr>
              <w:pStyle w:val="Compact"/>
              <w:spacing w:after="20" w:before="20"/>
            </w:pPr>
            <w:hyperlink r:id="rId39">
              <w:r>
                <w:rPr>
                  <w:rStyle w:val="Hyperlink"/>
                  <w:sz w:val="17"/>
                </w:rPr>
                <w:t xml:space="preserve">fred.stlouisfed.org/series/T10YIE</w:t>
              </w:r>
            </w:hyperlink>
          </w:p>
        </w:tc>
      </w:tr>
      <w:tr>
        <w:trPr>
          <w:cantSplit/>
        </w:trPr>
        <w:tc>
          <w:tcPr>
            <w:tcW w:w="2438" w:type="dxa"/>
            <w:shd w:val="clear" w:color="auto" w:fill="EEF2F7"/>
          </w:tcPr>
          <w:p>
            <w:pPr>
              <w:pStyle w:val="Compact"/>
              <w:spacing w:after="20" w:before="20"/>
            </w:pPr>
            <w:r>
              <w:rPr>
                <w:sz w:val="17"/>
              </w:rPr>
              <w:t xml:space="preserve">Treasury real yield curve</w:t>
            </w:r>
          </w:p>
        </w:tc>
        <w:tc>
          <w:tcPr>
            <w:tcW w:w="3485" w:type="dxa"/>
            <w:shd w:val="clear" w:color="auto" w:fill="EEF2F7"/>
          </w:tcPr>
          <w:p>
            <w:pPr>
              <w:pStyle w:val="Compact"/>
              <w:spacing w:after="20" w:before="20"/>
            </w:pPr>
            <w:r>
              <w:rPr>
                <w:sz w:val="17"/>
              </w:rPr>
              <w:t xml:space="preserve">Official TIPS par real yields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Business days</w:t>
            </w:r>
          </w:p>
        </w:tc>
        <w:tc>
          <w:tcPr>
            <w:tcW w:w="2438" w:type="dxa"/>
            <w:shd w:val="clear" w:color="auto" w:fill="EEF2F7"/>
          </w:tcPr>
          <w:p>
            <w:pPr>
              <w:pStyle w:val="Compact"/>
              <w:spacing w:after="20" w:before="20"/>
            </w:pPr>
            <w:r>
              <w:rPr>
                <w:sz w:val="17"/>
              </w:rPr>
              <w:t xml:space="preserve">Official real-yield citation</w:t>
            </w:r>
          </w:p>
        </w:tc>
        <w:tc>
          <w:tcPr>
            <w:tcW w:w="2438" w:type="dxa"/>
            <w:shd w:val="clear" w:color="auto" w:fill="EEF2F7"/>
          </w:tcPr>
          <w:p>
            <w:pPr>
              <w:pStyle w:val="Compact"/>
              <w:spacing w:after="20" w:before="20"/>
            </w:pPr>
            <w:hyperlink r:id="rId40">
              <w:r>
                <w:rPr>
                  <w:rStyle w:val="Hyperlink"/>
                  <w:sz w:val="17"/>
                </w:rPr>
                <w:t xml:space="preserve">home.treasury.gov – Real Yield Curve</w:t>
              </w:r>
            </w:hyperlink>
          </w:p>
        </w:tc>
      </w:tr>
      <w:tr>
        <w:trPr>
          <w:cantSplit/>
        </w:trPr>
        <w:tc>
          <w:tcPr>
            <w:tcW w:w="2438" w:type="dxa"/>
          </w:tcPr>
          <w:p>
            <w:pPr>
              <w:pStyle w:val="Compact"/>
              <w:spacing w:after="20" w:before="20"/>
            </w:pPr>
            <w:r>
              <w:rPr>
                <w:sz w:val="17"/>
              </w:rPr>
              <w:t xml:space="preserve">Cleveland Fed inflation nowcast</w:t>
            </w:r>
          </w:p>
        </w:tc>
        <w:tc>
          <w:tcPr>
            <w:tcW w:w="3485" w:type="dxa"/>
          </w:tcPr>
          <w:p>
            <w:pPr>
              <w:pStyle w:val="Compact"/>
              <w:spacing w:after="20" w:before="20"/>
            </w:pPr>
            <w:r>
              <w:rPr>
                <w:sz w:val="17"/>
              </w:rPr>
              <w:t xml:space="preserve">Daily nowcast of CPI/PCE</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Pre-CPI expectations</w:t>
            </w:r>
          </w:p>
        </w:tc>
        <w:tc>
          <w:tcPr>
            <w:tcW w:w="2438" w:type="dxa"/>
          </w:tcPr>
          <w:p>
            <w:pPr>
              <w:pStyle w:val="Compact"/>
              <w:spacing w:after="20" w:before="20"/>
            </w:pPr>
            <w:hyperlink r:id="rId41">
              <w:r>
                <w:rPr>
                  <w:rStyle w:val="Hyperlink"/>
                  <w:sz w:val="17"/>
                </w:rPr>
                <w:t xml:space="preserve">clevelandfed.org – Inflation Nowcasting</w:t>
              </w:r>
            </w:hyperlink>
          </w:p>
        </w:tc>
      </w:tr>
      <w:tr>
        <w:trPr>
          <w:cantSplit/>
        </w:trPr>
        <w:tc>
          <w:tcPr>
            <w:tcW w:w="2438" w:type="dxa"/>
            <w:shd w:val="clear" w:color="auto" w:fill="EEF2F7"/>
          </w:tcPr>
          <w:p>
            <w:pPr>
              <w:pStyle w:val="Compact"/>
              <w:spacing w:after="20" w:before="20"/>
            </w:pPr>
            <w:r>
              <w:rPr>
                <w:sz w:val="17"/>
              </w:rPr>
              <w:t xml:space="preserve">Atlanta Fed GDPNow</w:t>
            </w:r>
          </w:p>
        </w:tc>
        <w:tc>
          <w:tcPr>
            <w:tcW w:w="3485" w:type="dxa"/>
            <w:shd w:val="clear" w:color="auto" w:fill="EEF2F7"/>
          </w:tcPr>
          <w:p>
            <w:pPr>
              <w:pStyle w:val="Compact"/>
              <w:spacing w:after="20" w:before="20"/>
            </w:pPr>
            <w:r>
              <w:rPr>
                <w:sz w:val="17"/>
              </w:rPr>
              <w:t xml:space="preserve">Running nowcast of current-quarter GDP</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Several times a month after major data</w:t>
            </w:r>
          </w:p>
        </w:tc>
        <w:tc>
          <w:tcPr>
            <w:tcW w:w="2438" w:type="dxa"/>
            <w:shd w:val="clear" w:color="auto" w:fill="EEF2F7"/>
          </w:tcPr>
          <w:p>
            <w:pPr>
              <w:pStyle w:val="Compact"/>
              <w:spacing w:after="20" w:before="20"/>
            </w:pPr>
            <w:r>
              <w:rPr>
                <w:sz w:val="17"/>
              </w:rPr>
              <w:t xml:space="preserve">Growth context</w:t>
            </w:r>
          </w:p>
        </w:tc>
        <w:tc>
          <w:tcPr>
            <w:tcW w:w="2438" w:type="dxa"/>
            <w:shd w:val="clear" w:color="auto" w:fill="EEF2F7"/>
          </w:tcPr>
          <w:p>
            <w:pPr>
              <w:pStyle w:val="Compact"/>
              <w:spacing w:after="20" w:before="20"/>
            </w:pPr>
            <w:hyperlink r:id="rId42">
              <w:r>
                <w:rPr>
                  <w:rStyle w:val="Hyperlink"/>
                  <w:sz w:val="17"/>
                </w:rPr>
                <w:t xml:space="preserve">atlantafed.org – GDPNow</w:t>
              </w:r>
            </w:hyperlink>
          </w:p>
        </w:tc>
      </w:tr>
    </w:tbl>
    <w:p>
      <w:pPr>
        <w:pStyle w:val="BodyText"/>
      </w:pPr>
      <w:r>
        <w:rPr>
          <w:b/>
          <w:bCs/>
        </w:rPr>
        <w:t xml:space="preserve">Why vol matters for mortgages.</w:t>
      </w:r>
      <w:r>
        <w:t xml:space="preserve"> </w:t>
      </w:r>
      <w:r>
        <w:t xml:space="preserve">Mortgage borrowers hold a prepayment option, so an MBS investor is effectively short an option. When implied volatility (MOVE) rises, the option is worth more, and agency MBS spreads tend to widen; when vol falls, spreads tend to tighten. Many DSCR/investor loans carry prepayment penalties and some Non-QM borrowers have less ability to refinance, so that collateral can be less negatively convex; its spreads still move with overall risk appetite.</w:t>
      </w:r>
    </w:p>
    <w:bookmarkEnd w:id="43"/>
    <w:bookmarkEnd w:id="44"/>
    <w:bookmarkStart w:id="57" w:name="mortgage-rates-which-source-when"/>
    <w:p>
      <w:pPr>
        <w:pStyle w:val="Heading1"/>
      </w:pPr>
      <w:r>
        <w:t xml:space="preserve">3. Mortgage rates: which source, when</w:t>
      </w:r>
    </w:p>
    <w:p>
      <w:pPr>
        <w:pStyle w:val="FirstParagraph"/>
      </w:pPr>
      <w:r>
        <w:t xml:space="preserve">Different</w:t>
      </w:r>
      <w:r>
        <w:t xml:space="preserve"> </w:t>
      </w:r>
      <w:r>
        <w:t xml:space="preserve">“mortgage rate”</w:t>
      </w:r>
      <w:r>
        <w:t xml:space="preserve"> </w:t>
      </w:r>
      <w:r>
        <w:t xml:space="preserve">numbers measure different things. A PM who sees one number on CNBC and another from Freddie Mac will ask why they differ, so know the construction of each.</w:t>
      </w:r>
    </w:p>
    <w:p>
      <w:pPr>
        <w:pStyle w:val="TableCaption"/>
      </w:pPr>
      <w:r>
        <w:t xml:space="preserve">The four kinds of mortgage-rate data.</w:t>
      </w:r>
    </w:p>
    <w:tbl>
      <w:tblPr>
        <w:tblStyle w:val="Table"/>
        <w:tblLayout w:type="fixed"/>
        <w:tblLook w:firstRow="1" w:lastRow="0" w:firstColumn="0" w:lastColumn="0" w:noHBand="0" w:noVBand="0" w:val="0020"/>
        <w:tblCaption w:val="The four kinds of mortgage-rate dat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126"/>
        <w:gridCol w:w="2706"/>
        <w:gridCol w:w="3866"/>
        <w:gridCol w:w="2706"/>
        <w:gridCol w:w="2706"/>
      </w:tblGrid>
      <w:tr>
        <w:trPr>
          <w:tblHeader w:val="on"/>
          <w:cantSplit/>
          <w:tblHeader/>
        </w:trPr>
        <w:tc>
          <w:tcPr>
            <w:tcW w:w="2126" w:type="dxa"/>
            <w:shd w:val="clear" w:color="auto" w:fill="1F3A5F"/>
          </w:tcPr>
          <w:p>
            <w:pPr>
              <w:pStyle w:val="Compact"/>
              <w:spacing w:after="20" w:before="20"/>
            </w:pPr>
            <w:r>
              <w:rPr>
                <w:b/>
                <w:color w:val="FFFFFF"/>
                <w:sz w:val="17"/>
              </w:rPr>
              <w:t xml:space="preserve">Type</w:t>
            </w:r>
          </w:p>
        </w:tc>
        <w:tc>
          <w:tcPr>
            <w:tcW w:w="2706" w:type="dxa"/>
            <w:shd w:val="clear" w:color="auto" w:fill="1F3A5F"/>
          </w:tcPr>
          <w:p>
            <w:pPr>
              <w:pStyle w:val="Compact"/>
              <w:spacing w:after="20" w:before="20"/>
            </w:pPr>
            <w:r>
              <w:rPr>
                <w:b/>
                <w:color w:val="FFFFFF"/>
                <w:sz w:val="17"/>
              </w:rPr>
              <w:t xml:space="preserve">Examples</w:t>
            </w:r>
          </w:p>
        </w:tc>
        <w:tc>
          <w:tcPr>
            <w:tcW w:w="3866" w:type="dxa"/>
            <w:shd w:val="clear" w:color="auto" w:fill="1F3A5F"/>
          </w:tcPr>
          <w:p>
            <w:pPr>
              <w:pStyle w:val="Compact"/>
              <w:spacing w:after="20" w:before="20"/>
            </w:pPr>
            <w:r>
              <w:rPr>
                <w:b/>
                <w:color w:val="FFFFFF"/>
                <w:sz w:val="17"/>
              </w:rPr>
              <w:t xml:space="preserve">What it really measures</w:t>
            </w:r>
          </w:p>
        </w:tc>
        <w:tc>
          <w:tcPr>
            <w:tcW w:w="2706" w:type="dxa"/>
            <w:shd w:val="clear" w:color="auto" w:fill="1F3A5F"/>
          </w:tcPr>
          <w:p>
            <w:pPr>
              <w:pStyle w:val="Compact"/>
              <w:spacing w:after="20" w:before="20"/>
            </w:pPr>
            <w:r>
              <w:rPr>
                <w:b/>
                <w:color w:val="FFFFFF"/>
                <w:sz w:val="17"/>
              </w:rPr>
              <w:t xml:space="preserve">Strength</w:t>
            </w:r>
          </w:p>
        </w:tc>
        <w:tc>
          <w:tcPr>
            <w:tcW w:w="2706" w:type="dxa"/>
            <w:shd w:val="clear" w:color="auto" w:fill="1F3A5F"/>
          </w:tcPr>
          <w:p>
            <w:pPr>
              <w:pStyle w:val="Compact"/>
              <w:spacing w:after="20" w:before="20"/>
            </w:pPr>
            <w:r>
              <w:rPr>
                <w:b/>
                <w:color w:val="FFFFFF"/>
                <w:sz w:val="17"/>
              </w:rPr>
              <w:t xml:space="preserve">Weakness</w:t>
            </w:r>
          </w:p>
        </w:tc>
      </w:tr>
      <w:tr>
        <w:trPr>
          <w:cantSplit/>
        </w:trPr>
        <w:tc>
          <w:tcPr>
            <w:tcW w:w="2126" w:type="dxa"/>
          </w:tcPr>
          <w:p>
            <w:pPr>
              <w:pStyle w:val="Compact"/>
              <w:spacing w:after="20" w:before="20"/>
            </w:pPr>
            <w:r>
              <w:rPr>
                <w:sz w:val="17"/>
              </w:rPr>
              <w:t xml:space="preserve">Survey / application-based weekly average</w:t>
            </w:r>
          </w:p>
        </w:tc>
        <w:tc>
          <w:tcPr>
            <w:tcW w:w="2706" w:type="dxa"/>
          </w:tcPr>
          <w:p>
            <w:pPr>
              <w:pStyle w:val="Compact"/>
              <w:spacing w:after="20" w:before="20"/>
            </w:pPr>
            <w:r>
              <w:rPr>
                <w:sz w:val="17"/>
              </w:rPr>
              <w:t xml:space="preserve">Freddie Mac PMMS; MBA contract rate</w:t>
            </w:r>
          </w:p>
        </w:tc>
        <w:tc>
          <w:tcPr>
            <w:tcW w:w="3866" w:type="dxa"/>
          </w:tcPr>
          <w:p>
            <w:pPr>
              <w:pStyle w:val="Compact"/>
              <w:spacing w:after="20" w:before="20"/>
            </w:pPr>
            <w:r>
              <w:rPr>
                <w:sz w:val="17"/>
              </w:rPr>
              <w:t xml:space="preserve">Average rate on applications over a past window</w:t>
            </w:r>
          </w:p>
        </w:tc>
        <w:tc>
          <w:tcPr>
            <w:tcW w:w="2706" w:type="dxa"/>
          </w:tcPr>
          <w:p>
            <w:pPr>
              <w:pStyle w:val="Compact"/>
              <w:spacing w:after="20" w:before="20"/>
            </w:pPr>
            <w:r>
              <w:rPr>
                <w:sz w:val="17"/>
              </w:rPr>
              <w:t xml:space="preserve">Long history, official-feeling, press standard</w:t>
            </w:r>
          </w:p>
        </w:tc>
        <w:tc>
          <w:tcPr>
            <w:tcW w:w="2706" w:type="dxa"/>
          </w:tcPr>
          <w:p>
            <w:pPr>
              <w:pStyle w:val="Compact"/>
              <w:spacing w:after="20" w:before="20"/>
            </w:pPr>
            <w:r>
              <w:rPr>
                <w:sz w:val="17"/>
              </w:rPr>
              <w:t xml:space="preserve">Lags the market by days; weekly only</w:t>
            </w:r>
          </w:p>
        </w:tc>
      </w:tr>
      <w:tr>
        <w:trPr>
          <w:cantSplit/>
        </w:trPr>
        <w:tc>
          <w:tcPr>
            <w:tcW w:w="2126" w:type="dxa"/>
            <w:shd w:val="clear" w:color="auto" w:fill="EEF2F7"/>
          </w:tcPr>
          <w:p>
            <w:pPr>
              <w:pStyle w:val="Compact"/>
              <w:spacing w:after="20" w:before="20"/>
            </w:pPr>
            <w:r>
              <w:rPr>
                <w:sz w:val="17"/>
              </w:rPr>
              <w:t xml:space="preserve">Daily rate-sheet index</w:t>
            </w:r>
          </w:p>
        </w:tc>
        <w:tc>
          <w:tcPr>
            <w:tcW w:w="2706" w:type="dxa"/>
            <w:shd w:val="clear" w:color="auto" w:fill="EEF2F7"/>
          </w:tcPr>
          <w:p>
            <w:pPr>
              <w:pStyle w:val="Compact"/>
              <w:spacing w:after="20" w:before="20"/>
            </w:pPr>
            <w:r>
              <w:rPr>
                <w:sz w:val="17"/>
              </w:rPr>
              <w:t xml:space="preserve">Mortgage News Daily (MND) index</w:t>
            </w:r>
          </w:p>
        </w:tc>
        <w:tc>
          <w:tcPr>
            <w:tcW w:w="3866" w:type="dxa"/>
            <w:shd w:val="clear" w:color="auto" w:fill="EEF2F7"/>
          </w:tcPr>
          <w:p>
            <w:pPr>
              <w:pStyle w:val="Compact"/>
              <w:spacing w:after="20" w:before="20"/>
            </w:pPr>
            <w:r>
              <w:rPr>
                <w:sz w:val="17"/>
              </w:rPr>
              <w:t xml:space="preserve">Lender rate-sheet pricing for a standard top-tier scenario, adjusted for points</w:t>
            </w:r>
          </w:p>
        </w:tc>
        <w:tc>
          <w:tcPr>
            <w:tcW w:w="2706" w:type="dxa"/>
            <w:shd w:val="clear" w:color="auto" w:fill="EEF2F7"/>
          </w:tcPr>
          <w:p>
            <w:pPr>
              <w:pStyle w:val="Compact"/>
              <w:spacing w:after="20" w:before="20"/>
            </w:pPr>
            <w:r>
              <w:rPr>
                <w:sz w:val="17"/>
              </w:rPr>
              <w:t xml:space="preserve">Same-day, tracks MBS moves closely</w:t>
            </w:r>
          </w:p>
        </w:tc>
        <w:tc>
          <w:tcPr>
            <w:tcW w:w="2706" w:type="dxa"/>
            <w:shd w:val="clear" w:color="auto" w:fill="EEF2F7"/>
          </w:tcPr>
          <w:p>
            <w:pPr>
              <w:pStyle w:val="Compact"/>
              <w:spacing w:after="20" w:before="20"/>
            </w:pPr>
            <w:r>
              <w:rPr>
                <w:sz w:val="17"/>
              </w:rPr>
              <w:t xml:space="preserve">Not transaction data; one borrower profile</w:t>
            </w:r>
          </w:p>
        </w:tc>
      </w:tr>
      <w:tr>
        <w:trPr>
          <w:cantSplit/>
        </w:trPr>
        <w:tc>
          <w:tcPr>
            <w:tcW w:w="2126" w:type="dxa"/>
          </w:tcPr>
          <w:p>
            <w:pPr>
              <w:pStyle w:val="Compact"/>
              <w:spacing w:after="20" w:before="20"/>
            </w:pPr>
            <w:r>
              <w:rPr>
                <w:sz w:val="17"/>
              </w:rPr>
              <w:t xml:space="preserve">Lock-based transaction index</w:t>
            </w:r>
          </w:p>
        </w:tc>
        <w:tc>
          <w:tcPr>
            <w:tcW w:w="2706" w:type="dxa"/>
          </w:tcPr>
          <w:p>
            <w:pPr>
              <w:pStyle w:val="Compact"/>
              <w:spacing w:after="20" w:before="20"/>
            </w:pPr>
            <w:r>
              <w:rPr>
                <w:sz w:val="17"/>
              </w:rPr>
              <w:t xml:space="preserve">Optimal Blue OBMMI</w:t>
            </w:r>
          </w:p>
        </w:tc>
        <w:tc>
          <w:tcPr>
            <w:tcW w:w="3866" w:type="dxa"/>
          </w:tcPr>
          <w:p>
            <w:pPr>
              <w:pStyle w:val="Compact"/>
              <w:spacing w:after="20" w:before="20"/>
            </w:pPr>
            <w:r>
              <w:rPr>
                <w:sz w:val="17"/>
              </w:rPr>
              <w:t xml:space="preserve">Average rate on actual locks made through the Optimal Blue pricing engine the prior day</w:t>
            </w:r>
          </w:p>
        </w:tc>
        <w:tc>
          <w:tcPr>
            <w:tcW w:w="2706" w:type="dxa"/>
          </w:tcPr>
          <w:p>
            <w:pPr>
              <w:pStyle w:val="Compact"/>
              <w:spacing w:after="20" w:before="20"/>
            </w:pPr>
            <w:r>
              <w:rPr>
                <w:sz w:val="17"/>
              </w:rPr>
              <w:t xml:space="preserve">Real transactions, product and FICO/LTV splits</w:t>
            </w:r>
          </w:p>
        </w:tc>
        <w:tc>
          <w:tcPr>
            <w:tcW w:w="2706" w:type="dxa"/>
          </w:tcPr>
          <w:p>
            <w:pPr>
              <w:pStyle w:val="Compact"/>
              <w:spacing w:after="20" w:before="20"/>
            </w:pPr>
            <w:r>
              <w:rPr>
                <w:sz w:val="17"/>
              </w:rPr>
              <w:t xml:space="preserve">One-day lag; mix effects (borrower profile changes shift the average)</w:t>
            </w:r>
          </w:p>
        </w:tc>
      </w:tr>
      <w:tr>
        <w:trPr>
          <w:cantSplit/>
        </w:trPr>
        <w:tc>
          <w:tcPr>
            <w:tcW w:w="2126" w:type="dxa"/>
            <w:shd w:val="clear" w:color="auto" w:fill="EEF2F7"/>
          </w:tcPr>
          <w:p>
            <w:pPr>
              <w:pStyle w:val="Compact"/>
              <w:spacing w:after="20" w:before="20"/>
            </w:pPr>
            <w:r>
              <w:rPr>
                <w:sz w:val="17"/>
              </w:rPr>
              <w:t xml:space="preserve">Consumer-facing quote aggregators</w:t>
            </w:r>
          </w:p>
        </w:tc>
        <w:tc>
          <w:tcPr>
            <w:tcW w:w="2706" w:type="dxa"/>
            <w:shd w:val="clear" w:color="auto" w:fill="EEF2F7"/>
          </w:tcPr>
          <w:p>
            <w:pPr>
              <w:pStyle w:val="Compact"/>
              <w:spacing w:after="20" w:before="20"/>
            </w:pPr>
            <w:r>
              <w:rPr>
                <w:sz w:val="17"/>
              </w:rPr>
              <w:t xml:space="preserve">Bankrate, Zillow</w:t>
            </w:r>
          </w:p>
        </w:tc>
        <w:tc>
          <w:tcPr>
            <w:tcW w:w="3866" w:type="dxa"/>
            <w:shd w:val="clear" w:color="auto" w:fill="EEF2F7"/>
          </w:tcPr>
          <w:p>
            <w:pPr>
              <w:pStyle w:val="Compact"/>
              <w:spacing w:after="20" w:before="20"/>
            </w:pPr>
            <w:r>
              <w:rPr>
                <w:sz w:val="17"/>
              </w:rPr>
              <w:t xml:space="preserve">Advertised/quoted rates to consumers</w:t>
            </w:r>
          </w:p>
        </w:tc>
        <w:tc>
          <w:tcPr>
            <w:tcW w:w="2706" w:type="dxa"/>
            <w:shd w:val="clear" w:color="auto" w:fill="EEF2F7"/>
          </w:tcPr>
          <w:p>
            <w:pPr>
              <w:pStyle w:val="Compact"/>
              <w:spacing w:after="20" w:before="20"/>
            </w:pPr>
            <w:r>
              <w:rPr>
                <w:sz w:val="17"/>
              </w:rPr>
              <w:t xml:space="preserve">Easy, widely cited in press</w:t>
            </w:r>
          </w:p>
        </w:tc>
        <w:tc>
          <w:tcPr>
            <w:tcW w:w="2706" w:type="dxa"/>
            <w:shd w:val="clear" w:color="auto" w:fill="EEF2F7"/>
          </w:tcPr>
          <w:p>
            <w:pPr>
              <w:pStyle w:val="Compact"/>
              <w:spacing w:after="20" w:before="20"/>
            </w:pPr>
            <w:r>
              <w:rPr>
                <w:sz w:val="17"/>
              </w:rPr>
              <w:t xml:space="preserve">Least precise; methodology varies; includes points assumptions</w:t>
            </w:r>
          </w:p>
        </w:tc>
      </w:tr>
    </w:tbl>
    <w:bookmarkStart w:id="54" w:name="source-by-source"/>
    <w:p>
      <w:pPr>
        <w:pStyle w:val="Heading2"/>
      </w:pPr>
      <w:r>
        <w:t xml:space="preserve">3.1 Source-by-source</w:t>
      </w:r>
    </w:p>
    <w:p>
      <w:pPr>
        <w:pStyle w:val="TableCaption"/>
      </w:pPr>
      <w:r>
        <w:t xml:space="preserve">Mortgage-rate sources.</w:t>
      </w:r>
    </w:p>
    <w:tbl>
      <w:tblPr>
        <w:tblStyle w:val="Table"/>
        <w:tblLayout w:type="fixed"/>
        <w:tblLook w:firstRow="1" w:lastRow="0" w:firstColumn="0" w:lastColumn="0" w:noHBand="0" w:noVBand="0" w:val="0020"/>
        <w:tblCaption w:val="Mortgage-rate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MND Daily Mortgage Rate Index</w:t>
            </w:r>
          </w:p>
        </w:tc>
        <w:tc>
          <w:tcPr>
            <w:tcW w:w="3485" w:type="dxa"/>
          </w:tcPr>
          <w:p>
            <w:pPr>
              <w:pStyle w:val="Compact"/>
              <w:spacing w:after="20" w:before="20"/>
            </w:pPr>
            <w:r>
              <w:rPr>
                <w:sz w:val="17"/>
              </w:rPr>
              <w:t xml:space="preserve">Daily 30Y conforming (plus 15Y, FHA, VA, jumbo) from lender rate sheets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Weekdays around 3:00 pm CT; may update intraday if lenders reprice</w:t>
            </w:r>
          </w:p>
        </w:tc>
        <w:tc>
          <w:tcPr>
            <w:tcW w:w="2438" w:type="dxa"/>
          </w:tcPr>
          <w:p>
            <w:pPr>
              <w:pStyle w:val="Compact"/>
              <w:spacing w:after="20" w:before="20"/>
            </w:pPr>
            <w:r>
              <w:rPr>
                <w:sz w:val="17"/>
              </w:rPr>
              <w:t xml:space="preserve">“Where are rates today?”</w:t>
            </w:r>
            <w:r>
              <w:rPr>
                <w:sz w:val="17"/>
              </w:rPr>
              <w:t xml:space="preserve"> </w:t>
            </w:r>
            <w:r>
              <w:rPr>
                <w:sz w:val="17"/>
              </w:rPr>
              <w:t xml:space="preserve">and day-over-day moves</w:t>
            </w:r>
          </w:p>
        </w:tc>
        <w:tc>
          <w:tcPr>
            <w:tcW w:w="2438" w:type="dxa"/>
          </w:tcPr>
          <w:p>
            <w:pPr>
              <w:pStyle w:val="Compact"/>
              <w:spacing w:after="20" w:before="20"/>
            </w:pPr>
            <w:hyperlink r:id="rId45">
              <w:r>
                <w:rPr>
                  <w:rStyle w:val="Hyperlink"/>
                  <w:sz w:val="17"/>
                </w:rPr>
                <w:t xml:space="preserve">mortgagenewsdaily.com/mortgage-rates/mnd</w:t>
              </w:r>
            </w:hyperlink>
            <w:r>
              <w:rPr>
                <w:sz w:val="17"/>
              </w:rPr>
              <w:t xml:space="preserve">; methodology:</w:t>
            </w:r>
            <w:r>
              <w:rPr>
                <w:sz w:val="17"/>
              </w:rPr>
              <w:t xml:space="preserve"> </w:t>
            </w:r>
            <w:hyperlink r:id="rId46">
              <w:r>
                <w:rPr>
                  <w:rStyle w:val="Hyperlink"/>
                  <w:sz w:val="17"/>
                </w:rPr>
                <w:t xml:space="preserve">About MND’s rates</w:t>
              </w:r>
            </w:hyperlink>
          </w:p>
        </w:tc>
      </w:tr>
      <w:tr>
        <w:trPr>
          <w:cantSplit/>
        </w:trPr>
        <w:tc>
          <w:tcPr>
            <w:tcW w:w="2438" w:type="dxa"/>
            <w:shd w:val="clear" w:color="auto" w:fill="EEF2F7"/>
          </w:tcPr>
          <w:p>
            <w:pPr>
              <w:pStyle w:val="Compact"/>
              <w:spacing w:after="20" w:before="20"/>
            </w:pPr>
            <w:r>
              <w:rPr>
                <w:sz w:val="17"/>
              </w:rPr>
              <w:t xml:space="preserve">Freddie Mac PMMS</w:t>
            </w:r>
          </w:p>
        </w:tc>
        <w:tc>
          <w:tcPr>
            <w:tcW w:w="3485" w:type="dxa"/>
            <w:shd w:val="clear" w:color="auto" w:fill="EEF2F7"/>
          </w:tcPr>
          <w:p>
            <w:pPr>
              <w:pStyle w:val="Compact"/>
              <w:spacing w:after="20" w:before="20"/>
            </w:pPr>
            <w:r>
              <w:rPr>
                <w:sz w:val="17"/>
              </w:rPr>
              <w:t xml:space="preserve">Weekly 30Y and 15Y fixed averages from applications submitted to Freddie Mac’s Loan Product Advisor (conventional, conforming, purchase)</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Thursdays 11:00 am CT (Wednesday if Thursday is a holiday); covers Thursday–Wednesday applications</w:t>
            </w:r>
          </w:p>
        </w:tc>
        <w:tc>
          <w:tcPr>
            <w:tcW w:w="2438" w:type="dxa"/>
            <w:shd w:val="clear" w:color="auto" w:fill="EEF2F7"/>
          </w:tcPr>
          <w:p>
            <w:pPr>
              <w:pStyle w:val="Compact"/>
              <w:spacing w:after="20" w:before="20"/>
            </w:pPr>
            <w:r>
              <w:rPr>
                <w:sz w:val="17"/>
              </w:rPr>
              <w:t xml:space="preserve">The headline number press and PMs quote; long history</w:t>
            </w:r>
          </w:p>
        </w:tc>
        <w:tc>
          <w:tcPr>
            <w:tcW w:w="2438" w:type="dxa"/>
            <w:shd w:val="clear" w:color="auto" w:fill="EEF2F7"/>
          </w:tcPr>
          <w:p>
            <w:pPr>
              <w:pStyle w:val="Compact"/>
              <w:spacing w:after="20" w:before="20"/>
            </w:pPr>
            <w:hyperlink r:id="rId47">
              <w:r>
                <w:rPr>
                  <w:rStyle w:val="Hyperlink"/>
                  <w:sz w:val="17"/>
                </w:rPr>
                <w:t xml:space="preserve">freddiemac.com/pmms</w:t>
              </w:r>
            </w:hyperlink>
            <w:r>
              <w:rPr>
                <w:sz w:val="17"/>
              </w:rPr>
              <w:t xml:space="preserve">; FRED MORTGAGE30US / MORTGAGE15US</w:t>
            </w:r>
          </w:p>
        </w:tc>
      </w:tr>
      <w:tr>
        <w:trPr>
          <w:cantSplit/>
        </w:trPr>
        <w:tc>
          <w:tcPr>
            <w:tcW w:w="2438" w:type="dxa"/>
          </w:tcPr>
          <w:p>
            <w:pPr>
              <w:pStyle w:val="Compact"/>
              <w:spacing w:after="20" w:before="20"/>
            </w:pPr>
            <w:r>
              <w:rPr>
                <w:sz w:val="17"/>
              </w:rPr>
              <w:t xml:space="preserve">MBA Weekly Applications Survey</w:t>
            </w:r>
          </w:p>
        </w:tc>
        <w:tc>
          <w:tcPr>
            <w:tcW w:w="3485" w:type="dxa"/>
          </w:tcPr>
          <w:p>
            <w:pPr>
              <w:pStyle w:val="Compact"/>
              <w:spacing w:after="20" w:before="20"/>
            </w:pPr>
            <w:r>
              <w:rPr>
                <w:sz w:val="17"/>
              </w:rPr>
              <w:t xml:space="preserve">Purchase and Refi indices, refi share, average contract rates (30Y conforming, jumbo, FHA, 15Y, ARM) and points</w:t>
            </w:r>
          </w:p>
        </w:tc>
        <w:tc>
          <w:tcPr>
            <w:tcW w:w="1394" w:type="dxa"/>
          </w:tcPr>
          <w:p>
            <w:pPr>
              <w:pStyle w:val="Compact"/>
              <w:spacing w:after="20" w:before="20"/>
            </w:pPr>
            <w:r>
              <w:rPr>
                <w:sz w:val="17"/>
              </w:rPr>
              <w:t xml:space="preserve">Free headline (full data for MBA members/paid)</w:t>
            </w:r>
          </w:p>
        </w:tc>
        <w:tc>
          <w:tcPr>
            <w:tcW w:w="1916" w:type="dxa"/>
          </w:tcPr>
          <w:p>
            <w:pPr>
              <w:pStyle w:val="Compact"/>
              <w:spacing w:after="20" w:before="20"/>
            </w:pPr>
            <w:r>
              <w:rPr>
                <w:sz w:val="17"/>
              </w:rPr>
              <w:t xml:space="preserve">Wednesdays 6:00 am CT, for the prior week</w:t>
            </w:r>
          </w:p>
        </w:tc>
        <w:tc>
          <w:tcPr>
            <w:tcW w:w="2438" w:type="dxa"/>
          </w:tcPr>
          <w:p>
            <w:pPr>
              <w:pStyle w:val="Compact"/>
              <w:spacing w:after="20" w:before="20"/>
            </w:pPr>
            <w:r>
              <w:rPr>
                <w:sz w:val="17"/>
              </w:rPr>
              <w:t xml:space="preserve">Refi demand (prepay signal), purchase demand, contract rates incl. jumbo</w:t>
            </w:r>
          </w:p>
        </w:tc>
        <w:tc>
          <w:tcPr>
            <w:tcW w:w="2438" w:type="dxa"/>
          </w:tcPr>
          <w:p>
            <w:pPr>
              <w:pStyle w:val="Compact"/>
              <w:spacing w:after="20" w:before="20"/>
            </w:pPr>
            <w:hyperlink r:id="rId48">
              <w:r>
                <w:rPr>
                  <w:rStyle w:val="Hyperlink"/>
                  <w:sz w:val="17"/>
                </w:rPr>
                <w:t xml:space="preserve">mba.org – Weekly Applications Survey</w:t>
              </w:r>
            </w:hyperlink>
          </w:p>
        </w:tc>
      </w:tr>
      <w:tr>
        <w:trPr>
          <w:cantSplit/>
        </w:trPr>
        <w:tc>
          <w:tcPr>
            <w:tcW w:w="2438" w:type="dxa"/>
            <w:shd w:val="clear" w:color="auto" w:fill="EEF2F7"/>
          </w:tcPr>
          <w:p>
            <w:pPr>
              <w:pStyle w:val="Compact"/>
              <w:spacing w:after="20" w:before="20"/>
            </w:pPr>
            <w:r>
              <w:rPr>
                <w:sz w:val="17"/>
              </w:rPr>
              <w:t xml:space="preserve">Optimal Blue OBMMI</w:t>
            </w:r>
          </w:p>
        </w:tc>
        <w:tc>
          <w:tcPr>
            <w:tcW w:w="3485" w:type="dxa"/>
            <w:shd w:val="clear" w:color="auto" w:fill="EEF2F7"/>
          </w:tcPr>
          <w:p>
            <w:pPr>
              <w:pStyle w:val="Compact"/>
              <w:spacing w:after="20" w:before="20"/>
            </w:pPr>
            <w:r>
              <w:rPr>
                <w:sz w:val="17"/>
              </w:rPr>
              <w:t xml:space="preserve">Daily lock-based indices: 30Y conforming, 15Y conforming, jumbo, FHA, VA, USDA, and conforming by LTV/FICO buckets</w:t>
            </w:r>
          </w:p>
        </w:tc>
        <w:tc>
          <w:tcPr>
            <w:tcW w:w="1394" w:type="dxa"/>
            <w:shd w:val="clear" w:color="auto" w:fill="EEF2F7"/>
          </w:tcPr>
          <w:p>
            <w:pPr>
              <w:pStyle w:val="Compact"/>
              <w:spacing w:after="20" w:before="20"/>
            </w:pPr>
            <w:r>
              <w:rPr>
                <w:sz w:val="17"/>
              </w:rPr>
              <w:t xml:space="preserve">Free (on Optimal Blue site and FRED)</w:t>
            </w:r>
          </w:p>
        </w:tc>
        <w:tc>
          <w:tcPr>
            <w:tcW w:w="1916" w:type="dxa"/>
            <w:shd w:val="clear" w:color="auto" w:fill="EEF2F7"/>
          </w:tcPr>
          <w:p>
            <w:pPr>
              <w:pStyle w:val="Compact"/>
              <w:spacing w:after="20" w:before="20"/>
            </w:pPr>
            <w:r>
              <w:rPr>
                <w:sz w:val="17"/>
              </w:rPr>
              <w:t xml:space="preserve">Nightly with the prior business day’s locks; FRED posts the next morning</w:t>
            </w:r>
          </w:p>
        </w:tc>
        <w:tc>
          <w:tcPr>
            <w:tcW w:w="2438" w:type="dxa"/>
            <w:shd w:val="clear" w:color="auto" w:fill="EEF2F7"/>
          </w:tcPr>
          <w:p>
            <w:pPr>
              <w:pStyle w:val="Compact"/>
              <w:spacing w:after="20" w:before="20"/>
            </w:pPr>
            <w:r>
              <w:rPr>
                <w:sz w:val="17"/>
              </w:rPr>
              <w:t xml:space="preserve">Transaction-based rates; jumbo vs conforming; credit-tier spreads</w:t>
            </w:r>
          </w:p>
        </w:tc>
        <w:tc>
          <w:tcPr>
            <w:tcW w:w="2438" w:type="dxa"/>
            <w:shd w:val="clear" w:color="auto" w:fill="EEF2F7"/>
          </w:tcPr>
          <w:p>
            <w:pPr>
              <w:pStyle w:val="Compact"/>
              <w:spacing w:after="20" w:before="20"/>
            </w:pPr>
            <w:hyperlink r:id="rId49">
              <w:r>
                <w:rPr>
                  <w:rStyle w:val="Hyperlink"/>
                  <w:sz w:val="17"/>
                </w:rPr>
                <w:t xml:space="preserve">optimalblue.com – OBMMI</w:t>
              </w:r>
            </w:hyperlink>
            <w:r>
              <w:rPr>
                <w:sz w:val="17"/>
              </w:rPr>
              <w:t xml:space="preserve">;</w:t>
            </w:r>
            <w:r>
              <w:rPr>
                <w:sz w:val="17"/>
              </w:rPr>
              <w:t xml:space="preserve"> </w:t>
            </w:r>
            <w:hyperlink r:id="rId50">
              <w:r>
                <w:rPr>
                  <w:rStyle w:val="Hyperlink"/>
                  <w:sz w:val="17"/>
                </w:rPr>
                <w:t xml:space="preserve">FRED OBMMI release</w:t>
              </w:r>
            </w:hyperlink>
          </w:p>
        </w:tc>
      </w:tr>
      <w:tr>
        <w:trPr>
          <w:cantSplit/>
        </w:trPr>
        <w:tc>
          <w:tcPr>
            <w:tcW w:w="2438" w:type="dxa"/>
          </w:tcPr>
          <w:p>
            <w:pPr>
              <w:pStyle w:val="Compact"/>
              <w:spacing w:after="20" w:before="20"/>
            </w:pPr>
            <w:r>
              <w:rPr>
                <w:sz w:val="17"/>
              </w:rPr>
              <w:t xml:space="preserve">Optimal Blue Market Data License</w:t>
            </w:r>
          </w:p>
        </w:tc>
        <w:tc>
          <w:tcPr>
            <w:tcW w:w="3485" w:type="dxa"/>
          </w:tcPr>
          <w:p>
            <w:pPr>
              <w:pStyle w:val="Compact"/>
              <w:spacing w:after="20" w:before="20"/>
            </w:pPr>
            <w:r>
              <w:rPr>
                <w:sz w:val="17"/>
              </w:rPr>
              <w:t xml:space="preserve">Loan-level lock data, including Non-QM product fields</w:t>
            </w:r>
          </w:p>
        </w:tc>
        <w:tc>
          <w:tcPr>
            <w:tcW w:w="1394" w:type="dxa"/>
          </w:tcPr>
          <w:p>
            <w:pPr>
              <w:pStyle w:val="Compact"/>
              <w:spacing w:after="20" w:before="20"/>
            </w:pPr>
            <w:r>
              <w:rPr>
                <w:sz w:val="17"/>
              </w:rPr>
              <w:t xml:space="preserve">Paid – Nice to have</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Non-QM/DSCR primary-market rate levels and volumes</w:t>
            </w:r>
          </w:p>
        </w:tc>
        <w:tc>
          <w:tcPr>
            <w:tcW w:w="2438" w:type="dxa"/>
          </w:tcPr>
          <w:p>
            <w:pPr>
              <w:pStyle w:val="Compact"/>
              <w:spacing w:after="20" w:before="20"/>
            </w:pPr>
            <w:hyperlink r:id="rId51">
              <w:r>
                <w:rPr>
                  <w:rStyle w:val="Hyperlink"/>
                  <w:sz w:val="17"/>
                </w:rPr>
                <w:t xml:space="preserve">optimalblue.com – Market Analytics</w:t>
              </w:r>
            </w:hyperlink>
          </w:p>
        </w:tc>
      </w:tr>
      <w:tr>
        <w:trPr>
          <w:cantSplit/>
        </w:trPr>
        <w:tc>
          <w:tcPr>
            <w:tcW w:w="2438" w:type="dxa"/>
            <w:shd w:val="clear" w:color="auto" w:fill="EEF2F7"/>
          </w:tcPr>
          <w:p>
            <w:pPr>
              <w:pStyle w:val="Compact"/>
              <w:spacing w:after="20" w:before="20"/>
            </w:pPr>
            <w:r>
              <w:rPr>
                <w:sz w:val="17"/>
              </w:rPr>
              <w:t xml:space="preserve">Bankrate</w:t>
            </w:r>
          </w:p>
        </w:tc>
        <w:tc>
          <w:tcPr>
            <w:tcW w:w="3485" w:type="dxa"/>
            <w:shd w:val="clear" w:color="auto" w:fill="EEF2F7"/>
          </w:tcPr>
          <w:p>
            <w:pPr>
              <w:pStyle w:val="Compact"/>
              <w:spacing w:after="20" w:before="20"/>
            </w:pPr>
            <w:r>
              <w:rPr>
                <w:sz w:val="17"/>
              </w:rPr>
              <w:t xml:space="preserve">Consumer-quoted mortgage rates by product</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Daily</w:t>
            </w:r>
          </w:p>
        </w:tc>
        <w:tc>
          <w:tcPr>
            <w:tcW w:w="2438" w:type="dxa"/>
            <w:shd w:val="clear" w:color="auto" w:fill="EEF2F7"/>
          </w:tcPr>
          <w:p>
            <w:pPr>
              <w:pStyle w:val="Compact"/>
              <w:spacing w:after="20" w:before="20"/>
            </w:pPr>
            <w:r>
              <w:rPr>
                <w:sz w:val="17"/>
              </w:rPr>
              <w:t xml:space="preserve">Consumer-facing context only</w:t>
            </w:r>
          </w:p>
        </w:tc>
        <w:tc>
          <w:tcPr>
            <w:tcW w:w="2438" w:type="dxa"/>
            <w:shd w:val="clear" w:color="auto" w:fill="EEF2F7"/>
          </w:tcPr>
          <w:p>
            <w:pPr>
              <w:pStyle w:val="Compact"/>
              <w:spacing w:after="20" w:before="20"/>
            </w:pPr>
            <w:hyperlink r:id="rId52">
              <w:r>
                <w:rPr>
                  <w:rStyle w:val="Hyperlink"/>
                  <w:sz w:val="17"/>
                </w:rPr>
                <w:t xml:space="preserve">bankrate.com – Mortgage rates</w:t>
              </w:r>
            </w:hyperlink>
          </w:p>
        </w:tc>
      </w:tr>
      <w:tr>
        <w:trPr>
          <w:cantSplit/>
        </w:trPr>
        <w:tc>
          <w:tcPr>
            <w:tcW w:w="2438" w:type="dxa"/>
          </w:tcPr>
          <w:p>
            <w:pPr>
              <w:pStyle w:val="Compact"/>
              <w:spacing w:after="20" w:before="20"/>
            </w:pPr>
            <w:r>
              <w:rPr>
                <w:sz w:val="17"/>
              </w:rPr>
              <w:t xml:space="preserve">Zillow mortgage rates</w:t>
            </w:r>
          </w:p>
        </w:tc>
        <w:tc>
          <w:tcPr>
            <w:tcW w:w="3485" w:type="dxa"/>
          </w:tcPr>
          <w:p>
            <w:pPr>
              <w:pStyle w:val="Compact"/>
              <w:spacing w:after="20" w:before="20"/>
            </w:pPr>
            <w:r>
              <w:rPr>
                <w:sz w:val="17"/>
              </w:rPr>
              <w:t xml:space="preserve">Consumer-quoted rates from its marketplace</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Daily/intraday</w:t>
            </w:r>
          </w:p>
        </w:tc>
        <w:tc>
          <w:tcPr>
            <w:tcW w:w="2438" w:type="dxa"/>
          </w:tcPr>
          <w:p>
            <w:pPr>
              <w:pStyle w:val="Compact"/>
              <w:spacing w:after="20" w:before="20"/>
            </w:pPr>
            <w:r>
              <w:rPr>
                <w:sz w:val="17"/>
              </w:rPr>
              <w:t xml:space="preserve">Consumer-facing context only</w:t>
            </w:r>
          </w:p>
        </w:tc>
        <w:tc>
          <w:tcPr>
            <w:tcW w:w="2438" w:type="dxa"/>
          </w:tcPr>
          <w:p>
            <w:pPr>
              <w:pStyle w:val="Compact"/>
              <w:spacing w:after="20" w:before="20"/>
            </w:pPr>
            <w:hyperlink r:id="rId53">
              <w:r>
                <w:rPr>
                  <w:rStyle w:val="Hyperlink"/>
                  <w:sz w:val="17"/>
                </w:rPr>
                <w:t xml:space="preserve">zillow.com – Mortgage rates</w:t>
              </w:r>
            </w:hyperlink>
          </w:p>
        </w:tc>
      </w:tr>
    </w:tbl>
    <w:p>
      <w:pPr>
        <w:pStyle w:val="BodyText"/>
      </w:pPr>
      <w:r>
        <w:rPr>
          <w:b/>
          <w:bCs/>
        </w:rPr>
        <w:t xml:space="preserve">FRED series IDs for mortgage rates (all verified):</w:t>
      </w:r>
      <w:r>
        <w:t xml:space="preserve"> </w:t>
      </w:r>
      <w:r>
        <w:t xml:space="preserve">MORTGAGE30US and MORTGAGE15US (Freddie PMMS, weekly); OBMMIC30YF (30Y conforming), OBMMIC15YF (15Y conforming), OBMMIJUMBO30YF (30Y jumbo), OBMMIFHA30YF (FHA), OBMMIVA30YF (VA), OBMMIUSDA30YF (USDA), and OBMMIC30YFLVLE80FGE740 (30Y conforming, LTV ≤ 80 and FICO &gt; 740) — all Optimal Blue, daily.</w:t>
      </w:r>
    </w:p>
    <w:bookmarkEnd w:id="54"/>
    <w:bookmarkStart w:id="55" w:name="jumbo-non-qm-dscr-and-rtl-rates"/>
    <w:p>
      <w:pPr>
        <w:pStyle w:val="Heading2"/>
      </w:pPr>
      <w:r>
        <w:t xml:space="preserve">3.2 Jumbo, Non-QM, DSCR and RTL rates</w:t>
      </w:r>
    </w:p>
    <w:p>
      <w:pPr>
        <w:pStyle w:val="FirstParagraph"/>
      </w:pPr>
      <w:r>
        <w:t xml:space="preserve">There is no free, official daily index for Non-QM, DSCR, or RTL borrower rates. Be explicit with PMs about that, then use the following proxies in this order:</w:t>
      </w:r>
    </w:p>
    <w:p>
      <w:pPr>
        <w:pStyle w:val="Compact"/>
        <w:numPr>
          <w:ilvl w:val="0"/>
          <w:numId w:val="1003"/>
        </w:numPr>
      </w:pPr>
      <w:r>
        <w:rPr>
          <w:b/>
          <w:bCs/>
        </w:rPr>
        <w:t xml:space="preserve">Recent securitization presale reports (best free proxy).</w:t>
      </w:r>
      <w:r>
        <w:t xml:space="preserve"> </w:t>
      </w:r>
      <w:r>
        <w:t xml:space="preserve">Every rated Non-QM, DSCR, CES, HELOC, and RTL deal comes with a presale or new-issue report (KBRA, Fitch, Moody’s, S&amp;P, Morningstar DBRS) that states the pool’s weighted-average coupon (WAC), FICO, LTV/CLTV, DSCR, documentation type, and prepayment-penalty share. Comparing the WAC across the last several deals from the same shelf gives a defensible read on where borrower note rates are. Remember that pools are aggregated over prior months, so presale WACs lag the current rate sheet by roughly one to three months.</w:t>
      </w:r>
    </w:p>
    <w:p>
      <w:pPr>
        <w:pStyle w:val="Compact"/>
        <w:numPr>
          <w:ilvl w:val="0"/>
          <w:numId w:val="1003"/>
        </w:numPr>
      </w:pPr>
      <w:r>
        <w:rPr>
          <w:b/>
          <w:bCs/>
        </w:rPr>
        <w:t xml:space="preserve">OBMMI jumbo (FRED OBMMIJUMBO30YF)</w:t>
      </w:r>
      <w:r>
        <w:t xml:space="preserve"> </w:t>
      </w:r>
      <w:r>
        <w:t xml:space="preserve">for prime jumbo; compare with OBMMIC30YF for the jumbo-conforming differential. The MBA Weekly Applications Survey also reports a jumbo contract rate.</w:t>
      </w:r>
    </w:p>
    <w:p>
      <w:pPr>
        <w:pStyle w:val="Compact"/>
        <w:numPr>
          <w:ilvl w:val="0"/>
          <w:numId w:val="1003"/>
        </w:numPr>
      </w:pPr>
      <w:r>
        <w:rPr>
          <w:b/>
          <w:bCs/>
        </w:rPr>
        <w:t xml:space="preserve">Lender public pricing and marketing pages.</w:t>
      </w:r>
      <w:r>
        <w:t xml:space="preserve"> </w:t>
      </w:r>
      <w:r>
        <w:t xml:space="preserve">Some Non-QM and DSCR wholesale lenders publish</w:t>
      </w:r>
      <w:r>
        <w:t xml:space="preserve"> </w:t>
      </w:r>
      <w:r>
        <w:t xml:space="preserve">“starting at”</w:t>
      </w:r>
      <w:r>
        <w:t xml:space="preserve"> </w:t>
      </w:r>
      <w:r>
        <w:t xml:space="preserve">rates or sample pricing; most full rate sheets sit behind broker logins. Treat any public number as a marketing floor for the best borrower profile, not a market level. Do not cite a single lender’s page as</w:t>
      </w:r>
      <w:r>
        <w:t xml:space="preserve"> </w:t>
      </w:r>
      <w:r>
        <w:t xml:space="preserve">“the market.”</w:t>
      </w:r>
    </w:p>
    <w:p>
      <w:pPr>
        <w:pStyle w:val="Compact"/>
        <w:numPr>
          <w:ilvl w:val="0"/>
          <w:numId w:val="1003"/>
        </w:numPr>
      </w:pPr>
      <w:r>
        <w:rPr>
          <w:b/>
          <w:bCs/>
        </w:rPr>
        <w:t xml:space="preserve">Trade press:</w:t>
      </w:r>
      <w:r>
        <w:t xml:space="preserve"> </w:t>
      </w:r>
      <w:r>
        <w:t xml:space="preserve">Scotsman Guide, National Mortgage Professional (NMP), HousingWire, and National Mortgage News regularly cover Non-QM/DSCR product and pricing trends and lender guideline changes. Useful for color, not for levels.</w:t>
      </w:r>
    </w:p>
    <w:p>
      <w:pPr>
        <w:pStyle w:val="Compact"/>
        <w:numPr>
          <w:ilvl w:val="0"/>
          <w:numId w:val="1003"/>
        </w:numPr>
      </w:pPr>
      <w:r>
        <w:rPr>
          <w:b/>
          <w:bCs/>
        </w:rPr>
        <w:t xml:space="preserve">Paid data:</w:t>
      </w:r>
      <w:r>
        <w:t xml:space="preserve"> </w:t>
      </w:r>
      <w:r>
        <w:t xml:space="preserve">Optimal Blue Market Data License (includes Non-QM fields), dv01 (loan-level Non-QM performance, including note rates), and broker/dealer color.</w:t>
      </w:r>
    </w:p>
    <w:p>
      <w:pPr>
        <w:pStyle w:val="FirstParagraph"/>
      </w:pPr>
      <w:r>
        <w:t xml:space="preserve">For</w:t>
      </w:r>
      <w:r>
        <w:t xml:space="preserve"> </w:t>
      </w:r>
      <w:r>
        <w:rPr>
          <w:b/>
          <w:bCs/>
        </w:rPr>
        <w:t xml:space="preserve">RTL (fix-and-flip/bridge)</w:t>
      </w:r>
      <w:r>
        <w:t xml:space="preserve">, rates are short-term, often floating or fixed for 12–24 months, and set loan by loan by private lenders. Rated RTL deals (for example Kiavi’s LHOME and Toorak’s TRK shelves) publish pool coupon and leverage metrics in the rating reports; beyond that, rely on broker color and trade press.</w:t>
      </w:r>
    </w:p>
    <w:bookmarkEnd w:id="55"/>
    <w:bookmarkStart w:id="56" w:name="Xbc7f0999346eefee40fc5fe6990d20f1aac507e"/>
    <w:p>
      <w:pPr>
        <w:pStyle w:val="Heading2"/>
      </w:pPr>
      <w:r>
        <w:t xml:space="preserve">3.3 Mortgage-to-10Y spread and the primary-secondary spread</w:t>
      </w:r>
    </w:p>
    <w:p>
      <w:pPr>
        <w:pStyle w:val="FirstParagraph"/>
      </w:pPr>
      <w:r>
        <w:rPr>
          <w:b/>
          <w:bCs/>
        </w:rPr>
        <w:t xml:space="preserve">Mortgage-to-10Y spread (the</w:t>
      </w:r>
      <w:r>
        <w:rPr>
          <w:b/>
          <w:bCs/>
        </w:rPr>
        <w:t xml:space="preserve"> </w:t>
      </w:r>
      <w:r>
        <w:rPr>
          <w:b/>
          <w:bCs/>
        </w:rPr>
        <w:t xml:space="preserve">“headline spread”</w:t>
      </w:r>
      <w:r>
        <w:rPr>
          <w:b/>
          <w:bCs/>
        </w:rPr>
        <w:t xml:space="preserve">).</w:t>
      </w:r>
      <w:r>
        <w:t xml:space="preserve"> </w:t>
      </w:r>
      <w:r>
        <w:t xml:space="preserve">This is the spread most PMs mean when they say</w:t>
      </w:r>
      <w:r>
        <w:t xml:space="preserve"> </w:t>
      </w:r>
      <w:r>
        <w:t xml:space="preserve">“mortgage rates versus 10s.”</w:t>
      </w:r>
    </w:p>
    <w:p>
      <w:pPr>
        <w:pStyle w:val="Compact"/>
        <w:numPr>
          <w:ilvl w:val="0"/>
          <w:numId w:val="1004"/>
        </w:numPr>
      </w:pPr>
      <w:r>
        <w:rPr>
          <w:i/>
          <w:iCs/>
        </w:rPr>
        <w:t xml:space="preserve">Weekly, standard method:</w:t>
      </w:r>
      <w:r>
        <w:t xml:space="preserve"> </w:t>
      </w:r>
      <w:r>
        <w:t xml:space="preserve">Freddie Mac PMMS 30Y rate minus the average of daily 10Y CMT yields (FRED DGS10) over the same Thursday–Wednesday window the survey covers. Express in basis points. Using only the Thursday 10Y close overstates noise.</w:t>
      </w:r>
    </w:p>
    <w:p>
      <w:pPr>
        <w:pStyle w:val="Compact"/>
        <w:numPr>
          <w:ilvl w:val="0"/>
          <w:numId w:val="1004"/>
        </w:numPr>
      </w:pPr>
      <w:r>
        <w:rPr>
          <w:i/>
          <w:iCs/>
        </w:rPr>
        <w:t xml:space="preserve">Daily method:</w:t>
      </w:r>
      <w:r>
        <w:t xml:space="preserve"> </w:t>
      </w:r>
      <w:r>
        <w:t xml:space="preserve">MND 30Y index minus the 10Y yield at the same afternoon time (MND publishes around 3:00 pm CT; use the 10Y around then, or the Treasury end-of-day par yield and note the timing mismatch). Alternatively use OBMMIC30YF minus the prior day’s DGS10, because OBMMI reflects the prior day’s locks.</w:t>
      </w:r>
    </w:p>
    <w:p>
      <w:pPr>
        <w:pStyle w:val="Compact"/>
        <w:numPr>
          <w:ilvl w:val="0"/>
          <w:numId w:val="1004"/>
        </w:numPr>
      </w:pPr>
      <w:r>
        <w:rPr>
          <w:i/>
          <w:iCs/>
        </w:rPr>
        <w:t xml:space="preserve">In FRED:</w:t>
      </w:r>
      <w:r>
        <w:t xml:space="preserve"> </w:t>
      </w:r>
      <w:r>
        <w:t xml:space="preserve">build a graph with MORTGAGE30US and DGS10, set the frequency to weekly (ending Thursday), and apply the formula a − b. Say in your answer which method you used.</w:t>
      </w:r>
    </w:p>
    <w:p>
      <w:pPr>
        <w:pStyle w:val="Compact"/>
        <w:numPr>
          <w:ilvl w:val="0"/>
          <w:numId w:val="1004"/>
        </w:numPr>
      </w:pPr>
      <w:r>
        <w:rPr>
          <w:i/>
          <w:iCs/>
        </w:rPr>
        <w:t xml:space="preserve">How to interpret:</w:t>
      </w:r>
      <w:r>
        <w:t xml:space="preserve"> </w:t>
      </w:r>
      <w:r>
        <w:t xml:space="preserve">compare against its own 1-year range and pre-2022 history. A wide spread can reflect elevated rate volatility, wide MBS spreads to Treasuries, or high originator margins; you need the next decomposition to know which.</w:t>
      </w:r>
    </w:p>
    <w:p>
      <w:pPr>
        <w:pStyle w:val="FirstParagraph"/>
      </w:pPr>
      <w:r>
        <w:rPr>
          <w:b/>
          <w:bCs/>
        </w:rPr>
        <w:t xml:space="preserve">Primary-secondary spread.</w:t>
      </w:r>
      <w:r>
        <w:t xml:space="preserve"> </w:t>
      </w:r>
      <w:r>
        <w:t xml:space="preserve">Mortgage rate (primary) minus the yield on the current-coupon agency MBS (secondary). It captures guarantee fees, servicing strip, and originator profit/capacity. The</w:t>
      </w:r>
      <w:r>
        <w:t xml:space="preserve"> </w:t>
      </w:r>
      <w:r>
        <w:rPr>
          <w:b/>
          <w:bCs/>
        </w:rPr>
        <w:t xml:space="preserve">secondary spread</w:t>
      </w:r>
      <w:r>
        <w:t xml:space="preserve"> </w:t>
      </w:r>
      <w:r>
        <w:t xml:space="preserve">is the current-coupon MBS yield minus a Treasury benchmark (commonly the 10Y or a 5Y/10Y blend), which captures MBS spread to Treasuries (driven by vol, demand from banks/Fed/money managers, and supply).</w:t>
      </w:r>
    </w:p>
    <w:p>
      <w:pPr>
        <w:pStyle w:val="Compact"/>
        <w:numPr>
          <w:ilvl w:val="0"/>
          <w:numId w:val="1005"/>
        </w:numPr>
      </w:pPr>
      <w:r>
        <w:t xml:space="preserve">The current-coupon yield is not published free in a clean daily series. It is available on Bloomberg (ask the desk to confirm the current-coupon index ticker) and in dealer research.</w:t>
      </w:r>
    </w:p>
    <w:p>
      <w:pPr>
        <w:pStyle w:val="Compact"/>
        <w:numPr>
          <w:ilvl w:val="0"/>
          <w:numId w:val="1005"/>
        </w:numPr>
      </w:pPr>
      <w:r>
        <w:t xml:space="preserve">The Urban Institute’s monthly</w:t>
      </w:r>
      <w:r>
        <w:t xml:space="preserve"> </w:t>
      </w:r>
      <w:r>
        <w:rPr>
          <w:i/>
          <w:iCs/>
        </w:rPr>
        <w:t xml:space="preserve">Housing Finance at a Glance</w:t>
      </w:r>
      <w:r>
        <w:t xml:space="preserve"> </w:t>
      </w:r>
      <w:r>
        <w:t xml:space="preserve">chartbook charts the primary-secondary spread and is the best free citation.</w:t>
      </w:r>
    </w:p>
    <w:p>
      <w:pPr>
        <w:pStyle w:val="Compact"/>
        <w:numPr>
          <w:ilvl w:val="0"/>
          <w:numId w:val="1005"/>
        </w:numPr>
      </w:pPr>
      <w:r>
        <w:t xml:space="preserve">Decomposition to use in an answer:</w:t>
      </w:r>
      <w:r>
        <w:t xml:space="preserve"> </w:t>
      </w:r>
      <w:r>
        <w:rPr>
          <w:i/>
          <w:iCs/>
        </w:rPr>
        <w:t xml:space="preserve">Mortgage rate − 10Y = (Mortgage rate − CC MBS yield) + (CC MBS yield − 10Y)</w:t>
      </w:r>
      <w:r>
        <w:t xml:space="preserve">.</w:t>
      </w:r>
      <w:r>
        <w:t xml:space="preserve"> </w:t>
      </w:r>
      <w:r>
        <w:t xml:space="preserve">“Primary-secondary”</w:t>
      </w:r>
      <w:r>
        <w:t xml:space="preserve"> </w:t>
      </w:r>
      <w:r>
        <w:t xml:space="preserve">plus</w:t>
      </w:r>
      <w:r>
        <w:t xml:space="preserve"> </w:t>
      </w:r>
      <w:r>
        <w:t xml:space="preserve">“secondary spread”</w:t>
      </w:r>
      <w:r>
        <w:t xml:space="preserve"> </w:t>
      </w:r>
      <w:r>
        <w:t xml:space="preserve">equals the headline spread.</w:t>
      </w:r>
    </w:p>
    <w:bookmarkEnd w:id="56"/>
    <w:bookmarkEnd w:id="57"/>
    <w:bookmarkStart w:id="78" w:name="spreads-and-mbs-pricing"/>
    <w:p>
      <w:pPr>
        <w:pStyle w:val="Heading1"/>
      </w:pPr>
      <w:r>
        <w:t xml:space="preserve">4. Spreads and MBS pricing</w:t>
      </w:r>
    </w:p>
    <w:p>
      <w:pPr>
        <w:pStyle w:val="FirstParagraph"/>
      </w:pPr>
      <w:r>
        <w:t xml:space="preserve">Be candid: there is almost no free, reliable source for live MBS prices or non-agency spreads. Agency TBA prices and non-agency secondary levels are dealer-quoted and platform-traded markets. Free sources give you context and history; live levels come from Bloomberg, trading platforms, and dealer runs.</w:t>
      </w:r>
    </w:p>
    <w:bookmarkStart w:id="63" w:name="X887871556de547c5f31c8028376759f11c552e9"/>
    <w:p>
      <w:pPr>
        <w:pStyle w:val="Heading2"/>
      </w:pPr>
      <w:r>
        <w:t xml:space="preserve">4.1 Agency TBA / UMBS prices, current coupon, OAS</w:t>
      </w:r>
    </w:p>
    <w:p>
      <w:pPr>
        <w:pStyle w:val="TableCaption"/>
      </w:pPr>
      <w:r>
        <w:t xml:space="preserve">Agency MBS pricing sources.</w:t>
      </w:r>
    </w:p>
    <w:tbl>
      <w:tblPr>
        <w:tblStyle w:val="Table"/>
        <w:tblLayout w:type="fixed"/>
        <w:tblLook w:firstRow="1" w:lastRow="0" w:firstColumn="0" w:lastColumn="0" w:noHBand="0" w:noVBand="0" w:val="0020"/>
        <w:tblCaption w:val="Agency MBS pricing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Bloomberg Terminal</w:t>
            </w:r>
          </w:p>
        </w:tc>
        <w:tc>
          <w:tcPr>
            <w:tcW w:w="3485" w:type="dxa"/>
          </w:tcPr>
          <w:p>
            <w:pPr>
              <w:pStyle w:val="Compact"/>
              <w:spacing w:after="20" w:before="20"/>
            </w:pPr>
            <w:r>
              <w:rPr>
                <w:sz w:val="17"/>
              </w:rPr>
              <w:t xml:space="preserve">Live TBA prices by coupon (UMBS, GNMA II), current-coupon yield, OAS via YAS, dollar rolls</w:t>
            </w:r>
          </w:p>
        </w:tc>
        <w:tc>
          <w:tcPr>
            <w:tcW w:w="1394" w:type="dxa"/>
          </w:tcPr>
          <w:p>
            <w:pPr>
              <w:pStyle w:val="Compact"/>
              <w:spacing w:after="20" w:before="20"/>
            </w:pPr>
            <w:r>
              <w:rPr>
                <w:sz w:val="17"/>
              </w:rPr>
              <w:t xml:space="preserve">Paid – Must-request</w:t>
            </w:r>
          </w:p>
        </w:tc>
        <w:tc>
          <w:tcPr>
            <w:tcW w:w="1916" w:type="dxa"/>
          </w:tcPr>
          <w:p>
            <w:pPr>
              <w:pStyle w:val="Compact"/>
              <w:spacing w:after="20" w:before="20"/>
            </w:pPr>
            <w:r>
              <w:rPr>
                <w:sz w:val="17"/>
              </w:rPr>
              <w:t xml:space="preserve">Real time</w:t>
            </w:r>
          </w:p>
        </w:tc>
        <w:tc>
          <w:tcPr>
            <w:tcW w:w="2438" w:type="dxa"/>
          </w:tcPr>
          <w:p>
            <w:pPr>
              <w:pStyle w:val="Compact"/>
              <w:spacing w:after="20" w:before="20"/>
            </w:pPr>
            <w:r>
              <w:rPr>
                <w:sz w:val="17"/>
              </w:rPr>
              <w:t xml:space="preserve">Live TBA levels, CC spread, OAS</w:t>
            </w:r>
          </w:p>
        </w:tc>
        <w:tc>
          <w:tcPr>
            <w:tcW w:w="2438" w:type="dxa"/>
          </w:tcPr>
          <w:p>
            <w:pPr>
              <w:pStyle w:val="Compact"/>
              <w:spacing w:after="20" w:before="20"/>
            </w:pPr>
            <w:hyperlink r:id="rId19">
              <w:r>
                <w:rPr>
                  <w:rStyle w:val="Hyperlink"/>
                  <w:sz w:val="17"/>
                </w:rPr>
                <w:t xml:space="preserve">bloomberg.com/professional</w:t>
              </w:r>
            </w:hyperlink>
          </w:p>
        </w:tc>
      </w:tr>
      <w:tr>
        <w:trPr>
          <w:cantSplit/>
        </w:trPr>
        <w:tc>
          <w:tcPr>
            <w:tcW w:w="2438" w:type="dxa"/>
            <w:shd w:val="clear" w:color="auto" w:fill="EEF2F7"/>
          </w:tcPr>
          <w:p>
            <w:pPr>
              <w:pStyle w:val="Compact"/>
              <w:spacing w:after="20" w:before="20"/>
            </w:pPr>
            <w:r>
              <w:rPr>
                <w:sz w:val="17"/>
              </w:rPr>
              <w:t xml:space="preserve">Tradeweb</w:t>
            </w:r>
          </w:p>
        </w:tc>
        <w:tc>
          <w:tcPr>
            <w:tcW w:w="3485" w:type="dxa"/>
            <w:shd w:val="clear" w:color="auto" w:fill="EEF2F7"/>
          </w:tcPr>
          <w:p>
            <w:pPr>
              <w:pStyle w:val="Compact"/>
              <w:spacing w:after="20" w:before="20"/>
            </w:pPr>
            <w:r>
              <w:rPr>
                <w:sz w:val="17"/>
              </w:rPr>
              <w:t xml:space="preserve">Electronic TBA and specified-pool trading, Treasuries</w:t>
            </w:r>
          </w:p>
        </w:tc>
        <w:tc>
          <w:tcPr>
            <w:tcW w:w="1394" w:type="dxa"/>
            <w:shd w:val="clear" w:color="auto" w:fill="EEF2F7"/>
          </w:tcPr>
          <w:p>
            <w:pPr>
              <w:pStyle w:val="Compact"/>
              <w:spacing w:after="20" w:before="20"/>
            </w:pPr>
            <w:r>
              <w:rPr>
                <w:sz w:val="17"/>
              </w:rPr>
              <w:t xml:space="preserve">Paid (institutional platform access) – Must-request if you will execute</w:t>
            </w:r>
          </w:p>
        </w:tc>
        <w:tc>
          <w:tcPr>
            <w:tcW w:w="1916" w:type="dxa"/>
            <w:shd w:val="clear" w:color="auto" w:fill="EEF2F7"/>
          </w:tcPr>
          <w:p>
            <w:pPr>
              <w:pStyle w:val="Compact"/>
              <w:spacing w:after="20" w:before="20"/>
            </w:pPr>
            <w:r>
              <w:rPr>
                <w:sz w:val="17"/>
              </w:rPr>
              <w:t xml:space="preserve">Real time</w:t>
            </w:r>
          </w:p>
        </w:tc>
        <w:tc>
          <w:tcPr>
            <w:tcW w:w="2438" w:type="dxa"/>
            <w:shd w:val="clear" w:color="auto" w:fill="EEF2F7"/>
          </w:tcPr>
          <w:p>
            <w:pPr>
              <w:pStyle w:val="Compact"/>
              <w:spacing w:after="20" w:before="20"/>
            </w:pPr>
            <w:r>
              <w:rPr>
                <w:sz w:val="17"/>
              </w:rPr>
              <w:t xml:space="preserve">Execution and live dealer quotes for TBA</w:t>
            </w:r>
          </w:p>
        </w:tc>
        <w:tc>
          <w:tcPr>
            <w:tcW w:w="2438" w:type="dxa"/>
            <w:shd w:val="clear" w:color="auto" w:fill="EEF2F7"/>
          </w:tcPr>
          <w:p>
            <w:pPr>
              <w:pStyle w:val="Compact"/>
              <w:spacing w:after="20" w:before="20"/>
            </w:pPr>
            <w:hyperlink r:id="rId58">
              <w:r>
                <w:rPr>
                  <w:rStyle w:val="Hyperlink"/>
                  <w:sz w:val="17"/>
                </w:rPr>
                <w:t xml:space="preserve">tradeweb.com</w:t>
              </w:r>
            </w:hyperlink>
          </w:p>
        </w:tc>
      </w:tr>
      <w:tr>
        <w:trPr>
          <w:cantSplit/>
        </w:trPr>
        <w:tc>
          <w:tcPr>
            <w:tcW w:w="2438" w:type="dxa"/>
          </w:tcPr>
          <w:p>
            <w:pPr>
              <w:pStyle w:val="Compact"/>
              <w:spacing w:after="20" w:before="20"/>
            </w:pPr>
            <w:r>
              <w:rPr>
                <w:sz w:val="17"/>
              </w:rPr>
              <w:t xml:space="preserve">MND MBS dashboard</w:t>
            </w:r>
          </w:p>
        </w:tc>
        <w:tc>
          <w:tcPr>
            <w:tcW w:w="3485" w:type="dxa"/>
          </w:tcPr>
          <w:p>
            <w:pPr>
              <w:pStyle w:val="Compact"/>
              <w:spacing w:after="20" w:before="20"/>
            </w:pPr>
            <w:r>
              <w:rPr>
                <w:sz w:val="17"/>
              </w:rPr>
              <w:t xml:space="preserve">Free MBS/Treasury overview page (MND has noted periods of free-price outages due to data-provider issues)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Intraday when available</w:t>
            </w:r>
          </w:p>
        </w:tc>
        <w:tc>
          <w:tcPr>
            <w:tcW w:w="2438" w:type="dxa"/>
          </w:tcPr>
          <w:p>
            <w:pPr>
              <w:pStyle w:val="Compact"/>
              <w:spacing w:after="20" w:before="20"/>
            </w:pPr>
            <w:r>
              <w:rPr>
                <w:sz w:val="17"/>
              </w:rPr>
              <w:t xml:space="preserve">Rough directional read</w:t>
            </w:r>
          </w:p>
        </w:tc>
        <w:tc>
          <w:tcPr>
            <w:tcW w:w="2438" w:type="dxa"/>
          </w:tcPr>
          <w:p>
            <w:pPr>
              <w:pStyle w:val="Compact"/>
              <w:spacing w:after="20" w:before="20"/>
            </w:pPr>
            <w:hyperlink r:id="rId59">
              <w:r>
                <w:rPr>
                  <w:rStyle w:val="Hyperlink"/>
                  <w:sz w:val="17"/>
                </w:rPr>
                <w:t xml:space="preserve">mortgagenewsdaily.com/mbs</w:t>
              </w:r>
            </w:hyperlink>
          </w:p>
        </w:tc>
      </w:tr>
      <w:tr>
        <w:trPr>
          <w:cantSplit/>
        </w:trPr>
        <w:tc>
          <w:tcPr>
            <w:tcW w:w="2438" w:type="dxa"/>
            <w:shd w:val="clear" w:color="auto" w:fill="EEF2F7"/>
          </w:tcPr>
          <w:p>
            <w:pPr>
              <w:pStyle w:val="Compact"/>
              <w:spacing w:after="20" w:before="20"/>
            </w:pPr>
            <w:r>
              <w:rPr>
                <w:sz w:val="17"/>
              </w:rPr>
              <w:t xml:space="preserve">MBS Live (MND’s paid service)</w:t>
            </w:r>
          </w:p>
        </w:tc>
        <w:tc>
          <w:tcPr>
            <w:tcW w:w="3485" w:type="dxa"/>
            <w:shd w:val="clear" w:color="auto" w:fill="EEF2F7"/>
          </w:tcPr>
          <w:p>
            <w:pPr>
              <w:pStyle w:val="Compact"/>
              <w:spacing w:after="20" w:before="20"/>
            </w:pPr>
            <w:r>
              <w:rPr>
                <w:sz w:val="17"/>
              </w:rPr>
              <w:t xml:space="preserve">Streaming UMBS/GNMA prices, Treasuries, live commentary for lenders</w:t>
            </w:r>
          </w:p>
        </w:tc>
        <w:tc>
          <w:tcPr>
            <w:tcW w:w="1394" w:type="dxa"/>
            <w:shd w:val="clear" w:color="auto" w:fill="EEF2F7"/>
          </w:tcPr>
          <w:p>
            <w:pPr>
              <w:pStyle w:val="Compact"/>
              <w:spacing w:after="20" w:before="20"/>
            </w:pPr>
            <w:r>
              <w:rPr>
                <w:sz w:val="17"/>
              </w:rPr>
              <w:t xml:space="preserve">Paid – Nice to have (cheap; aimed at loan officers)</w:t>
            </w:r>
          </w:p>
        </w:tc>
        <w:tc>
          <w:tcPr>
            <w:tcW w:w="1916" w:type="dxa"/>
            <w:shd w:val="clear" w:color="auto" w:fill="EEF2F7"/>
          </w:tcPr>
          <w:p>
            <w:pPr>
              <w:pStyle w:val="Compact"/>
              <w:spacing w:after="20" w:before="20"/>
            </w:pPr>
            <w:r>
              <w:rPr>
                <w:sz w:val="17"/>
              </w:rPr>
              <w:t xml:space="preserve">Real time</w:t>
            </w:r>
          </w:p>
        </w:tc>
        <w:tc>
          <w:tcPr>
            <w:tcW w:w="2438" w:type="dxa"/>
            <w:shd w:val="clear" w:color="auto" w:fill="EEF2F7"/>
          </w:tcPr>
          <w:p>
            <w:pPr>
              <w:pStyle w:val="Compact"/>
              <w:spacing w:after="20" w:before="20"/>
            </w:pPr>
            <w:r>
              <w:rPr>
                <w:sz w:val="17"/>
              </w:rPr>
              <w:t xml:space="preserve">Low-cost live TBA screen if no Bloomberg</w:t>
            </w:r>
          </w:p>
        </w:tc>
        <w:tc>
          <w:tcPr>
            <w:tcW w:w="2438" w:type="dxa"/>
            <w:shd w:val="clear" w:color="auto" w:fill="EEF2F7"/>
          </w:tcPr>
          <w:p>
            <w:pPr>
              <w:pStyle w:val="Compact"/>
              <w:spacing w:after="20" w:before="20"/>
            </w:pPr>
            <w:hyperlink r:id="rId60">
              <w:r>
                <w:rPr>
                  <w:rStyle w:val="Hyperlink"/>
                  <w:sz w:val="17"/>
                </w:rPr>
                <w:t xml:space="preserve">mbslive.net</w:t>
              </w:r>
            </w:hyperlink>
          </w:p>
        </w:tc>
      </w:tr>
      <w:tr>
        <w:trPr>
          <w:cantSplit/>
        </w:trPr>
        <w:tc>
          <w:tcPr>
            <w:tcW w:w="2438" w:type="dxa"/>
          </w:tcPr>
          <w:p>
            <w:pPr>
              <w:pStyle w:val="Compact"/>
              <w:spacing w:after="20" w:before="20"/>
            </w:pPr>
            <w:r>
              <w:rPr>
                <w:sz w:val="17"/>
              </w:rPr>
              <w:t xml:space="preserve">FINRA TRACE – TBA and MBS</w:t>
            </w:r>
          </w:p>
        </w:tc>
        <w:tc>
          <w:tcPr>
            <w:tcW w:w="3485" w:type="dxa"/>
          </w:tcPr>
          <w:p>
            <w:pPr>
              <w:pStyle w:val="Compact"/>
              <w:spacing w:after="20" w:before="20"/>
            </w:pPr>
            <w:r>
              <w:rPr>
                <w:sz w:val="17"/>
              </w:rPr>
              <w:t xml:space="preserve">Disseminated trade prices for TBA, agency pass-throughs, CMOs</w:t>
            </w:r>
          </w:p>
        </w:tc>
        <w:tc>
          <w:tcPr>
            <w:tcW w:w="1394" w:type="dxa"/>
          </w:tcPr>
          <w:p>
            <w:pPr>
              <w:pStyle w:val="Compact"/>
              <w:spacing w:after="20" w:before="20"/>
            </w:pPr>
            <w:r>
              <w:rPr>
                <w:sz w:val="17"/>
              </w:rPr>
              <w:t xml:space="preserve">Free (agree to user terms)</w:t>
            </w:r>
          </w:p>
        </w:tc>
        <w:tc>
          <w:tcPr>
            <w:tcW w:w="1916" w:type="dxa"/>
          </w:tcPr>
          <w:p>
            <w:pPr>
              <w:pStyle w:val="Compact"/>
              <w:spacing w:after="20" w:before="20"/>
            </w:pPr>
            <w:r>
              <w:rPr>
                <w:sz w:val="17"/>
              </w:rPr>
              <w:t xml:space="preserve">Real-time dissemination; aggregate stats end of day</w:t>
            </w:r>
          </w:p>
        </w:tc>
        <w:tc>
          <w:tcPr>
            <w:tcW w:w="2438" w:type="dxa"/>
          </w:tcPr>
          <w:p>
            <w:pPr>
              <w:pStyle w:val="Compact"/>
              <w:spacing w:after="20" w:before="20"/>
            </w:pPr>
            <w:r>
              <w:rPr>
                <w:sz w:val="17"/>
              </w:rPr>
              <w:t xml:space="preserve">Checking actual trade prints and volumes</w:t>
            </w:r>
          </w:p>
        </w:tc>
        <w:tc>
          <w:tcPr>
            <w:tcW w:w="2438" w:type="dxa"/>
          </w:tcPr>
          <w:p>
            <w:pPr>
              <w:pStyle w:val="Compact"/>
              <w:spacing w:after="20" w:before="20"/>
            </w:pPr>
            <w:hyperlink r:id="rId61">
              <w:r>
                <w:rPr>
                  <w:rStyle w:val="Hyperlink"/>
                  <w:sz w:val="17"/>
                </w:rPr>
                <w:t xml:space="preserve">finra.org – Fixed Income Data</w:t>
              </w:r>
            </w:hyperlink>
          </w:p>
        </w:tc>
      </w:tr>
      <w:tr>
        <w:trPr>
          <w:cantSplit/>
        </w:trPr>
        <w:tc>
          <w:tcPr>
            <w:tcW w:w="2438" w:type="dxa"/>
            <w:shd w:val="clear" w:color="auto" w:fill="EEF2F7"/>
          </w:tcPr>
          <w:p>
            <w:pPr>
              <w:pStyle w:val="Compact"/>
              <w:spacing w:after="20" w:before="20"/>
            </w:pPr>
            <w:r>
              <w:rPr>
                <w:sz w:val="17"/>
              </w:rPr>
              <w:t xml:space="preserve">Dealer research (via brokers)</w:t>
            </w:r>
          </w:p>
        </w:tc>
        <w:tc>
          <w:tcPr>
            <w:tcW w:w="3485" w:type="dxa"/>
            <w:shd w:val="clear" w:color="auto" w:fill="EEF2F7"/>
          </w:tcPr>
          <w:p>
            <w:pPr>
              <w:pStyle w:val="Compact"/>
              <w:spacing w:after="20" w:before="20"/>
            </w:pPr>
            <w:r>
              <w:rPr>
                <w:sz w:val="17"/>
              </w:rPr>
              <w:t xml:space="preserve">Daily MBS commentary, CC spread, OAS by coupon, relative value</w:t>
            </w:r>
          </w:p>
        </w:tc>
        <w:tc>
          <w:tcPr>
            <w:tcW w:w="1394" w:type="dxa"/>
            <w:shd w:val="clear" w:color="auto" w:fill="EEF2F7"/>
          </w:tcPr>
          <w:p>
            <w:pPr>
              <w:pStyle w:val="Compact"/>
              <w:spacing w:after="20" w:before="20"/>
            </w:pPr>
            <w:r>
              <w:rPr>
                <w:sz w:val="17"/>
              </w:rPr>
              <w:t xml:space="preserve">Free to clients (ask coverage)</w:t>
            </w:r>
          </w:p>
        </w:tc>
        <w:tc>
          <w:tcPr>
            <w:tcW w:w="1916" w:type="dxa"/>
            <w:shd w:val="clear" w:color="auto" w:fill="EEF2F7"/>
          </w:tcPr>
          <w:p>
            <w:pPr>
              <w:pStyle w:val="Compact"/>
              <w:spacing w:after="20" w:before="20"/>
            </w:pPr>
            <w:r>
              <w:rPr>
                <w:sz w:val="17"/>
              </w:rPr>
              <w:t xml:space="preserve">Daily/weekly</w:t>
            </w:r>
          </w:p>
        </w:tc>
        <w:tc>
          <w:tcPr>
            <w:tcW w:w="2438" w:type="dxa"/>
            <w:shd w:val="clear" w:color="auto" w:fill="EEF2F7"/>
          </w:tcPr>
          <w:p>
            <w:pPr>
              <w:pStyle w:val="Compact"/>
              <w:spacing w:after="20" w:before="20"/>
            </w:pPr>
            <w:r>
              <w:rPr>
                <w:sz w:val="17"/>
              </w:rPr>
              <w:t xml:space="preserve">Levels and narrative</w:t>
            </w:r>
          </w:p>
        </w:tc>
        <w:tc>
          <w:tcPr>
            <w:tcW w:w="2438" w:type="dxa"/>
            <w:shd w:val="clear" w:color="auto" w:fill="EEF2F7"/>
          </w:tcPr>
          <w:p>
            <w:pPr>
              <w:pStyle w:val="Compact"/>
              <w:spacing w:after="20" w:before="20"/>
            </w:pPr>
            <w:r>
              <w:rPr>
                <w:sz w:val="17"/>
              </w:rPr>
              <w:t xml:space="preserve">Ask your broker-dealer coverage for distribution lists</w:t>
            </w:r>
          </w:p>
        </w:tc>
      </w:tr>
      <w:tr>
        <w:trPr>
          <w:cantSplit/>
        </w:trPr>
        <w:tc>
          <w:tcPr>
            <w:tcW w:w="2438" w:type="dxa"/>
          </w:tcPr>
          <w:p>
            <w:pPr>
              <w:pStyle w:val="Compact"/>
              <w:spacing w:after="20" w:before="20"/>
            </w:pPr>
            <w:r>
              <w:rPr>
                <w:sz w:val="17"/>
              </w:rPr>
              <w:t xml:space="preserve">Urban Institute chartbook</w:t>
            </w:r>
          </w:p>
        </w:tc>
        <w:tc>
          <w:tcPr>
            <w:tcW w:w="3485" w:type="dxa"/>
          </w:tcPr>
          <w:p>
            <w:pPr>
              <w:pStyle w:val="Compact"/>
              <w:spacing w:after="20" w:before="20"/>
            </w:pPr>
            <w:r>
              <w:rPr>
                <w:sz w:val="17"/>
              </w:rPr>
              <w:t xml:space="preserve">Monthly charts of primary-secondary spread, MBS issuance and holders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Monthly</w:t>
            </w:r>
          </w:p>
        </w:tc>
        <w:tc>
          <w:tcPr>
            <w:tcW w:w="2438" w:type="dxa"/>
          </w:tcPr>
          <w:p>
            <w:pPr>
              <w:pStyle w:val="Compact"/>
              <w:spacing w:after="20" w:before="20"/>
            </w:pPr>
            <w:r>
              <w:rPr>
                <w:sz w:val="17"/>
              </w:rPr>
              <w:t xml:space="preserve">Free historical citation</w:t>
            </w:r>
          </w:p>
        </w:tc>
        <w:tc>
          <w:tcPr>
            <w:tcW w:w="2438" w:type="dxa"/>
          </w:tcPr>
          <w:p>
            <w:pPr>
              <w:pStyle w:val="Compact"/>
              <w:spacing w:after="20" w:before="20"/>
            </w:pPr>
            <w:hyperlink r:id="rId62">
              <w:r>
                <w:rPr>
                  <w:rStyle w:val="Hyperlink"/>
                  <w:sz w:val="17"/>
                </w:rPr>
                <w:t xml:space="preserve">urban.org – Housing Finance at a Glance</w:t>
              </w:r>
            </w:hyperlink>
          </w:p>
        </w:tc>
      </w:tr>
    </w:tbl>
    <w:p>
      <w:pPr>
        <w:pStyle w:val="BodyText"/>
      </w:pPr>
      <w:r>
        <w:t xml:space="preserve">FRED does not carry a current-coupon MBS yield or TBA price series, so any free</w:t>
      </w:r>
      <w:r>
        <w:t xml:space="preserve"> </w:t>
      </w:r>
      <w:r>
        <w:t xml:space="preserve">“current coupon”</w:t>
      </w:r>
      <w:r>
        <w:t xml:space="preserve"> </w:t>
      </w:r>
      <w:r>
        <w:t xml:space="preserve">number you find on a third-party site should be checked against Bloomberg or dealer research before you cite it.</w:t>
      </w:r>
    </w:p>
    <w:bookmarkEnd w:id="63"/>
    <w:bookmarkStart w:id="70" w:name="non-agency-non-qm-jumbo-cesheloc-spreads"/>
    <w:p>
      <w:pPr>
        <w:pStyle w:val="Heading2"/>
      </w:pPr>
      <w:r>
        <w:t xml:space="preserve">4.2 Non-agency, Non-QM, jumbo, CES/HELOC spreads</w:t>
      </w:r>
    </w:p>
    <w:p>
      <w:pPr>
        <w:pStyle w:val="TableCaption"/>
      </w:pPr>
      <w:r>
        <w:t xml:space="preserve">Non-agency spread sources.</w:t>
      </w:r>
    </w:p>
    <w:tbl>
      <w:tblPr>
        <w:tblStyle w:val="Table"/>
        <w:tblLayout w:type="fixed"/>
        <w:tblLook w:firstRow="1" w:lastRow="0" w:firstColumn="0" w:lastColumn="0" w:noHBand="0" w:noVBand="0" w:val="0020"/>
        <w:tblCaption w:val="Non-agency spread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Dealer securitized-products research</w:t>
            </w:r>
          </w:p>
        </w:tc>
        <w:tc>
          <w:tcPr>
            <w:tcW w:w="3485" w:type="dxa"/>
          </w:tcPr>
          <w:p>
            <w:pPr>
              <w:pStyle w:val="Compact"/>
              <w:spacing w:after="20" w:before="20"/>
            </w:pPr>
            <w:r>
              <w:rPr>
                <w:sz w:val="17"/>
              </w:rPr>
              <w:t xml:space="preserve">Weekly spread tables for Non-QM AAA/AA/A/BBB, prime jumbo, CES, HELOC, CRT; new-issue recaps</w:t>
            </w:r>
          </w:p>
        </w:tc>
        <w:tc>
          <w:tcPr>
            <w:tcW w:w="1394" w:type="dxa"/>
          </w:tcPr>
          <w:p>
            <w:pPr>
              <w:pStyle w:val="Compact"/>
              <w:spacing w:after="20" w:before="20"/>
            </w:pPr>
            <w:r>
              <w:rPr>
                <w:sz w:val="17"/>
              </w:rPr>
              <w:t xml:space="preserve">Free to clients</w:t>
            </w:r>
          </w:p>
        </w:tc>
        <w:tc>
          <w:tcPr>
            <w:tcW w:w="1916" w:type="dxa"/>
          </w:tcPr>
          <w:p>
            <w:pPr>
              <w:pStyle w:val="Compact"/>
              <w:spacing w:after="20" w:before="20"/>
            </w:pPr>
            <w:r>
              <w:rPr>
                <w:sz w:val="17"/>
              </w:rPr>
              <w:t xml:space="preserve">Weekly (often Friday)</w:t>
            </w:r>
          </w:p>
        </w:tc>
        <w:tc>
          <w:tcPr>
            <w:tcW w:w="2438" w:type="dxa"/>
          </w:tcPr>
          <w:p>
            <w:pPr>
              <w:pStyle w:val="Compact"/>
              <w:spacing w:after="20" w:before="20"/>
            </w:pPr>
            <w:r>
              <w:rPr>
                <w:sz w:val="17"/>
              </w:rPr>
              <w:t xml:space="preserve">The standard answer to</w:t>
            </w:r>
            <w:r>
              <w:rPr>
                <w:sz w:val="17"/>
              </w:rPr>
              <w:t xml:space="preserve"> </w:t>
            </w:r>
            <w:r>
              <w:rPr>
                <w:sz w:val="17"/>
              </w:rPr>
              <w:t xml:space="preserve">“where are spreads?”</w:t>
            </w:r>
          </w:p>
        </w:tc>
        <w:tc>
          <w:tcPr>
            <w:tcW w:w="2438" w:type="dxa"/>
          </w:tcPr>
          <w:p>
            <w:pPr>
              <w:pStyle w:val="Compact"/>
              <w:spacing w:after="20" w:before="20"/>
            </w:pPr>
            <w:r>
              <w:rPr>
                <w:sz w:val="17"/>
              </w:rPr>
              <w:t xml:space="preserve">Ask broker-dealer coverage</w:t>
            </w:r>
          </w:p>
        </w:tc>
      </w:tr>
      <w:tr>
        <w:trPr>
          <w:cantSplit/>
        </w:trPr>
        <w:tc>
          <w:tcPr>
            <w:tcW w:w="2438" w:type="dxa"/>
            <w:shd w:val="clear" w:color="auto" w:fill="EEF2F7"/>
          </w:tcPr>
          <w:p>
            <w:pPr>
              <w:pStyle w:val="Compact"/>
              <w:spacing w:after="20" w:before="20"/>
            </w:pPr>
            <w:r>
              <w:rPr>
                <w:sz w:val="17"/>
              </w:rPr>
              <w:t xml:space="preserve">Finsight / CreditFlow</w:t>
            </w:r>
          </w:p>
        </w:tc>
        <w:tc>
          <w:tcPr>
            <w:tcW w:w="3485" w:type="dxa"/>
            <w:shd w:val="clear" w:color="auto" w:fill="EEF2F7"/>
          </w:tcPr>
          <w:p>
            <w:pPr>
              <w:pStyle w:val="Compact"/>
              <w:spacing w:after="20" w:before="20"/>
            </w:pPr>
            <w:r>
              <w:rPr>
                <w:sz w:val="17"/>
              </w:rPr>
              <w:t xml:space="preserve">New-issue deal database, pricing (tranche spreads/coupons), roadshow materials; RMBS pipeline views</w:t>
            </w:r>
          </w:p>
        </w:tc>
        <w:tc>
          <w:tcPr>
            <w:tcW w:w="1394" w:type="dxa"/>
            <w:shd w:val="clear" w:color="auto" w:fill="EEF2F7"/>
          </w:tcPr>
          <w:p>
            <w:pPr>
              <w:pStyle w:val="Compact"/>
              <w:spacing w:after="20" w:before="20"/>
            </w:pPr>
            <w:r>
              <w:rPr>
                <w:sz w:val="17"/>
              </w:rPr>
              <w:t xml:space="preserve">Free w/ reg (basic); Paid for full data – Must-request</w:t>
            </w:r>
          </w:p>
        </w:tc>
        <w:tc>
          <w:tcPr>
            <w:tcW w:w="1916" w:type="dxa"/>
            <w:shd w:val="clear" w:color="auto" w:fill="EEF2F7"/>
          </w:tcPr>
          <w:p>
            <w:pPr>
              <w:pStyle w:val="Compact"/>
              <w:spacing w:after="20" w:before="20"/>
            </w:pPr>
            <w:r>
              <w:rPr>
                <w:sz w:val="17"/>
              </w:rPr>
              <w:t xml:space="preserve">Intraday as deals price</w:t>
            </w:r>
          </w:p>
        </w:tc>
        <w:tc>
          <w:tcPr>
            <w:tcW w:w="2438" w:type="dxa"/>
            <w:shd w:val="clear" w:color="auto" w:fill="EEF2F7"/>
          </w:tcPr>
          <w:p>
            <w:pPr>
              <w:pStyle w:val="Compact"/>
              <w:spacing w:after="20" w:before="20"/>
            </w:pPr>
            <w:r>
              <w:rPr>
                <w:sz w:val="17"/>
              </w:rPr>
              <w:t xml:space="preserve">“What did the last deal price at?”</w:t>
            </w:r>
          </w:p>
        </w:tc>
        <w:tc>
          <w:tcPr>
            <w:tcW w:w="2438" w:type="dxa"/>
            <w:shd w:val="clear" w:color="auto" w:fill="EEF2F7"/>
          </w:tcPr>
          <w:p>
            <w:pPr>
              <w:pStyle w:val="Compact"/>
              <w:spacing w:after="20" w:before="20"/>
            </w:pPr>
            <w:hyperlink r:id="rId64">
              <w:r>
                <w:rPr>
                  <w:rStyle w:val="Hyperlink"/>
                  <w:sz w:val="17"/>
                </w:rPr>
                <w:t xml:space="preserve">finsight.com</w:t>
              </w:r>
            </w:hyperlink>
            <w:r>
              <w:rPr>
                <w:sz w:val="17"/>
              </w:rPr>
              <w:t xml:space="preserve">;</w:t>
            </w:r>
            <w:r>
              <w:rPr>
                <w:sz w:val="17"/>
              </w:rPr>
              <w:t xml:space="preserve"> </w:t>
            </w:r>
            <w:hyperlink r:id="rId65">
              <w:r>
                <w:rPr>
                  <w:rStyle w:val="Hyperlink"/>
                  <w:sz w:val="17"/>
                </w:rPr>
                <w:t xml:space="preserve">creditflowresearch.com</w:t>
              </w:r>
            </w:hyperlink>
          </w:p>
        </w:tc>
      </w:tr>
      <w:tr>
        <w:trPr>
          <w:cantSplit/>
        </w:trPr>
        <w:tc>
          <w:tcPr>
            <w:tcW w:w="2438" w:type="dxa"/>
          </w:tcPr>
          <w:p>
            <w:pPr>
              <w:pStyle w:val="Compact"/>
              <w:spacing w:after="20" w:before="20"/>
            </w:pPr>
            <w:r>
              <w:rPr>
                <w:sz w:val="17"/>
              </w:rPr>
              <w:t xml:space="preserve">Asset-Backed Alert (Green Street)</w:t>
            </w:r>
          </w:p>
        </w:tc>
        <w:tc>
          <w:tcPr>
            <w:tcW w:w="3485" w:type="dxa"/>
          </w:tcPr>
          <w:p>
            <w:pPr>
              <w:pStyle w:val="Compact"/>
              <w:spacing w:after="20" w:before="20"/>
            </w:pPr>
            <w:r>
              <w:rPr>
                <w:sz w:val="17"/>
              </w:rPr>
              <w:t xml:space="preserve">Weekly newsletter on ABS/MBS deal pipeline, pricing, market players; issuance databases</w:t>
            </w:r>
          </w:p>
        </w:tc>
        <w:tc>
          <w:tcPr>
            <w:tcW w:w="1394" w:type="dxa"/>
          </w:tcPr>
          <w:p>
            <w:pPr>
              <w:pStyle w:val="Compact"/>
              <w:spacing w:after="20" w:before="20"/>
            </w:pPr>
            <w:r>
              <w:rPr>
                <w:sz w:val="17"/>
              </w:rPr>
              <w:t xml:space="preserve">Paid – Nice to have</w:t>
            </w:r>
          </w:p>
        </w:tc>
        <w:tc>
          <w:tcPr>
            <w:tcW w:w="1916" w:type="dxa"/>
          </w:tcPr>
          <w:p>
            <w:pPr>
              <w:pStyle w:val="Compact"/>
              <w:spacing w:after="20" w:before="20"/>
            </w:pPr>
            <w:r>
              <w:rPr>
                <w:sz w:val="17"/>
              </w:rPr>
              <w:t xml:space="preserve">Weekly + alerts</w:t>
            </w:r>
          </w:p>
        </w:tc>
        <w:tc>
          <w:tcPr>
            <w:tcW w:w="2438" w:type="dxa"/>
          </w:tcPr>
          <w:p>
            <w:pPr>
              <w:pStyle w:val="Compact"/>
              <w:spacing w:after="20" w:before="20"/>
            </w:pPr>
            <w:r>
              <w:rPr>
                <w:sz w:val="17"/>
              </w:rPr>
              <w:t xml:space="preserve">Pipeline and who’s issuing what</w:t>
            </w:r>
          </w:p>
        </w:tc>
        <w:tc>
          <w:tcPr>
            <w:tcW w:w="2438" w:type="dxa"/>
          </w:tcPr>
          <w:p>
            <w:pPr>
              <w:pStyle w:val="Compact"/>
              <w:spacing w:after="20" w:before="20"/>
            </w:pPr>
            <w:hyperlink r:id="rId66">
              <w:r>
                <w:rPr>
                  <w:rStyle w:val="Hyperlink"/>
                  <w:sz w:val="17"/>
                </w:rPr>
                <w:t xml:space="preserve">greenstreet.com</w:t>
              </w:r>
            </w:hyperlink>
            <w:r>
              <w:rPr>
                <w:sz w:val="17"/>
              </w:rPr>
              <w:t xml:space="preserve"> </w:t>
            </w:r>
            <w:r>
              <w:rPr>
                <w:sz w:val="17"/>
              </w:rPr>
              <w:t xml:space="preserve">(abalert.com redirects here)</w:t>
            </w:r>
          </w:p>
        </w:tc>
      </w:tr>
      <w:tr>
        <w:trPr>
          <w:cantSplit/>
        </w:trPr>
        <w:tc>
          <w:tcPr>
            <w:tcW w:w="2438" w:type="dxa"/>
            <w:shd w:val="clear" w:color="auto" w:fill="EEF2F7"/>
          </w:tcPr>
          <w:p>
            <w:pPr>
              <w:pStyle w:val="Compact"/>
              <w:spacing w:after="20" w:before="20"/>
            </w:pPr>
            <w:r>
              <w:rPr>
                <w:sz w:val="17"/>
              </w:rPr>
              <w:t xml:space="preserve">Asset Securitization Report (Arizent)</w:t>
            </w:r>
          </w:p>
        </w:tc>
        <w:tc>
          <w:tcPr>
            <w:tcW w:w="3485" w:type="dxa"/>
            <w:shd w:val="clear" w:color="auto" w:fill="EEF2F7"/>
          </w:tcPr>
          <w:p>
            <w:pPr>
              <w:pStyle w:val="Compact"/>
              <w:spacing w:after="20" w:before="20"/>
            </w:pPr>
            <w:r>
              <w:rPr>
                <w:sz w:val="17"/>
              </w:rPr>
              <w:t xml:space="preserve">Deal stories with coupons/structure, weekly ABS totals and league tables</w:t>
            </w:r>
          </w:p>
        </w:tc>
        <w:tc>
          <w:tcPr>
            <w:tcW w:w="1394" w:type="dxa"/>
            <w:shd w:val="clear" w:color="auto" w:fill="EEF2F7"/>
          </w:tcPr>
          <w:p>
            <w:pPr>
              <w:pStyle w:val="Compact"/>
              <w:spacing w:after="20" w:before="20"/>
            </w:pPr>
            <w:r>
              <w:rPr>
                <w:sz w:val="17"/>
              </w:rPr>
              <w:t xml:space="preserve">Free headlines; Paid full access – Nice to have</w:t>
            </w:r>
          </w:p>
        </w:tc>
        <w:tc>
          <w:tcPr>
            <w:tcW w:w="1916" w:type="dxa"/>
            <w:shd w:val="clear" w:color="auto" w:fill="EEF2F7"/>
          </w:tcPr>
          <w:p>
            <w:pPr>
              <w:pStyle w:val="Compact"/>
              <w:spacing w:after="20" w:before="20"/>
            </w:pPr>
            <w:r>
              <w:rPr>
                <w:sz w:val="17"/>
              </w:rPr>
              <w:t xml:space="preserve">Daily</w:t>
            </w:r>
          </w:p>
        </w:tc>
        <w:tc>
          <w:tcPr>
            <w:tcW w:w="2438" w:type="dxa"/>
            <w:shd w:val="clear" w:color="auto" w:fill="EEF2F7"/>
          </w:tcPr>
          <w:p>
            <w:pPr>
              <w:pStyle w:val="Compact"/>
              <w:spacing w:after="20" w:before="20"/>
            </w:pPr>
            <w:r>
              <w:rPr>
                <w:sz w:val="17"/>
              </w:rPr>
              <w:t xml:space="preserve">Deal-level color, issuance totals</w:t>
            </w:r>
          </w:p>
        </w:tc>
        <w:tc>
          <w:tcPr>
            <w:tcW w:w="2438" w:type="dxa"/>
            <w:shd w:val="clear" w:color="auto" w:fill="EEF2F7"/>
          </w:tcPr>
          <w:p>
            <w:pPr>
              <w:pStyle w:val="Compact"/>
              <w:spacing w:after="20" w:before="20"/>
            </w:pPr>
            <w:hyperlink r:id="rId67">
              <w:r>
                <w:rPr>
                  <w:rStyle w:val="Hyperlink"/>
                  <w:sz w:val="17"/>
                </w:rPr>
                <w:t xml:space="preserve">asreport.americanbanker.com</w:t>
              </w:r>
            </w:hyperlink>
          </w:p>
        </w:tc>
      </w:tr>
      <w:tr>
        <w:trPr>
          <w:cantSplit/>
        </w:trPr>
        <w:tc>
          <w:tcPr>
            <w:tcW w:w="2438" w:type="dxa"/>
          </w:tcPr>
          <w:p>
            <w:pPr>
              <w:pStyle w:val="Compact"/>
              <w:spacing w:after="20" w:before="20"/>
            </w:pPr>
            <w:r>
              <w:rPr>
                <w:sz w:val="17"/>
              </w:rPr>
              <w:t xml:space="preserve">Bloomberg (NIM, DES, ALLQ, TRACE data)</w:t>
            </w:r>
          </w:p>
        </w:tc>
        <w:tc>
          <w:tcPr>
            <w:tcW w:w="3485" w:type="dxa"/>
          </w:tcPr>
          <w:p>
            <w:pPr>
              <w:pStyle w:val="Compact"/>
              <w:spacing w:after="20" w:before="20"/>
            </w:pPr>
            <w:r>
              <w:rPr>
                <w:sz w:val="17"/>
              </w:rPr>
              <w:t xml:space="preserve">New-issue monitor, deal descriptions, dealer quotes, cash flows</w:t>
            </w:r>
          </w:p>
        </w:tc>
        <w:tc>
          <w:tcPr>
            <w:tcW w:w="1394" w:type="dxa"/>
          </w:tcPr>
          <w:p>
            <w:pPr>
              <w:pStyle w:val="Compact"/>
              <w:spacing w:after="20" w:before="20"/>
            </w:pPr>
            <w:r>
              <w:rPr>
                <w:sz w:val="17"/>
              </w:rPr>
              <w:t xml:space="preserve">Paid – Must-request</w:t>
            </w:r>
          </w:p>
        </w:tc>
        <w:tc>
          <w:tcPr>
            <w:tcW w:w="1916" w:type="dxa"/>
          </w:tcPr>
          <w:p>
            <w:pPr>
              <w:pStyle w:val="Compact"/>
              <w:spacing w:after="20" w:before="20"/>
            </w:pPr>
            <w:r>
              <w:rPr>
                <w:sz w:val="17"/>
              </w:rPr>
              <w:t xml:space="preserve">Real time</w:t>
            </w:r>
          </w:p>
        </w:tc>
        <w:tc>
          <w:tcPr>
            <w:tcW w:w="2438" w:type="dxa"/>
          </w:tcPr>
          <w:p>
            <w:pPr>
              <w:pStyle w:val="Compact"/>
              <w:spacing w:after="20" w:before="20"/>
            </w:pPr>
            <w:r>
              <w:rPr>
                <w:sz w:val="17"/>
              </w:rPr>
              <w:t xml:space="preserve">Levels, deal terms, runs</w:t>
            </w:r>
          </w:p>
        </w:tc>
        <w:tc>
          <w:tcPr>
            <w:tcW w:w="2438" w:type="dxa"/>
          </w:tcPr>
          <w:p>
            <w:pPr>
              <w:pStyle w:val="Compact"/>
              <w:spacing w:after="20" w:before="20"/>
            </w:pPr>
            <w:hyperlink r:id="rId19">
              <w:r>
                <w:rPr>
                  <w:rStyle w:val="Hyperlink"/>
                  <w:sz w:val="17"/>
                </w:rPr>
                <w:t xml:space="preserve">bloomberg.com/professional</w:t>
              </w:r>
            </w:hyperlink>
          </w:p>
        </w:tc>
      </w:tr>
      <w:tr>
        <w:trPr>
          <w:cantSplit/>
        </w:trPr>
        <w:tc>
          <w:tcPr>
            <w:tcW w:w="2438" w:type="dxa"/>
            <w:shd w:val="clear" w:color="auto" w:fill="EEF2F7"/>
          </w:tcPr>
          <w:p>
            <w:pPr>
              <w:pStyle w:val="Compact"/>
              <w:spacing w:after="20" w:before="20"/>
            </w:pPr>
            <w:r>
              <w:rPr>
                <w:sz w:val="17"/>
              </w:rPr>
              <w:t xml:space="preserve">Intex</w:t>
            </w:r>
          </w:p>
        </w:tc>
        <w:tc>
          <w:tcPr>
            <w:tcW w:w="3485" w:type="dxa"/>
            <w:shd w:val="clear" w:color="auto" w:fill="EEF2F7"/>
          </w:tcPr>
          <w:p>
            <w:pPr>
              <w:pStyle w:val="Compact"/>
              <w:spacing w:after="20" w:before="20"/>
            </w:pPr>
            <w:r>
              <w:rPr>
                <w:sz w:val="17"/>
              </w:rPr>
              <w:t xml:space="preserve">Deal cash-flow models for virtually all RMBS/CRT; scenario analysis</w:t>
            </w:r>
          </w:p>
        </w:tc>
        <w:tc>
          <w:tcPr>
            <w:tcW w:w="1394" w:type="dxa"/>
            <w:shd w:val="clear" w:color="auto" w:fill="EEF2F7"/>
          </w:tcPr>
          <w:p>
            <w:pPr>
              <w:pStyle w:val="Compact"/>
              <w:spacing w:after="20" w:before="20"/>
            </w:pPr>
            <w:r>
              <w:rPr>
                <w:sz w:val="17"/>
              </w:rPr>
              <w:t xml:space="preserve">Paid – Must-request if you will price bonds</w:t>
            </w:r>
          </w:p>
        </w:tc>
        <w:tc>
          <w:tcPr>
            <w:tcW w:w="1916" w:type="dxa"/>
            <w:shd w:val="clear" w:color="auto" w:fill="EEF2F7"/>
          </w:tcPr>
          <w:p>
            <w:pPr>
              <w:pStyle w:val="Compact"/>
              <w:spacing w:after="20" w:before="20"/>
            </w:pPr>
            <w:r>
              <w:rPr>
                <w:sz w:val="17"/>
              </w:rPr>
              <w:t xml:space="preserve">Monthly with remits; new deals as modeled</w:t>
            </w:r>
          </w:p>
        </w:tc>
        <w:tc>
          <w:tcPr>
            <w:tcW w:w="2438" w:type="dxa"/>
            <w:shd w:val="clear" w:color="auto" w:fill="EEF2F7"/>
          </w:tcPr>
          <w:p>
            <w:pPr>
              <w:pStyle w:val="Compact"/>
              <w:spacing w:after="20" w:before="20"/>
            </w:pPr>
            <w:r>
              <w:rPr>
                <w:sz w:val="17"/>
              </w:rPr>
              <w:t xml:space="preserve">Yield/spread-at-price, loss scenarios</w:t>
            </w:r>
          </w:p>
        </w:tc>
        <w:tc>
          <w:tcPr>
            <w:tcW w:w="2438" w:type="dxa"/>
            <w:shd w:val="clear" w:color="auto" w:fill="EEF2F7"/>
          </w:tcPr>
          <w:p>
            <w:pPr>
              <w:pStyle w:val="Compact"/>
              <w:spacing w:after="20" w:before="20"/>
            </w:pPr>
            <w:hyperlink r:id="rId68">
              <w:r>
                <w:rPr>
                  <w:rStyle w:val="Hyperlink"/>
                  <w:sz w:val="17"/>
                </w:rPr>
                <w:t xml:space="preserve">intex.com</w:t>
              </w:r>
            </w:hyperlink>
          </w:p>
        </w:tc>
      </w:tr>
      <w:tr>
        <w:trPr>
          <w:cantSplit/>
        </w:trPr>
        <w:tc>
          <w:tcPr>
            <w:tcW w:w="2438" w:type="dxa"/>
          </w:tcPr>
          <w:p>
            <w:pPr>
              <w:pStyle w:val="Compact"/>
              <w:spacing w:after="20" w:before="20"/>
            </w:pPr>
            <w:r>
              <w:rPr>
                <w:sz w:val="17"/>
              </w:rPr>
              <w:t xml:space="preserve">FINRA TRACE – Securitized products</w:t>
            </w:r>
          </w:p>
        </w:tc>
        <w:tc>
          <w:tcPr>
            <w:tcW w:w="3485" w:type="dxa"/>
          </w:tcPr>
          <w:p>
            <w:pPr>
              <w:pStyle w:val="Compact"/>
              <w:spacing w:after="20" w:before="20"/>
            </w:pPr>
            <w:r>
              <w:rPr>
                <w:sz w:val="17"/>
              </w:rPr>
              <w:t xml:space="preserve">Disseminated trade data for ABS/MBS/CMO (dissemination rules differ by product)</w:t>
            </w:r>
          </w:p>
        </w:tc>
        <w:tc>
          <w:tcPr>
            <w:tcW w:w="1394" w:type="dxa"/>
          </w:tcPr>
          <w:p>
            <w:pPr>
              <w:pStyle w:val="Compact"/>
              <w:spacing w:after="20" w:before="20"/>
            </w:pPr>
            <w:r>
              <w:rPr>
                <w:sz w:val="17"/>
              </w:rPr>
              <w:t xml:space="preserve">Free (with user terms)</w:t>
            </w:r>
          </w:p>
        </w:tc>
        <w:tc>
          <w:tcPr>
            <w:tcW w:w="1916" w:type="dxa"/>
          </w:tcPr>
          <w:p>
            <w:pPr>
              <w:pStyle w:val="Compact"/>
              <w:spacing w:after="20" w:before="20"/>
            </w:pPr>
            <w:r>
              <w:rPr>
                <w:sz w:val="17"/>
              </w:rPr>
              <w:t xml:space="preserve">Per dissemination rules</w:t>
            </w:r>
          </w:p>
        </w:tc>
        <w:tc>
          <w:tcPr>
            <w:tcW w:w="2438" w:type="dxa"/>
          </w:tcPr>
          <w:p>
            <w:pPr>
              <w:pStyle w:val="Compact"/>
              <w:spacing w:after="20" w:before="20"/>
            </w:pPr>
            <w:r>
              <w:rPr>
                <w:sz w:val="17"/>
              </w:rPr>
              <w:t xml:space="preserve">Verifying that trades happened and approximate levels</w:t>
            </w:r>
          </w:p>
        </w:tc>
        <w:tc>
          <w:tcPr>
            <w:tcW w:w="2438" w:type="dxa"/>
          </w:tcPr>
          <w:p>
            <w:pPr>
              <w:pStyle w:val="Compact"/>
              <w:spacing w:after="20" w:before="20"/>
            </w:pPr>
            <w:hyperlink r:id="rId61">
              <w:r>
                <w:rPr>
                  <w:rStyle w:val="Hyperlink"/>
                  <w:sz w:val="17"/>
                </w:rPr>
                <w:t xml:space="preserve">finra.org – Fixed Income Data</w:t>
              </w:r>
            </w:hyperlink>
          </w:p>
        </w:tc>
      </w:tr>
      <w:tr>
        <w:trPr>
          <w:cantSplit/>
        </w:trPr>
        <w:tc>
          <w:tcPr>
            <w:tcW w:w="2438" w:type="dxa"/>
            <w:shd w:val="clear" w:color="auto" w:fill="EEF2F7"/>
          </w:tcPr>
          <w:p>
            <w:pPr>
              <w:pStyle w:val="Compact"/>
              <w:spacing w:after="20" w:before="20"/>
            </w:pPr>
            <w:r>
              <w:rPr>
                <w:sz w:val="17"/>
              </w:rPr>
              <w:t xml:space="preserve">MarketAxess</w:t>
            </w:r>
          </w:p>
        </w:tc>
        <w:tc>
          <w:tcPr>
            <w:tcW w:w="3485" w:type="dxa"/>
            <w:shd w:val="clear" w:color="auto" w:fill="EEF2F7"/>
          </w:tcPr>
          <w:p>
            <w:pPr>
              <w:pStyle w:val="Compact"/>
              <w:spacing w:after="20" w:before="20"/>
            </w:pPr>
            <w:r>
              <w:rPr>
                <w:sz w:val="17"/>
              </w:rPr>
              <w:t xml:space="preserve">Electronic trading platform (mainly corporate bonds; some securitized)</w:t>
            </w:r>
          </w:p>
        </w:tc>
        <w:tc>
          <w:tcPr>
            <w:tcW w:w="1394" w:type="dxa"/>
            <w:shd w:val="clear" w:color="auto" w:fill="EEF2F7"/>
          </w:tcPr>
          <w:p>
            <w:pPr>
              <w:pStyle w:val="Compact"/>
              <w:spacing w:after="20" w:before="20"/>
            </w:pPr>
            <w:r>
              <w:rPr>
                <w:sz w:val="17"/>
              </w:rPr>
              <w:t xml:space="preserve">Paid (platform) – Skip unless trading there</w:t>
            </w:r>
          </w:p>
        </w:tc>
        <w:tc>
          <w:tcPr>
            <w:tcW w:w="1916" w:type="dxa"/>
            <w:shd w:val="clear" w:color="auto" w:fill="EEF2F7"/>
          </w:tcPr>
          <w:p>
            <w:pPr>
              <w:pStyle w:val="Compact"/>
              <w:spacing w:after="20" w:before="20"/>
            </w:pPr>
            <w:r>
              <w:rPr>
                <w:sz w:val="17"/>
              </w:rPr>
              <w:t xml:space="preserve">Real time</w:t>
            </w:r>
          </w:p>
        </w:tc>
        <w:tc>
          <w:tcPr>
            <w:tcW w:w="2438" w:type="dxa"/>
            <w:shd w:val="clear" w:color="auto" w:fill="EEF2F7"/>
          </w:tcPr>
          <w:p>
            <w:pPr>
              <w:pStyle w:val="Compact"/>
              <w:spacing w:after="20" w:before="20"/>
            </w:pPr>
            <w:r>
              <w:rPr>
                <w:sz w:val="17"/>
              </w:rPr>
              <w:t xml:space="preserve">Execution</w:t>
            </w:r>
          </w:p>
        </w:tc>
        <w:tc>
          <w:tcPr>
            <w:tcW w:w="2438" w:type="dxa"/>
            <w:shd w:val="clear" w:color="auto" w:fill="EEF2F7"/>
          </w:tcPr>
          <w:p>
            <w:pPr>
              <w:pStyle w:val="Compact"/>
              <w:spacing w:after="20" w:before="20"/>
            </w:pPr>
            <w:hyperlink r:id="rId69">
              <w:r>
                <w:rPr>
                  <w:rStyle w:val="Hyperlink"/>
                  <w:sz w:val="17"/>
                </w:rPr>
                <w:t xml:space="preserve">marketaxess.com</w:t>
              </w:r>
            </w:hyperlink>
          </w:p>
        </w:tc>
      </w:tr>
    </w:tbl>
    <w:p>
      <w:pPr>
        <w:pStyle w:val="BodyText"/>
      </w:pPr>
      <w:r>
        <w:rPr>
          <w:b/>
          <w:bCs/>
        </w:rPr>
        <w:t xml:space="preserve">How to answer</w:t>
      </w:r>
      <w:r>
        <w:rPr>
          <w:b/>
          <w:bCs/>
        </w:rPr>
        <w:t xml:space="preserve"> </w:t>
      </w:r>
      <w:r>
        <w:rPr>
          <w:b/>
          <w:bCs/>
        </w:rPr>
        <w:t xml:space="preserve">“where are Non-QM spreads?”</w:t>
      </w:r>
      <w:r>
        <w:rPr>
          <w:b/>
          <w:bCs/>
        </w:rPr>
        <w:t xml:space="preserve"> </w:t>
      </w:r>
      <w:r>
        <w:rPr>
          <w:b/>
          <w:bCs/>
        </w:rPr>
        <w:t xml:space="preserve">without a terminal.</w:t>
      </w:r>
      <w:r>
        <w:t xml:space="preserve"> </w:t>
      </w:r>
      <w:r>
        <w:t xml:space="preserve">Pull the last three to five priced Non-QM deals from trade press and rating-agency new-issue reports (Section 5), note the AAA senior coupon and, if reported, the spread; then check at least one dealer weekly for the spread table. Say</w:t>
      </w:r>
      <w:r>
        <w:t xml:space="preserve"> </w:t>
      </w:r>
      <w:r>
        <w:t xml:space="preserve">“AAA Non-QM seniors on deals priced in the past two weeks came at approximately X per [source, date]”</w:t>
      </w:r>
      <w:r>
        <w:t xml:space="preserve"> </w:t>
      </w:r>
      <w:r>
        <w:t xml:space="preserve">rather than quoting one print. Note the benchmark: most Non-QM seniors are fixed-rate and quoted as a spread to the interpolated Treasury (or swaps) at the expected weighted-average life.</w:t>
      </w:r>
    </w:p>
    <w:bookmarkEnd w:id="70"/>
    <w:bookmarkStart w:id="75" w:name="crt-cas-and-stacr-spreads"/>
    <w:p>
      <w:pPr>
        <w:pStyle w:val="Heading2"/>
      </w:pPr>
      <w:r>
        <w:t xml:space="preserve">4.3 CRT (CAS and STACR) spreads</w:t>
      </w:r>
    </w:p>
    <w:p>
      <w:pPr>
        <w:pStyle w:val="TableCaption"/>
      </w:pPr>
      <w:r>
        <w:t xml:space="preserve">CRT spread sources.</w:t>
      </w:r>
    </w:p>
    <w:tbl>
      <w:tblPr>
        <w:tblStyle w:val="Table"/>
        <w:tblLayout w:type="fixed"/>
        <w:tblLook w:firstRow="1" w:lastRow="0" w:firstColumn="0" w:lastColumn="0" w:noHBand="0" w:noVBand="0" w:val="0020"/>
        <w:tblCaption w:val="CRT spread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Fannie Mae CAS Pricing</w:t>
            </w:r>
          </w:p>
        </w:tc>
        <w:tc>
          <w:tcPr>
            <w:tcW w:w="3485" w:type="dxa"/>
          </w:tcPr>
          <w:p>
            <w:pPr>
              <w:pStyle w:val="Compact"/>
              <w:spacing w:after="20" w:before="20"/>
            </w:pPr>
            <w:r>
              <w:rPr>
                <w:sz w:val="17"/>
              </w:rPr>
              <w:t xml:space="preserve">Every CAS deal: tranche sizes, spreads over SOFR, CE, ratings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As deals price</w:t>
            </w:r>
          </w:p>
        </w:tc>
        <w:tc>
          <w:tcPr>
            <w:tcW w:w="2438" w:type="dxa"/>
          </w:tcPr>
          <w:p>
            <w:pPr>
              <w:pStyle w:val="Compact"/>
              <w:spacing w:after="20" w:before="20"/>
            </w:pPr>
            <w:r>
              <w:rPr>
                <w:sz w:val="17"/>
              </w:rPr>
              <w:t xml:space="preserve">New-issue CRT spreads, history</w:t>
            </w:r>
          </w:p>
        </w:tc>
        <w:tc>
          <w:tcPr>
            <w:tcW w:w="2438" w:type="dxa"/>
          </w:tcPr>
          <w:p>
            <w:pPr>
              <w:pStyle w:val="Compact"/>
              <w:spacing w:after="20" w:before="20"/>
            </w:pPr>
            <w:hyperlink r:id="rId71">
              <w:r>
                <w:rPr>
                  <w:rStyle w:val="Hyperlink"/>
                  <w:sz w:val="17"/>
                </w:rPr>
                <w:t xml:space="preserve">Fannie Mae – CAS Pricing</w:t>
              </w:r>
            </w:hyperlink>
          </w:p>
        </w:tc>
      </w:tr>
      <w:tr>
        <w:trPr>
          <w:cantSplit/>
        </w:trPr>
        <w:tc>
          <w:tcPr>
            <w:tcW w:w="2438" w:type="dxa"/>
            <w:shd w:val="clear" w:color="auto" w:fill="EEF2F7"/>
          </w:tcPr>
          <w:p>
            <w:pPr>
              <w:pStyle w:val="Compact"/>
              <w:spacing w:after="20" w:before="20"/>
            </w:pPr>
            <w:r>
              <w:rPr>
                <w:sz w:val="17"/>
              </w:rPr>
              <w:t xml:space="preserve">Fannie Mae CRT home</w:t>
            </w:r>
          </w:p>
        </w:tc>
        <w:tc>
          <w:tcPr>
            <w:tcW w:w="3485" w:type="dxa"/>
            <w:shd w:val="clear" w:color="auto" w:fill="EEF2F7"/>
          </w:tcPr>
          <w:p>
            <w:pPr>
              <w:pStyle w:val="Compact"/>
              <w:spacing w:after="20" w:before="20"/>
            </w:pPr>
            <w:r>
              <w:rPr>
                <w:sz w:val="17"/>
              </w:rPr>
              <w:t xml:space="preserve">CAS/CIRT issuance calendar, deal documents, disclosure data</w:t>
            </w:r>
          </w:p>
        </w:tc>
        <w:tc>
          <w:tcPr>
            <w:tcW w:w="1394" w:type="dxa"/>
            <w:shd w:val="clear" w:color="auto" w:fill="EEF2F7"/>
          </w:tcPr>
          <w:p>
            <w:pPr>
              <w:pStyle w:val="Compact"/>
              <w:spacing w:after="20" w:before="20"/>
            </w:pPr>
            <w:r>
              <w:rPr>
                <w:sz w:val="17"/>
              </w:rPr>
              <w:t xml:space="preserve">Free (some data free w/ reg)</w:t>
            </w:r>
          </w:p>
        </w:tc>
        <w:tc>
          <w:tcPr>
            <w:tcW w:w="1916" w:type="dxa"/>
            <w:shd w:val="clear" w:color="auto" w:fill="EEF2F7"/>
          </w:tcPr>
          <w:p>
            <w:pPr>
              <w:pStyle w:val="Compact"/>
              <w:spacing w:after="20" w:before="20"/>
            </w:pPr>
            <w:r>
              <w:rPr>
                <w:sz w:val="17"/>
              </w:rPr>
              <w:t xml:space="preserve">Ongoing</w:t>
            </w:r>
          </w:p>
        </w:tc>
        <w:tc>
          <w:tcPr>
            <w:tcW w:w="2438" w:type="dxa"/>
            <w:shd w:val="clear" w:color="auto" w:fill="EEF2F7"/>
          </w:tcPr>
          <w:p>
            <w:pPr>
              <w:pStyle w:val="Compact"/>
              <w:spacing w:after="20" w:before="20"/>
            </w:pPr>
            <w:r>
              <w:rPr>
                <w:sz w:val="17"/>
              </w:rPr>
              <w:t xml:space="preserve">Calendar and documents</w:t>
            </w:r>
          </w:p>
        </w:tc>
        <w:tc>
          <w:tcPr>
            <w:tcW w:w="2438" w:type="dxa"/>
            <w:shd w:val="clear" w:color="auto" w:fill="EEF2F7"/>
          </w:tcPr>
          <w:p>
            <w:pPr>
              <w:pStyle w:val="Compact"/>
              <w:spacing w:after="20" w:before="20"/>
            </w:pPr>
            <w:hyperlink r:id="rId72">
              <w:r>
                <w:rPr>
                  <w:rStyle w:val="Hyperlink"/>
                  <w:sz w:val="17"/>
                </w:rPr>
                <w:t xml:space="preserve">capitalmarkets.fanniemae.com – CRT</w:t>
              </w:r>
            </w:hyperlink>
          </w:p>
        </w:tc>
      </w:tr>
      <w:tr>
        <w:trPr>
          <w:cantSplit/>
        </w:trPr>
        <w:tc>
          <w:tcPr>
            <w:tcW w:w="2438" w:type="dxa"/>
          </w:tcPr>
          <w:p>
            <w:pPr>
              <w:pStyle w:val="Compact"/>
              <w:spacing w:after="20" w:before="20"/>
            </w:pPr>
            <w:r>
              <w:rPr>
                <w:sz w:val="17"/>
              </w:rPr>
              <w:t xml:space="preserve">Freddie Mac STACR Pricing</w:t>
            </w:r>
          </w:p>
        </w:tc>
        <w:tc>
          <w:tcPr>
            <w:tcW w:w="3485" w:type="dxa"/>
          </w:tcPr>
          <w:p>
            <w:pPr>
              <w:pStyle w:val="Compact"/>
              <w:spacing w:after="20" w:before="20"/>
            </w:pPr>
            <w:r>
              <w:rPr>
                <w:sz w:val="17"/>
              </w:rPr>
              <w:t xml:space="preserve">Every STACR deal: tranche sizes, spreads, CE, ratings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As deals price</w:t>
            </w:r>
          </w:p>
        </w:tc>
        <w:tc>
          <w:tcPr>
            <w:tcW w:w="2438" w:type="dxa"/>
          </w:tcPr>
          <w:p>
            <w:pPr>
              <w:pStyle w:val="Compact"/>
              <w:spacing w:after="20" w:before="20"/>
            </w:pPr>
            <w:r>
              <w:rPr>
                <w:sz w:val="17"/>
              </w:rPr>
              <w:t xml:space="preserve">New-issue CRT spreads, history</w:t>
            </w:r>
          </w:p>
        </w:tc>
        <w:tc>
          <w:tcPr>
            <w:tcW w:w="2438" w:type="dxa"/>
          </w:tcPr>
          <w:p>
            <w:pPr>
              <w:pStyle w:val="Compact"/>
              <w:spacing w:after="20" w:before="20"/>
            </w:pPr>
            <w:hyperlink r:id="rId73">
              <w:r>
                <w:rPr>
                  <w:rStyle w:val="Hyperlink"/>
                  <w:sz w:val="17"/>
                </w:rPr>
                <w:t xml:space="preserve">Freddie Mac – STACR Pricing</w:t>
              </w:r>
            </w:hyperlink>
          </w:p>
        </w:tc>
      </w:tr>
      <w:tr>
        <w:trPr>
          <w:cantSplit/>
        </w:trPr>
        <w:tc>
          <w:tcPr>
            <w:tcW w:w="2438" w:type="dxa"/>
            <w:shd w:val="clear" w:color="auto" w:fill="EEF2F7"/>
          </w:tcPr>
          <w:p>
            <w:pPr>
              <w:pStyle w:val="Compact"/>
              <w:spacing w:after="20" w:before="20"/>
            </w:pPr>
            <w:r>
              <w:rPr>
                <w:sz w:val="17"/>
              </w:rPr>
              <w:t xml:space="preserve">Freddie Mac CRT home</w:t>
            </w:r>
          </w:p>
        </w:tc>
        <w:tc>
          <w:tcPr>
            <w:tcW w:w="3485" w:type="dxa"/>
            <w:shd w:val="clear" w:color="auto" w:fill="EEF2F7"/>
          </w:tcPr>
          <w:p>
            <w:pPr>
              <w:pStyle w:val="Compact"/>
              <w:spacing w:after="20" w:before="20"/>
            </w:pPr>
            <w:r>
              <w:rPr>
                <w:sz w:val="17"/>
              </w:rPr>
              <w:t xml:space="preserve">STACR/ACIS calendars, pipeline report, deal docs, tender offers, call notices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Ongoing</w:t>
            </w:r>
          </w:p>
        </w:tc>
        <w:tc>
          <w:tcPr>
            <w:tcW w:w="2438" w:type="dxa"/>
            <w:shd w:val="clear" w:color="auto" w:fill="EEF2F7"/>
          </w:tcPr>
          <w:p>
            <w:pPr>
              <w:pStyle w:val="Compact"/>
              <w:spacing w:after="20" w:before="20"/>
            </w:pPr>
            <w:r>
              <w:rPr>
                <w:sz w:val="17"/>
              </w:rPr>
              <w:t xml:space="preserve">Calendar, calls, tenders</w:t>
            </w:r>
          </w:p>
        </w:tc>
        <w:tc>
          <w:tcPr>
            <w:tcW w:w="2438" w:type="dxa"/>
            <w:shd w:val="clear" w:color="auto" w:fill="EEF2F7"/>
          </w:tcPr>
          <w:p>
            <w:pPr>
              <w:pStyle w:val="Compact"/>
              <w:spacing w:after="20" w:before="20"/>
            </w:pPr>
            <w:hyperlink r:id="rId74">
              <w:r>
                <w:rPr>
                  <w:rStyle w:val="Hyperlink"/>
                  <w:sz w:val="17"/>
                </w:rPr>
                <w:t xml:space="preserve">capitalmarkets.freddiemac.com/crt</w:t>
              </w:r>
            </w:hyperlink>
          </w:p>
        </w:tc>
      </w:tr>
      <w:tr>
        <w:trPr>
          <w:cantSplit/>
        </w:trPr>
        <w:tc>
          <w:tcPr>
            <w:tcW w:w="2438" w:type="dxa"/>
          </w:tcPr>
          <w:p>
            <w:pPr>
              <w:pStyle w:val="Compact"/>
              <w:spacing w:after="20" w:before="20"/>
            </w:pPr>
            <w:r>
              <w:rPr>
                <w:sz w:val="17"/>
              </w:rPr>
              <w:t xml:space="preserve">Dealer CRT research</w:t>
            </w:r>
          </w:p>
        </w:tc>
        <w:tc>
          <w:tcPr>
            <w:tcW w:w="3485" w:type="dxa"/>
          </w:tcPr>
          <w:p>
            <w:pPr>
              <w:pStyle w:val="Compact"/>
              <w:spacing w:after="20" w:before="20"/>
            </w:pPr>
            <w:r>
              <w:rPr>
                <w:sz w:val="17"/>
              </w:rPr>
              <w:t xml:space="preserve">Secondary spreads by tranche/vintage, relative value</w:t>
            </w:r>
          </w:p>
        </w:tc>
        <w:tc>
          <w:tcPr>
            <w:tcW w:w="1394" w:type="dxa"/>
          </w:tcPr>
          <w:p>
            <w:pPr>
              <w:pStyle w:val="Compact"/>
              <w:spacing w:after="20" w:before="20"/>
            </w:pPr>
            <w:r>
              <w:rPr>
                <w:sz w:val="17"/>
              </w:rPr>
              <w:t xml:space="preserve">Free to clients</w:t>
            </w:r>
          </w:p>
        </w:tc>
        <w:tc>
          <w:tcPr>
            <w:tcW w:w="1916" w:type="dxa"/>
          </w:tcPr>
          <w:p>
            <w:pPr>
              <w:pStyle w:val="Compact"/>
              <w:spacing w:after="20" w:before="20"/>
            </w:pPr>
            <w:r>
              <w:rPr>
                <w:sz w:val="17"/>
              </w:rPr>
              <w:t xml:space="preserve">Weekly</w:t>
            </w:r>
          </w:p>
        </w:tc>
        <w:tc>
          <w:tcPr>
            <w:tcW w:w="2438" w:type="dxa"/>
          </w:tcPr>
          <w:p>
            <w:pPr>
              <w:pStyle w:val="Compact"/>
              <w:spacing w:after="20" w:before="20"/>
            </w:pPr>
            <w:r>
              <w:rPr>
                <w:sz w:val="17"/>
              </w:rPr>
              <w:t xml:space="preserve">Secondary CRT levels</w:t>
            </w:r>
          </w:p>
        </w:tc>
        <w:tc>
          <w:tcPr>
            <w:tcW w:w="2438" w:type="dxa"/>
          </w:tcPr>
          <w:p>
            <w:pPr>
              <w:pStyle w:val="Compact"/>
              <w:spacing w:after="20" w:before="20"/>
            </w:pPr>
            <w:r>
              <w:rPr>
                <w:sz w:val="17"/>
              </w:rPr>
              <w:t xml:space="preserve">Ask broker-dealer coverage</w:t>
            </w:r>
          </w:p>
        </w:tc>
      </w:tr>
    </w:tbl>
    <w:bookmarkEnd w:id="75"/>
    <w:bookmarkStart w:id="77" w:name="X18ea59354ae86800c96ec003a0913d0599d679d"/>
    <w:p>
      <w:pPr>
        <w:pStyle w:val="Heading2"/>
      </w:pPr>
      <w:r>
        <w:t xml:space="preserve">4.4 Broad credit-spread context (FRED, ICE BofA indices)</w:t>
      </w:r>
    </w:p>
    <w:p>
      <w:pPr>
        <w:pStyle w:val="FirstParagraph"/>
      </w:pPr>
      <w:r>
        <w:t xml:space="preserve">When a PM asks whether mortgage credit is</w:t>
      </w:r>
      <w:r>
        <w:t xml:space="preserve"> </w:t>
      </w:r>
      <w:r>
        <w:t xml:space="preserve">“cheap,”</w:t>
      </w:r>
      <w:r>
        <w:t xml:space="preserve"> </w:t>
      </w:r>
      <w:r>
        <w:t xml:space="preserve">the first comparison is corporate credit. These FRED series are verified:</w:t>
      </w:r>
      <w:r>
        <w:t xml:space="preserve"> </w:t>
      </w:r>
      <w:r>
        <w:rPr>
          <w:b/>
          <w:bCs/>
        </w:rPr>
        <w:t xml:space="preserve">BAMLH0A0HYM2</w:t>
      </w:r>
      <w:r>
        <w:t xml:space="preserve"> </w:t>
      </w:r>
      <w:r>
        <w:t xml:space="preserve">(ICE BofA US High Yield OAS),</w:t>
      </w:r>
      <w:r>
        <w:t xml:space="preserve"> </w:t>
      </w:r>
      <w:r>
        <w:rPr>
          <w:b/>
          <w:bCs/>
        </w:rPr>
        <w:t xml:space="preserve">BAMLC0A0CM</w:t>
      </w:r>
      <w:r>
        <w:t xml:space="preserve"> </w:t>
      </w:r>
      <w:r>
        <w:t xml:space="preserve">(ICE BofA US Corporate/IG OAS),</w:t>
      </w:r>
      <w:r>
        <w:t xml:space="preserve"> </w:t>
      </w:r>
      <w:r>
        <w:rPr>
          <w:b/>
          <w:bCs/>
        </w:rPr>
        <w:t xml:space="preserve">BAMLC0A4CBBB</w:t>
      </w:r>
      <w:r>
        <w:t xml:space="preserve"> </w:t>
      </w:r>
      <w:r>
        <w:t xml:space="preserve">(ICE BofA BBB OAS), and</w:t>
      </w:r>
      <w:r>
        <w:t xml:space="preserve"> </w:t>
      </w:r>
      <w:r>
        <w:rPr>
          <w:b/>
          <w:bCs/>
        </w:rPr>
        <w:t xml:space="preserve">BAMLH0A3HYC</w:t>
      </w:r>
      <w:r>
        <w:t xml:space="preserve"> </w:t>
      </w:r>
      <w:r>
        <w:t xml:space="preserve">(ICE BofA CCC &amp; Lower OAS). They update daily with a one-business-day lag. ICE licensing may limit how much history FRED displays, so download what you need. Link:</w:t>
      </w:r>
      <w:r>
        <w:t xml:space="preserve"> </w:t>
      </w:r>
      <w:hyperlink r:id="rId76">
        <w:r>
          <w:rPr>
            <w:rStyle w:val="Hyperlink"/>
          </w:rPr>
          <w:t xml:space="preserve">fred.stlouisfed.org/series/BAMLH0A0HYM2</w:t>
        </w:r>
      </w:hyperlink>
      <w:r>
        <w:t xml:space="preserve">.</w:t>
      </w:r>
    </w:p>
    <w:bookmarkEnd w:id="77"/>
    <w:bookmarkEnd w:id="78"/>
    <w:bookmarkStart w:id="91" w:name="deal-flow-and-new-issue"/>
    <w:p>
      <w:pPr>
        <w:pStyle w:val="Heading1"/>
      </w:pPr>
      <w:r>
        <w:t xml:space="preserve">5. Deal flow and new issue</w:t>
      </w:r>
    </w:p>
    <w:bookmarkStart w:id="89" w:name="X3d0f1df80ba3b32ee75baf620bc6ecc7135a63a"/>
    <w:p>
      <w:pPr>
        <w:pStyle w:val="Heading2"/>
      </w:pPr>
      <w:r>
        <w:t xml:space="preserve">5.1 Where new deals show up (roughly in order of timing)</w:t>
      </w:r>
    </w:p>
    <w:p>
      <w:pPr>
        <w:pStyle w:val="Compact"/>
        <w:numPr>
          <w:ilvl w:val="0"/>
          <w:numId w:val="1006"/>
        </w:numPr>
      </w:pPr>
      <w:r>
        <w:rPr>
          <w:b/>
          <w:bCs/>
        </w:rPr>
        <w:t xml:space="preserve">Dealer calendars and Bloomberg NIM</w:t>
      </w:r>
      <w:r>
        <w:t xml:space="preserve"> </w:t>
      </w:r>
      <w:r>
        <w:t xml:space="preserve">(paid/client) as deals are announced and marketed.</w:t>
      </w:r>
    </w:p>
    <w:p>
      <w:pPr>
        <w:pStyle w:val="Compact"/>
        <w:numPr>
          <w:ilvl w:val="0"/>
          <w:numId w:val="1006"/>
        </w:numPr>
      </w:pPr>
      <w:r>
        <w:rPr>
          <w:b/>
          <w:bCs/>
        </w:rPr>
        <w:t xml:space="preserve">Rating-agency presale reports</w:t>
      </w:r>
      <w:r>
        <w:t xml:space="preserve"> </w:t>
      </w:r>
      <w:r>
        <w:t xml:space="preserve">as the deal launches. Most agencies publish a free press release; full presales usually require free registration (KBRA, Fitch, Morningstar DBRS) and some are subscriber-only (Moody’s, S&amp;P). Presales are the best free source of collateral and structure detail.</w:t>
      </w:r>
    </w:p>
    <w:p>
      <w:pPr>
        <w:pStyle w:val="Compact"/>
        <w:numPr>
          <w:ilvl w:val="0"/>
          <w:numId w:val="1006"/>
        </w:numPr>
      </w:pPr>
      <w:r>
        <w:rPr>
          <w:b/>
          <w:bCs/>
        </w:rPr>
        <w:t xml:space="preserve">Finsight/CreditFlow</w:t>
      </w:r>
      <w:r>
        <w:t xml:space="preserve"> </w:t>
      </w:r>
      <w:r>
        <w:t xml:space="preserve">and</w:t>
      </w:r>
      <w:r>
        <w:t xml:space="preserve"> </w:t>
      </w:r>
      <w:r>
        <w:rPr>
          <w:b/>
          <w:bCs/>
        </w:rPr>
        <w:t xml:space="preserve">Asset-Backed Alert</w:t>
      </w:r>
      <w:r>
        <w:t xml:space="preserve"> </w:t>
      </w:r>
      <w:r>
        <w:t xml:space="preserve">for pipeline and pricing.</w:t>
      </w:r>
    </w:p>
    <w:p>
      <w:pPr>
        <w:pStyle w:val="Compact"/>
        <w:numPr>
          <w:ilvl w:val="0"/>
          <w:numId w:val="1006"/>
        </w:numPr>
      </w:pPr>
      <w:r>
        <w:rPr>
          <w:b/>
          <w:bCs/>
        </w:rPr>
        <w:t xml:space="preserve">Trade press</w:t>
      </w:r>
      <w:r>
        <w:t xml:space="preserve"> </w:t>
      </w:r>
      <w:r>
        <w:t xml:space="preserve">(ASR, HousingWire, IFR, Inside Nonconforming Markets) once priced.</w:t>
      </w:r>
    </w:p>
    <w:p>
      <w:pPr>
        <w:pStyle w:val="Compact"/>
        <w:numPr>
          <w:ilvl w:val="0"/>
          <w:numId w:val="1006"/>
        </w:numPr>
      </w:pPr>
      <w:r>
        <w:rPr>
          <w:b/>
          <w:bCs/>
        </w:rPr>
        <w:t xml:space="preserve">SEC EDGAR</w:t>
      </w:r>
      <w:r>
        <w:t xml:space="preserve">: ABS-15G filings (third-party due-diligence reports and repurchase reports) are often filed around the time of issuance even for 144A deals, and public (registered) shelves file prospectuses and 8-Ks.</w:t>
      </w:r>
    </w:p>
    <w:p>
      <w:pPr>
        <w:pStyle w:val="Compact"/>
        <w:numPr>
          <w:ilvl w:val="0"/>
          <w:numId w:val="1006"/>
        </w:numPr>
      </w:pPr>
      <w:r>
        <w:rPr>
          <w:b/>
          <w:bCs/>
        </w:rPr>
        <w:t xml:space="preserve">Issuer press releases</w:t>
      </w:r>
      <w:r>
        <w:t xml:space="preserve"> </w:t>
      </w:r>
      <w:r>
        <w:t xml:space="preserve">(Business Wire, PR Newswire, GlobeNewswire) and quarterly earnings materials for public issuers (e.g., Annaly, Rithm, Redwood, Angel Oak Mortgage REIT, MFA, Ellington).</w:t>
      </w:r>
    </w:p>
    <w:p>
      <w:pPr>
        <w:pStyle w:val="TableCaption"/>
      </w:pPr>
      <w:r>
        <w:t xml:space="preserve">New-issue and deal-flow sources.</w:t>
      </w:r>
    </w:p>
    <w:tbl>
      <w:tblPr>
        <w:tblStyle w:val="Table"/>
        <w:tblLayout w:type="fixed"/>
        <w:tblLook w:firstRow="1" w:lastRow="0" w:firstColumn="0" w:lastColumn="0" w:noHBand="0" w:noVBand="0" w:val="0020"/>
        <w:tblCaption w:val="New-issue and deal-flow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KBRA</w:t>
            </w:r>
          </w:p>
        </w:tc>
        <w:tc>
          <w:tcPr>
            <w:tcW w:w="3485" w:type="dxa"/>
          </w:tcPr>
          <w:p>
            <w:pPr>
              <w:pStyle w:val="Compact"/>
              <w:spacing w:after="20" w:before="20"/>
            </w:pPr>
            <w:r>
              <w:rPr>
                <w:sz w:val="17"/>
              </w:rPr>
              <w:t xml:space="preserve">Presales, new-issue reports, surveillance actions and research for Non-QM, prime, CES, HELOC, RTL</w:t>
            </w:r>
          </w:p>
        </w:tc>
        <w:tc>
          <w:tcPr>
            <w:tcW w:w="1394" w:type="dxa"/>
          </w:tcPr>
          <w:p>
            <w:pPr>
              <w:pStyle w:val="Compact"/>
              <w:spacing w:after="20" w:before="20"/>
            </w:pPr>
            <w:r>
              <w:rPr>
                <w:sz w:val="17"/>
              </w:rPr>
              <w:t xml:space="preserve">Free w/ reg (reports); KBRA Premium analytics Paid</w:t>
            </w:r>
          </w:p>
        </w:tc>
        <w:tc>
          <w:tcPr>
            <w:tcW w:w="1916" w:type="dxa"/>
          </w:tcPr>
          <w:p>
            <w:pPr>
              <w:pStyle w:val="Compact"/>
              <w:spacing w:after="20" w:before="20"/>
            </w:pPr>
            <w:r>
              <w:rPr>
                <w:sz w:val="17"/>
              </w:rPr>
              <w:t xml:space="preserve">As deals launch/price</w:t>
            </w:r>
          </w:p>
        </w:tc>
        <w:tc>
          <w:tcPr>
            <w:tcW w:w="2438" w:type="dxa"/>
          </w:tcPr>
          <w:p>
            <w:pPr>
              <w:pStyle w:val="Compact"/>
              <w:spacing w:after="20" w:before="20"/>
            </w:pPr>
            <w:r>
              <w:rPr>
                <w:sz w:val="17"/>
              </w:rPr>
              <w:t xml:space="preserve">Collateral and structure detail, CE levels</w:t>
            </w:r>
          </w:p>
        </w:tc>
        <w:tc>
          <w:tcPr>
            <w:tcW w:w="2438" w:type="dxa"/>
          </w:tcPr>
          <w:p>
            <w:pPr>
              <w:pStyle w:val="Compact"/>
              <w:spacing w:after="20" w:before="20"/>
            </w:pPr>
            <w:hyperlink r:id="rId79">
              <w:r>
                <w:rPr>
                  <w:rStyle w:val="Hyperlink"/>
                  <w:sz w:val="17"/>
                </w:rPr>
                <w:t xml:space="preserve">kbra.com – RMBS transactions</w:t>
              </w:r>
            </w:hyperlink>
          </w:p>
        </w:tc>
      </w:tr>
      <w:tr>
        <w:trPr>
          <w:cantSplit/>
        </w:trPr>
        <w:tc>
          <w:tcPr>
            <w:tcW w:w="2438" w:type="dxa"/>
            <w:shd w:val="clear" w:color="auto" w:fill="EEF2F7"/>
          </w:tcPr>
          <w:p>
            <w:pPr>
              <w:pStyle w:val="Compact"/>
              <w:spacing w:after="20" w:before="20"/>
            </w:pPr>
            <w:r>
              <w:rPr>
                <w:sz w:val="17"/>
              </w:rPr>
              <w:t xml:space="preserve">Fitch Ratings</w:t>
            </w:r>
          </w:p>
        </w:tc>
        <w:tc>
          <w:tcPr>
            <w:tcW w:w="3485" w:type="dxa"/>
            <w:shd w:val="clear" w:color="auto" w:fill="EEF2F7"/>
          </w:tcPr>
          <w:p>
            <w:pPr>
              <w:pStyle w:val="Compact"/>
              <w:spacing w:after="20" w:before="20"/>
            </w:pPr>
            <w:r>
              <w:rPr>
                <w:sz w:val="17"/>
              </w:rPr>
              <w:t xml:space="preserve">Presales, new-issue reports, RMBS research and performance commentary</w:t>
            </w:r>
          </w:p>
        </w:tc>
        <w:tc>
          <w:tcPr>
            <w:tcW w:w="1394" w:type="dxa"/>
            <w:shd w:val="clear" w:color="auto" w:fill="EEF2F7"/>
          </w:tcPr>
          <w:p>
            <w:pPr>
              <w:pStyle w:val="Compact"/>
              <w:spacing w:after="20" w:before="20"/>
            </w:pPr>
            <w:r>
              <w:rPr>
                <w:sz w:val="17"/>
              </w:rPr>
              <w:t xml:space="preserve">Free w/ reg (many reports); some Paid</w:t>
            </w:r>
          </w:p>
        </w:tc>
        <w:tc>
          <w:tcPr>
            <w:tcW w:w="1916" w:type="dxa"/>
            <w:shd w:val="clear" w:color="auto" w:fill="EEF2F7"/>
          </w:tcPr>
          <w:p>
            <w:pPr>
              <w:pStyle w:val="Compact"/>
              <w:spacing w:after="20" w:before="20"/>
            </w:pPr>
            <w:r>
              <w:rPr>
                <w:sz w:val="17"/>
              </w:rPr>
              <w:t xml:space="preserve">As deals launch</w:t>
            </w:r>
          </w:p>
        </w:tc>
        <w:tc>
          <w:tcPr>
            <w:tcW w:w="2438" w:type="dxa"/>
            <w:shd w:val="clear" w:color="auto" w:fill="EEF2F7"/>
          </w:tcPr>
          <w:p>
            <w:pPr>
              <w:pStyle w:val="Compact"/>
              <w:spacing w:after="20" w:before="20"/>
            </w:pPr>
            <w:r>
              <w:rPr>
                <w:sz w:val="17"/>
              </w:rPr>
              <w:t xml:space="preserve">Presales; sector research</w:t>
            </w:r>
          </w:p>
        </w:tc>
        <w:tc>
          <w:tcPr>
            <w:tcW w:w="2438" w:type="dxa"/>
            <w:shd w:val="clear" w:color="auto" w:fill="EEF2F7"/>
          </w:tcPr>
          <w:p>
            <w:pPr>
              <w:pStyle w:val="Compact"/>
              <w:spacing w:after="20" w:before="20"/>
            </w:pPr>
            <w:hyperlink r:id="rId80">
              <w:r>
                <w:rPr>
                  <w:rStyle w:val="Hyperlink"/>
                  <w:sz w:val="17"/>
                </w:rPr>
                <w:t xml:space="preserve">fitchratings.com – RMBS</w:t>
              </w:r>
            </w:hyperlink>
          </w:p>
        </w:tc>
      </w:tr>
      <w:tr>
        <w:trPr>
          <w:cantSplit/>
        </w:trPr>
        <w:tc>
          <w:tcPr>
            <w:tcW w:w="2438" w:type="dxa"/>
          </w:tcPr>
          <w:p>
            <w:pPr>
              <w:pStyle w:val="Compact"/>
              <w:spacing w:after="20" w:before="20"/>
            </w:pPr>
            <w:r>
              <w:rPr>
                <w:sz w:val="17"/>
              </w:rPr>
              <w:t xml:space="preserve">Morningstar DBRS</w:t>
            </w:r>
          </w:p>
        </w:tc>
        <w:tc>
          <w:tcPr>
            <w:tcW w:w="3485" w:type="dxa"/>
          </w:tcPr>
          <w:p>
            <w:pPr>
              <w:pStyle w:val="Compact"/>
              <w:spacing w:after="20" w:before="20"/>
            </w:pPr>
            <w:r>
              <w:rPr>
                <w:sz w:val="17"/>
              </w:rPr>
              <w:t xml:space="preserve">Presales, provisional/final rating press releases, rating reports</w:t>
            </w:r>
          </w:p>
        </w:tc>
        <w:tc>
          <w:tcPr>
            <w:tcW w:w="1394" w:type="dxa"/>
          </w:tcPr>
          <w:p>
            <w:pPr>
              <w:pStyle w:val="Compact"/>
              <w:spacing w:after="20" w:before="20"/>
            </w:pPr>
            <w:r>
              <w:rPr>
                <w:sz w:val="17"/>
              </w:rPr>
              <w:t xml:space="preserve">Free w/ reg</w:t>
            </w:r>
          </w:p>
        </w:tc>
        <w:tc>
          <w:tcPr>
            <w:tcW w:w="1916" w:type="dxa"/>
          </w:tcPr>
          <w:p>
            <w:pPr>
              <w:pStyle w:val="Compact"/>
              <w:spacing w:after="20" w:before="20"/>
            </w:pPr>
            <w:r>
              <w:rPr>
                <w:sz w:val="17"/>
              </w:rPr>
              <w:t xml:space="preserve">As deals launch</w:t>
            </w:r>
          </w:p>
        </w:tc>
        <w:tc>
          <w:tcPr>
            <w:tcW w:w="2438" w:type="dxa"/>
          </w:tcPr>
          <w:p>
            <w:pPr>
              <w:pStyle w:val="Compact"/>
              <w:spacing w:after="20" w:before="20"/>
            </w:pPr>
            <w:r>
              <w:rPr>
                <w:sz w:val="17"/>
              </w:rPr>
              <w:t xml:space="preserve">Presales (very active in Non-QM, RTL, HELOC)</w:t>
            </w:r>
          </w:p>
        </w:tc>
        <w:tc>
          <w:tcPr>
            <w:tcW w:w="2438" w:type="dxa"/>
          </w:tcPr>
          <w:p>
            <w:pPr>
              <w:pStyle w:val="Compact"/>
              <w:spacing w:after="20" w:before="20"/>
            </w:pPr>
            <w:hyperlink r:id="rId81">
              <w:r>
                <w:rPr>
                  <w:rStyle w:val="Hyperlink"/>
                  <w:sz w:val="17"/>
                </w:rPr>
                <w:t xml:space="preserve">dbrs.morningstar.com</w:t>
              </w:r>
            </w:hyperlink>
          </w:p>
        </w:tc>
      </w:tr>
      <w:tr>
        <w:trPr>
          <w:cantSplit/>
        </w:trPr>
        <w:tc>
          <w:tcPr>
            <w:tcW w:w="2438" w:type="dxa"/>
            <w:shd w:val="clear" w:color="auto" w:fill="EEF2F7"/>
          </w:tcPr>
          <w:p>
            <w:pPr>
              <w:pStyle w:val="Compact"/>
              <w:spacing w:after="20" w:before="20"/>
            </w:pPr>
            <w:r>
              <w:rPr>
                <w:sz w:val="17"/>
              </w:rPr>
              <w:t xml:space="preserve">Moody’s Ratings</w:t>
            </w:r>
          </w:p>
        </w:tc>
        <w:tc>
          <w:tcPr>
            <w:tcW w:w="3485" w:type="dxa"/>
            <w:shd w:val="clear" w:color="auto" w:fill="EEF2F7"/>
          </w:tcPr>
          <w:p>
            <w:pPr>
              <w:pStyle w:val="Compact"/>
              <w:spacing w:after="20" w:before="20"/>
            </w:pPr>
            <w:r>
              <w:rPr>
                <w:sz w:val="17"/>
              </w:rPr>
              <w:t xml:space="preserve">Pre-sale reports, rating actions</w:t>
            </w:r>
          </w:p>
        </w:tc>
        <w:tc>
          <w:tcPr>
            <w:tcW w:w="1394" w:type="dxa"/>
            <w:shd w:val="clear" w:color="auto" w:fill="EEF2F7"/>
          </w:tcPr>
          <w:p>
            <w:pPr>
              <w:pStyle w:val="Compact"/>
              <w:spacing w:after="20" w:before="20"/>
            </w:pPr>
            <w:r>
              <w:rPr>
                <w:sz w:val="17"/>
              </w:rPr>
              <w:t xml:space="preserve">Press releases free; research mostly Paid – Nice to have</w:t>
            </w:r>
          </w:p>
        </w:tc>
        <w:tc>
          <w:tcPr>
            <w:tcW w:w="1916" w:type="dxa"/>
            <w:shd w:val="clear" w:color="auto" w:fill="EEF2F7"/>
          </w:tcPr>
          <w:p>
            <w:pPr>
              <w:pStyle w:val="Compact"/>
              <w:spacing w:after="20" w:before="20"/>
            </w:pPr>
            <w:r>
              <w:rPr>
                <w:sz w:val="17"/>
              </w:rPr>
              <w:t xml:space="preserve">As deals launch</w:t>
            </w:r>
          </w:p>
        </w:tc>
        <w:tc>
          <w:tcPr>
            <w:tcW w:w="2438" w:type="dxa"/>
            <w:shd w:val="clear" w:color="auto" w:fill="EEF2F7"/>
          </w:tcPr>
          <w:p>
            <w:pPr>
              <w:pStyle w:val="Compact"/>
              <w:spacing w:after="20" w:before="20"/>
            </w:pPr>
            <w:r>
              <w:rPr>
                <w:sz w:val="17"/>
              </w:rPr>
              <w:t xml:space="preserve">Rating actions</w:t>
            </w:r>
          </w:p>
        </w:tc>
        <w:tc>
          <w:tcPr>
            <w:tcW w:w="2438" w:type="dxa"/>
            <w:shd w:val="clear" w:color="auto" w:fill="EEF2F7"/>
          </w:tcPr>
          <w:p>
            <w:pPr>
              <w:pStyle w:val="Compact"/>
              <w:spacing w:after="20" w:before="20"/>
            </w:pPr>
            <w:hyperlink r:id="rId82">
              <w:r>
                <w:rPr>
                  <w:rStyle w:val="Hyperlink"/>
                  <w:sz w:val="17"/>
                </w:rPr>
                <w:t xml:space="preserve">moodys.com</w:t>
              </w:r>
            </w:hyperlink>
          </w:p>
        </w:tc>
      </w:tr>
      <w:tr>
        <w:trPr>
          <w:cantSplit/>
        </w:trPr>
        <w:tc>
          <w:tcPr>
            <w:tcW w:w="2438" w:type="dxa"/>
          </w:tcPr>
          <w:p>
            <w:pPr>
              <w:pStyle w:val="Compact"/>
              <w:spacing w:after="20" w:before="20"/>
            </w:pPr>
            <w:r>
              <w:rPr>
                <w:sz w:val="17"/>
              </w:rPr>
              <w:t xml:space="preserve">S&amp;P Global Ratings</w:t>
            </w:r>
          </w:p>
        </w:tc>
        <w:tc>
          <w:tcPr>
            <w:tcW w:w="3485" w:type="dxa"/>
          </w:tcPr>
          <w:p>
            <w:pPr>
              <w:pStyle w:val="Compact"/>
              <w:spacing w:after="20" w:before="20"/>
            </w:pPr>
            <w:r>
              <w:rPr>
                <w:sz w:val="17"/>
              </w:rPr>
              <w:t xml:space="preserve">Presales, rating actions, sector research</w:t>
            </w:r>
          </w:p>
        </w:tc>
        <w:tc>
          <w:tcPr>
            <w:tcW w:w="1394" w:type="dxa"/>
          </w:tcPr>
          <w:p>
            <w:pPr>
              <w:pStyle w:val="Compact"/>
              <w:spacing w:after="20" w:before="20"/>
            </w:pPr>
            <w:r>
              <w:rPr>
                <w:sz w:val="17"/>
              </w:rPr>
              <w:t xml:space="preserve">Press releases free w/ reg; research mostly Paid – Nice to have</w:t>
            </w:r>
          </w:p>
        </w:tc>
        <w:tc>
          <w:tcPr>
            <w:tcW w:w="1916" w:type="dxa"/>
          </w:tcPr>
          <w:p>
            <w:pPr>
              <w:pStyle w:val="Compact"/>
              <w:spacing w:after="20" w:before="20"/>
            </w:pPr>
            <w:r>
              <w:rPr>
                <w:sz w:val="17"/>
              </w:rPr>
              <w:t xml:space="preserve">As deals launch</w:t>
            </w:r>
          </w:p>
        </w:tc>
        <w:tc>
          <w:tcPr>
            <w:tcW w:w="2438" w:type="dxa"/>
          </w:tcPr>
          <w:p>
            <w:pPr>
              <w:pStyle w:val="Compact"/>
              <w:spacing w:after="20" w:before="20"/>
            </w:pPr>
            <w:r>
              <w:rPr>
                <w:sz w:val="17"/>
              </w:rPr>
              <w:t xml:space="preserve">Rating actions</w:t>
            </w:r>
          </w:p>
        </w:tc>
        <w:tc>
          <w:tcPr>
            <w:tcW w:w="2438" w:type="dxa"/>
          </w:tcPr>
          <w:p>
            <w:pPr>
              <w:pStyle w:val="Compact"/>
              <w:spacing w:after="20" w:before="20"/>
            </w:pPr>
            <w:hyperlink r:id="rId83">
              <w:r>
                <w:rPr>
                  <w:rStyle w:val="Hyperlink"/>
                  <w:sz w:val="17"/>
                </w:rPr>
                <w:t xml:space="preserve">spglobal.com/ratings</w:t>
              </w:r>
            </w:hyperlink>
          </w:p>
        </w:tc>
      </w:tr>
      <w:tr>
        <w:trPr>
          <w:cantSplit/>
        </w:trPr>
        <w:tc>
          <w:tcPr>
            <w:tcW w:w="2438" w:type="dxa"/>
            <w:shd w:val="clear" w:color="auto" w:fill="EEF2F7"/>
          </w:tcPr>
          <w:p>
            <w:pPr>
              <w:pStyle w:val="Compact"/>
              <w:spacing w:after="20" w:before="20"/>
            </w:pPr>
            <w:r>
              <w:rPr>
                <w:sz w:val="17"/>
              </w:rPr>
              <w:t xml:space="preserve">Finsight / CreditFlow</w:t>
            </w:r>
          </w:p>
        </w:tc>
        <w:tc>
          <w:tcPr>
            <w:tcW w:w="3485" w:type="dxa"/>
            <w:shd w:val="clear" w:color="auto" w:fill="EEF2F7"/>
          </w:tcPr>
          <w:p>
            <w:pPr>
              <w:pStyle w:val="Compact"/>
              <w:spacing w:after="20" w:before="20"/>
            </w:pPr>
            <w:r>
              <w:rPr>
                <w:sz w:val="17"/>
              </w:rPr>
              <w:t xml:space="preserve">New-issue calendar, deal database, pricing, roadshows</w:t>
            </w:r>
          </w:p>
        </w:tc>
        <w:tc>
          <w:tcPr>
            <w:tcW w:w="1394" w:type="dxa"/>
            <w:shd w:val="clear" w:color="auto" w:fill="EEF2F7"/>
          </w:tcPr>
          <w:p>
            <w:pPr>
              <w:pStyle w:val="Compact"/>
              <w:spacing w:after="20" w:before="20"/>
            </w:pPr>
            <w:r>
              <w:rPr>
                <w:sz w:val="17"/>
              </w:rPr>
              <w:t xml:space="preserve">Free w/ reg (basic); Paid full</w:t>
            </w:r>
          </w:p>
        </w:tc>
        <w:tc>
          <w:tcPr>
            <w:tcW w:w="1916" w:type="dxa"/>
            <w:shd w:val="clear" w:color="auto" w:fill="EEF2F7"/>
          </w:tcPr>
          <w:p>
            <w:pPr>
              <w:pStyle w:val="Compact"/>
              <w:spacing w:after="20" w:before="20"/>
            </w:pPr>
            <w:r>
              <w:rPr>
                <w:sz w:val="17"/>
              </w:rPr>
              <w:t xml:space="preserve">Intraday</w:t>
            </w:r>
          </w:p>
        </w:tc>
        <w:tc>
          <w:tcPr>
            <w:tcW w:w="2438" w:type="dxa"/>
            <w:shd w:val="clear" w:color="auto" w:fill="EEF2F7"/>
          </w:tcPr>
          <w:p>
            <w:pPr>
              <w:pStyle w:val="Compact"/>
              <w:spacing w:after="20" w:before="20"/>
            </w:pPr>
            <w:r>
              <w:rPr>
                <w:sz w:val="17"/>
              </w:rPr>
              <w:t xml:space="preserve">Pricing and calendar</w:t>
            </w:r>
          </w:p>
        </w:tc>
        <w:tc>
          <w:tcPr>
            <w:tcW w:w="2438" w:type="dxa"/>
            <w:shd w:val="clear" w:color="auto" w:fill="EEF2F7"/>
          </w:tcPr>
          <w:p>
            <w:pPr>
              <w:pStyle w:val="Compact"/>
              <w:spacing w:after="20" w:before="20"/>
            </w:pPr>
            <w:hyperlink r:id="rId64">
              <w:r>
                <w:rPr>
                  <w:rStyle w:val="Hyperlink"/>
                  <w:sz w:val="17"/>
                </w:rPr>
                <w:t xml:space="preserve">finsight.com</w:t>
              </w:r>
            </w:hyperlink>
          </w:p>
        </w:tc>
      </w:tr>
      <w:tr>
        <w:trPr>
          <w:cantSplit/>
        </w:trPr>
        <w:tc>
          <w:tcPr>
            <w:tcW w:w="2438" w:type="dxa"/>
          </w:tcPr>
          <w:p>
            <w:pPr>
              <w:pStyle w:val="Compact"/>
              <w:spacing w:after="20" w:before="20"/>
            </w:pPr>
            <w:r>
              <w:rPr>
                <w:sz w:val="17"/>
              </w:rPr>
              <w:t xml:space="preserve">Asset-Backed Alert</w:t>
            </w:r>
          </w:p>
        </w:tc>
        <w:tc>
          <w:tcPr>
            <w:tcW w:w="3485" w:type="dxa"/>
          </w:tcPr>
          <w:p>
            <w:pPr>
              <w:pStyle w:val="Compact"/>
              <w:spacing w:after="20" w:before="20"/>
            </w:pPr>
            <w:r>
              <w:rPr>
                <w:sz w:val="17"/>
              </w:rPr>
              <w:t xml:space="preserve">Weekly pipeline scoops and issuance stats</w:t>
            </w:r>
          </w:p>
        </w:tc>
        <w:tc>
          <w:tcPr>
            <w:tcW w:w="1394" w:type="dxa"/>
          </w:tcPr>
          <w:p>
            <w:pPr>
              <w:pStyle w:val="Compact"/>
              <w:spacing w:after="20" w:before="20"/>
            </w:pPr>
            <w:r>
              <w:rPr>
                <w:sz w:val="17"/>
              </w:rPr>
              <w:t xml:space="preserve">Paid – Nice to have</w:t>
            </w:r>
          </w:p>
        </w:tc>
        <w:tc>
          <w:tcPr>
            <w:tcW w:w="1916" w:type="dxa"/>
          </w:tcPr>
          <w:p>
            <w:pPr>
              <w:pStyle w:val="Compact"/>
              <w:spacing w:after="20" w:before="20"/>
            </w:pPr>
            <w:r>
              <w:rPr>
                <w:sz w:val="17"/>
              </w:rPr>
              <w:t xml:space="preserve">Weekly</w:t>
            </w:r>
          </w:p>
        </w:tc>
        <w:tc>
          <w:tcPr>
            <w:tcW w:w="2438" w:type="dxa"/>
          </w:tcPr>
          <w:p>
            <w:pPr>
              <w:pStyle w:val="Compact"/>
              <w:spacing w:after="20" w:before="20"/>
            </w:pPr>
            <w:r>
              <w:rPr>
                <w:sz w:val="17"/>
              </w:rPr>
              <w:t xml:space="preserve">Early pipeline intelligence</w:t>
            </w:r>
          </w:p>
        </w:tc>
        <w:tc>
          <w:tcPr>
            <w:tcW w:w="2438" w:type="dxa"/>
          </w:tcPr>
          <w:p>
            <w:pPr>
              <w:pStyle w:val="Compact"/>
              <w:spacing w:after="20" w:before="20"/>
            </w:pPr>
            <w:hyperlink r:id="rId66">
              <w:r>
                <w:rPr>
                  <w:rStyle w:val="Hyperlink"/>
                  <w:sz w:val="17"/>
                </w:rPr>
                <w:t xml:space="preserve">greenstreet.com</w:t>
              </w:r>
            </w:hyperlink>
          </w:p>
        </w:tc>
      </w:tr>
      <w:tr>
        <w:trPr>
          <w:cantSplit/>
        </w:trPr>
        <w:tc>
          <w:tcPr>
            <w:tcW w:w="2438" w:type="dxa"/>
            <w:shd w:val="clear" w:color="auto" w:fill="EEF2F7"/>
          </w:tcPr>
          <w:p>
            <w:pPr>
              <w:pStyle w:val="Compact"/>
              <w:spacing w:after="20" w:before="20"/>
            </w:pPr>
            <w:r>
              <w:rPr>
                <w:sz w:val="17"/>
              </w:rPr>
              <w:t xml:space="preserve">Asset Securitization Report</w:t>
            </w:r>
          </w:p>
        </w:tc>
        <w:tc>
          <w:tcPr>
            <w:tcW w:w="3485" w:type="dxa"/>
            <w:shd w:val="clear" w:color="auto" w:fill="EEF2F7"/>
          </w:tcPr>
          <w:p>
            <w:pPr>
              <w:pStyle w:val="Compact"/>
              <w:spacing w:after="20" w:before="20"/>
            </w:pPr>
            <w:r>
              <w:rPr>
                <w:sz w:val="17"/>
              </w:rPr>
              <w:t xml:space="preserve">Priced-deal stories, weekly issuance totals, league tables</w:t>
            </w:r>
          </w:p>
        </w:tc>
        <w:tc>
          <w:tcPr>
            <w:tcW w:w="1394" w:type="dxa"/>
            <w:shd w:val="clear" w:color="auto" w:fill="EEF2F7"/>
          </w:tcPr>
          <w:p>
            <w:pPr>
              <w:pStyle w:val="Compact"/>
              <w:spacing w:after="20" w:before="20"/>
            </w:pPr>
            <w:r>
              <w:rPr>
                <w:sz w:val="17"/>
              </w:rPr>
              <w:t xml:space="preserve">Free headlines / Paid</w:t>
            </w:r>
          </w:p>
        </w:tc>
        <w:tc>
          <w:tcPr>
            <w:tcW w:w="1916" w:type="dxa"/>
            <w:shd w:val="clear" w:color="auto" w:fill="EEF2F7"/>
          </w:tcPr>
          <w:p>
            <w:pPr>
              <w:pStyle w:val="Compact"/>
              <w:spacing w:after="20" w:before="20"/>
            </w:pPr>
            <w:r>
              <w:rPr>
                <w:sz w:val="17"/>
              </w:rPr>
              <w:t xml:space="preserve">Daily</w:t>
            </w:r>
          </w:p>
        </w:tc>
        <w:tc>
          <w:tcPr>
            <w:tcW w:w="2438" w:type="dxa"/>
            <w:shd w:val="clear" w:color="auto" w:fill="EEF2F7"/>
          </w:tcPr>
          <w:p>
            <w:pPr>
              <w:pStyle w:val="Compact"/>
              <w:spacing w:after="20" w:before="20"/>
            </w:pPr>
            <w:r>
              <w:rPr>
                <w:sz w:val="17"/>
              </w:rPr>
              <w:t xml:space="preserve">Priced-deal recaps</w:t>
            </w:r>
          </w:p>
        </w:tc>
        <w:tc>
          <w:tcPr>
            <w:tcW w:w="2438" w:type="dxa"/>
            <w:shd w:val="clear" w:color="auto" w:fill="EEF2F7"/>
          </w:tcPr>
          <w:p>
            <w:pPr>
              <w:pStyle w:val="Compact"/>
              <w:spacing w:after="20" w:before="20"/>
            </w:pPr>
            <w:hyperlink r:id="rId67">
              <w:r>
                <w:rPr>
                  <w:rStyle w:val="Hyperlink"/>
                  <w:sz w:val="17"/>
                </w:rPr>
                <w:t xml:space="preserve">asreport.americanbanker.com</w:t>
              </w:r>
            </w:hyperlink>
          </w:p>
        </w:tc>
      </w:tr>
      <w:tr>
        <w:trPr>
          <w:cantSplit/>
        </w:trPr>
        <w:tc>
          <w:tcPr>
            <w:tcW w:w="2438" w:type="dxa"/>
          </w:tcPr>
          <w:p>
            <w:pPr>
              <w:pStyle w:val="Compact"/>
              <w:spacing w:after="20" w:before="20"/>
            </w:pPr>
            <w:r>
              <w:rPr>
                <w:sz w:val="17"/>
              </w:rPr>
              <w:t xml:space="preserve">Inside Mortgage Finance – Inside Nonconforming Markets</w:t>
            </w:r>
          </w:p>
        </w:tc>
        <w:tc>
          <w:tcPr>
            <w:tcW w:w="3485" w:type="dxa"/>
          </w:tcPr>
          <w:p>
            <w:pPr>
              <w:pStyle w:val="Compact"/>
              <w:spacing w:after="20" w:before="20"/>
            </w:pPr>
            <w:r>
              <w:rPr>
                <w:sz w:val="17"/>
              </w:rPr>
              <w:t xml:space="preserve">Biweekly newsletter on non-agency: jumbo, Non-QM, seconds, securitization, rankings</w:t>
            </w:r>
          </w:p>
        </w:tc>
        <w:tc>
          <w:tcPr>
            <w:tcW w:w="1394" w:type="dxa"/>
          </w:tcPr>
          <w:p>
            <w:pPr>
              <w:pStyle w:val="Compact"/>
              <w:spacing w:after="20" w:before="20"/>
            </w:pPr>
            <w:r>
              <w:rPr>
                <w:sz w:val="17"/>
              </w:rPr>
              <w:t xml:space="preserve">Paid – Nice to have</w:t>
            </w:r>
          </w:p>
        </w:tc>
        <w:tc>
          <w:tcPr>
            <w:tcW w:w="1916" w:type="dxa"/>
          </w:tcPr>
          <w:p>
            <w:pPr>
              <w:pStyle w:val="Compact"/>
              <w:spacing w:after="20" w:before="20"/>
            </w:pPr>
            <w:r>
              <w:rPr>
                <w:sz w:val="17"/>
              </w:rPr>
              <w:t xml:space="preserve">Biweekly</w:t>
            </w:r>
          </w:p>
        </w:tc>
        <w:tc>
          <w:tcPr>
            <w:tcW w:w="2438" w:type="dxa"/>
          </w:tcPr>
          <w:p>
            <w:pPr>
              <w:pStyle w:val="Compact"/>
              <w:spacing w:after="20" w:before="20"/>
            </w:pPr>
            <w:r>
              <w:rPr>
                <w:sz w:val="17"/>
              </w:rPr>
              <w:t xml:space="preserve">Issuance rankings and market share</w:t>
            </w:r>
          </w:p>
        </w:tc>
        <w:tc>
          <w:tcPr>
            <w:tcW w:w="2438" w:type="dxa"/>
          </w:tcPr>
          <w:p>
            <w:pPr>
              <w:pStyle w:val="Compact"/>
              <w:spacing w:after="20" w:before="20"/>
            </w:pPr>
            <w:hyperlink r:id="rId84">
              <w:r>
                <w:rPr>
                  <w:rStyle w:val="Hyperlink"/>
                  <w:sz w:val="17"/>
                </w:rPr>
                <w:t xml:space="preserve">insidemortgagefinance.com – INM</w:t>
              </w:r>
            </w:hyperlink>
          </w:p>
        </w:tc>
      </w:tr>
      <w:tr>
        <w:trPr>
          <w:cantSplit/>
        </w:trPr>
        <w:tc>
          <w:tcPr>
            <w:tcW w:w="2438" w:type="dxa"/>
            <w:shd w:val="clear" w:color="auto" w:fill="EEF2F7"/>
          </w:tcPr>
          <w:p>
            <w:pPr>
              <w:pStyle w:val="Compact"/>
              <w:spacing w:after="20" w:before="20"/>
            </w:pPr>
            <w:r>
              <w:rPr>
                <w:sz w:val="17"/>
              </w:rPr>
              <w:t xml:space="preserve">SEC EDGAR full-text search</w:t>
            </w:r>
          </w:p>
        </w:tc>
        <w:tc>
          <w:tcPr>
            <w:tcW w:w="3485" w:type="dxa"/>
            <w:shd w:val="clear" w:color="auto" w:fill="EEF2F7"/>
          </w:tcPr>
          <w:p>
            <w:pPr>
              <w:pStyle w:val="Compact"/>
              <w:spacing w:after="20" w:before="20"/>
            </w:pPr>
            <w:r>
              <w:rPr>
                <w:sz w:val="17"/>
              </w:rPr>
              <w:t xml:space="preserve">ABS-15G, prospectuses, 8-Ks, 10-D distribution reports (public deals)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Continuous</w:t>
            </w:r>
          </w:p>
        </w:tc>
        <w:tc>
          <w:tcPr>
            <w:tcW w:w="2438" w:type="dxa"/>
            <w:shd w:val="clear" w:color="auto" w:fill="EEF2F7"/>
          </w:tcPr>
          <w:p>
            <w:pPr>
              <w:pStyle w:val="Compact"/>
              <w:spacing w:after="20" w:before="20"/>
            </w:pPr>
            <w:r>
              <w:rPr>
                <w:sz w:val="17"/>
              </w:rPr>
              <w:t xml:space="preserve">Primary documents; due-diligence results</w:t>
            </w:r>
          </w:p>
        </w:tc>
        <w:tc>
          <w:tcPr>
            <w:tcW w:w="2438" w:type="dxa"/>
            <w:shd w:val="clear" w:color="auto" w:fill="EEF2F7"/>
          </w:tcPr>
          <w:p>
            <w:pPr>
              <w:pStyle w:val="Compact"/>
              <w:spacing w:after="20" w:before="20"/>
            </w:pPr>
            <w:hyperlink r:id="rId85">
              <w:r>
                <w:rPr>
                  <w:rStyle w:val="Hyperlink"/>
                  <w:sz w:val="17"/>
                </w:rPr>
                <w:t xml:space="preserve">sec.gov/edgar/search</w:t>
              </w:r>
            </w:hyperlink>
          </w:p>
        </w:tc>
      </w:tr>
      <w:tr>
        <w:trPr>
          <w:cantSplit/>
        </w:trPr>
        <w:tc>
          <w:tcPr>
            <w:tcW w:w="2438" w:type="dxa"/>
          </w:tcPr>
          <w:p>
            <w:pPr>
              <w:pStyle w:val="Compact"/>
              <w:spacing w:after="20" w:before="20"/>
            </w:pPr>
            <w:r>
              <w:rPr>
                <w:sz w:val="17"/>
              </w:rPr>
              <w:t xml:space="preserve">Business Wire / PR Newswire / GlobeNewswire</w:t>
            </w:r>
          </w:p>
        </w:tc>
        <w:tc>
          <w:tcPr>
            <w:tcW w:w="3485" w:type="dxa"/>
          </w:tcPr>
          <w:p>
            <w:pPr>
              <w:pStyle w:val="Compact"/>
              <w:spacing w:after="20" w:before="20"/>
            </w:pPr>
            <w:r>
              <w:rPr>
                <w:sz w:val="17"/>
              </w:rPr>
              <w:t xml:space="preserve">Rating-agency and issuer press releases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Continuous</w:t>
            </w:r>
          </w:p>
        </w:tc>
        <w:tc>
          <w:tcPr>
            <w:tcW w:w="2438" w:type="dxa"/>
          </w:tcPr>
          <w:p>
            <w:pPr>
              <w:pStyle w:val="Compact"/>
              <w:spacing w:after="20" w:before="20"/>
            </w:pPr>
            <w:r>
              <w:rPr>
                <w:sz w:val="17"/>
              </w:rPr>
              <w:t xml:space="preserve">Fast deal announcements (KBRA releases run on Business Wire)</w:t>
            </w:r>
          </w:p>
        </w:tc>
        <w:tc>
          <w:tcPr>
            <w:tcW w:w="2438" w:type="dxa"/>
          </w:tcPr>
          <w:p>
            <w:pPr>
              <w:pStyle w:val="Compact"/>
              <w:spacing w:after="20" w:before="20"/>
            </w:pPr>
            <w:hyperlink r:id="rId86">
              <w:r>
                <w:rPr>
                  <w:rStyle w:val="Hyperlink"/>
                  <w:sz w:val="17"/>
                </w:rPr>
                <w:t xml:space="preserve">businesswire.com</w:t>
              </w:r>
            </w:hyperlink>
            <w:r>
              <w:rPr>
                <w:sz w:val="17"/>
              </w:rPr>
              <w:t xml:space="preserve">;</w:t>
            </w:r>
            <w:r>
              <w:rPr>
                <w:sz w:val="17"/>
              </w:rPr>
              <w:t xml:space="preserve"> </w:t>
            </w:r>
            <w:hyperlink r:id="rId87">
              <w:r>
                <w:rPr>
                  <w:rStyle w:val="Hyperlink"/>
                  <w:sz w:val="17"/>
                </w:rPr>
                <w:t xml:space="preserve">prnewswire.com</w:t>
              </w:r>
            </w:hyperlink>
            <w:r>
              <w:rPr>
                <w:sz w:val="17"/>
              </w:rPr>
              <w:t xml:space="preserve">;</w:t>
            </w:r>
            <w:r>
              <w:rPr>
                <w:sz w:val="17"/>
              </w:rPr>
              <w:t xml:space="preserve"> </w:t>
            </w:r>
            <w:hyperlink r:id="rId88">
              <w:r>
                <w:rPr>
                  <w:rStyle w:val="Hyperlink"/>
                  <w:sz w:val="17"/>
                </w:rPr>
                <w:t xml:space="preserve">globenewswire.com</w:t>
              </w:r>
            </w:hyperlink>
          </w:p>
        </w:tc>
      </w:tr>
      <w:tr>
        <w:trPr>
          <w:cantSplit/>
        </w:trPr>
        <w:tc>
          <w:tcPr>
            <w:tcW w:w="2438" w:type="dxa"/>
            <w:shd w:val="clear" w:color="auto" w:fill="EEF2F7"/>
          </w:tcPr>
          <w:p>
            <w:pPr>
              <w:pStyle w:val="Compact"/>
              <w:spacing w:after="20" w:before="20"/>
            </w:pPr>
            <w:r>
              <w:rPr>
                <w:sz w:val="17"/>
              </w:rPr>
              <w:t xml:space="preserve">Bloomberg NIM / NI screens</w:t>
            </w:r>
          </w:p>
        </w:tc>
        <w:tc>
          <w:tcPr>
            <w:tcW w:w="3485" w:type="dxa"/>
            <w:shd w:val="clear" w:color="auto" w:fill="EEF2F7"/>
          </w:tcPr>
          <w:p>
            <w:pPr>
              <w:pStyle w:val="Compact"/>
              <w:spacing w:after="20" w:before="20"/>
            </w:pPr>
            <w:r>
              <w:rPr>
                <w:sz w:val="17"/>
              </w:rPr>
              <w:t xml:space="preserve">New-issue monitor, deal news</w:t>
            </w:r>
          </w:p>
        </w:tc>
        <w:tc>
          <w:tcPr>
            <w:tcW w:w="1394" w:type="dxa"/>
            <w:shd w:val="clear" w:color="auto" w:fill="EEF2F7"/>
          </w:tcPr>
          <w:p>
            <w:pPr>
              <w:pStyle w:val="Compact"/>
              <w:spacing w:after="20" w:before="20"/>
            </w:pPr>
            <w:r>
              <w:rPr>
                <w:sz w:val="17"/>
              </w:rPr>
              <w:t xml:space="preserve">Paid – Must-request</w:t>
            </w:r>
          </w:p>
        </w:tc>
        <w:tc>
          <w:tcPr>
            <w:tcW w:w="1916" w:type="dxa"/>
            <w:shd w:val="clear" w:color="auto" w:fill="EEF2F7"/>
          </w:tcPr>
          <w:p>
            <w:pPr>
              <w:pStyle w:val="Compact"/>
              <w:spacing w:after="20" w:before="20"/>
            </w:pPr>
            <w:r>
              <w:rPr>
                <w:sz w:val="17"/>
              </w:rPr>
              <w:t xml:space="preserve">Real time</w:t>
            </w:r>
          </w:p>
        </w:tc>
        <w:tc>
          <w:tcPr>
            <w:tcW w:w="2438" w:type="dxa"/>
            <w:shd w:val="clear" w:color="auto" w:fill="EEF2F7"/>
          </w:tcPr>
          <w:p>
            <w:pPr>
              <w:pStyle w:val="Compact"/>
              <w:spacing w:after="20" w:before="20"/>
            </w:pPr>
            <w:r>
              <w:rPr>
                <w:sz w:val="17"/>
              </w:rPr>
              <w:t xml:space="preserve">Live pipeline</w:t>
            </w:r>
          </w:p>
        </w:tc>
        <w:tc>
          <w:tcPr>
            <w:tcW w:w="2438" w:type="dxa"/>
            <w:shd w:val="clear" w:color="auto" w:fill="EEF2F7"/>
          </w:tcPr>
          <w:p>
            <w:pPr>
              <w:pStyle w:val="Compact"/>
              <w:spacing w:after="20" w:before="20"/>
            </w:pPr>
            <w:hyperlink r:id="rId19">
              <w:r>
                <w:rPr>
                  <w:rStyle w:val="Hyperlink"/>
                  <w:sz w:val="17"/>
                </w:rPr>
                <w:t xml:space="preserve">bloomberg.com/professional</w:t>
              </w:r>
            </w:hyperlink>
          </w:p>
        </w:tc>
      </w:tr>
    </w:tbl>
    <w:p>
      <w:pPr>
        <w:pStyle w:val="BodyText"/>
      </w:pPr>
      <w:r>
        <w:rPr>
          <w:b/>
          <w:bCs/>
        </w:rPr>
        <w:t xml:space="preserve">EDGAR tip:</w:t>
      </w:r>
      <w:r>
        <w:t xml:space="preserve"> </w:t>
      </w:r>
      <w:r>
        <w:t xml:space="preserve">in full-text search, type the shelf name in quotes (for example</w:t>
      </w:r>
      <w:r>
        <w:t xml:space="preserve"> </w:t>
      </w:r>
      <w:r>
        <w:t xml:space="preserve">“Verus Securitization Trust”</w:t>
      </w:r>
      <w:r>
        <w:t xml:space="preserve">) and filter the form type to ABS-15G. The due-diligence reports (often from AMC, Clayton, Consolidated Analytics, Evolve, etc.) summarize loan-level grades and data-integrity findings for the pool.</w:t>
      </w:r>
    </w:p>
    <w:bookmarkEnd w:id="89"/>
    <w:bookmarkStart w:id="90" w:name="X38ed050af48e8814403a6af848431b3cbcca773"/>
    <w:p>
      <w:pPr>
        <w:pStyle w:val="Heading2"/>
      </w:pPr>
      <w:r>
        <w:t xml:space="preserve">5.2 Shelf names by issuer (verified against 2025–2026 rating-agency or press materials)</w:t>
      </w:r>
    </w:p>
    <w:p>
      <w:pPr>
        <w:pStyle w:val="TableCaption"/>
      </w:pPr>
      <w:r>
        <w:t xml:space="preserve">Common shelves. Shelf naming conventions change; confirm the exact series on the rating-agency report.</w:t>
      </w:r>
    </w:p>
    <w:tbl>
      <w:tblPr>
        <w:tblStyle w:val="Table"/>
        <w:tblLayout w:type="fixed"/>
        <w:tblLook w:firstRow="1" w:lastRow="0" w:firstColumn="0" w:lastColumn="0" w:noHBand="0" w:noVBand="0" w:val="0020"/>
        <w:tblCaption w:val="Common shelves. Shelf naming conventions change; confirm the exact series on the rating-agency repor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352"/>
        <w:gridCol w:w="3332"/>
        <w:gridCol w:w="4116"/>
        <w:gridCol w:w="4312"/>
      </w:tblGrid>
      <w:tr>
        <w:trPr>
          <w:tblHeader w:val="on"/>
          <w:cantSplit/>
          <w:tblHeader/>
        </w:trPr>
        <w:tc>
          <w:tcPr>
            <w:tcW w:w="2352" w:type="dxa"/>
            <w:shd w:val="clear" w:color="auto" w:fill="1F3A5F"/>
          </w:tcPr>
          <w:p>
            <w:pPr>
              <w:pStyle w:val="Compact"/>
              <w:spacing w:after="20" w:before="20"/>
            </w:pPr>
            <w:r>
              <w:rPr>
                <w:b/>
                <w:color w:val="FFFFFF"/>
                <w:sz w:val="17"/>
              </w:rPr>
              <w:t xml:space="preserve">Sector</w:t>
            </w:r>
          </w:p>
        </w:tc>
        <w:tc>
          <w:tcPr>
            <w:tcW w:w="3332" w:type="dxa"/>
            <w:shd w:val="clear" w:color="auto" w:fill="1F3A5F"/>
          </w:tcPr>
          <w:p>
            <w:pPr>
              <w:pStyle w:val="Compact"/>
              <w:spacing w:after="20" w:before="20"/>
            </w:pPr>
            <w:r>
              <w:rPr>
                <w:b/>
                <w:color w:val="FFFFFF"/>
                <w:sz w:val="17"/>
              </w:rPr>
              <w:t xml:space="preserve">Shelf / Bloomberg-style ticker</w:t>
            </w:r>
          </w:p>
        </w:tc>
        <w:tc>
          <w:tcPr>
            <w:tcW w:w="4116" w:type="dxa"/>
            <w:shd w:val="clear" w:color="auto" w:fill="1F3A5F"/>
          </w:tcPr>
          <w:p>
            <w:pPr>
              <w:pStyle w:val="Compact"/>
              <w:spacing w:after="20" w:before="20"/>
            </w:pPr>
            <w:r>
              <w:rPr>
                <w:b/>
                <w:color w:val="FFFFFF"/>
                <w:sz w:val="17"/>
              </w:rPr>
              <w:t xml:space="preserve">Issuer / sponsor</w:t>
            </w:r>
          </w:p>
        </w:tc>
        <w:tc>
          <w:tcPr>
            <w:tcW w:w="4312" w:type="dxa"/>
            <w:shd w:val="clear" w:color="auto" w:fill="1F3A5F"/>
          </w:tcPr>
          <w:p>
            <w:pPr>
              <w:pStyle w:val="Compact"/>
              <w:spacing w:after="20" w:before="20"/>
            </w:pPr>
            <w:r>
              <w:rPr>
                <w:b/>
                <w:color w:val="FFFFFF"/>
                <w:sz w:val="17"/>
              </w:rPr>
              <w:t xml:space="preserve">Notes</w:t>
            </w:r>
          </w:p>
        </w:tc>
      </w:tr>
      <w:tr>
        <w:trPr>
          <w:cantSplit/>
        </w:trPr>
        <w:tc>
          <w:tcPr>
            <w:tcW w:w="2352" w:type="dxa"/>
          </w:tcPr>
          <w:p>
            <w:pPr>
              <w:pStyle w:val="Compact"/>
              <w:spacing w:after="20" w:before="20"/>
            </w:pPr>
            <w:r>
              <w:rPr>
                <w:sz w:val="17"/>
              </w:rPr>
              <w:t xml:space="preserve">Non-QM</w:t>
            </w:r>
          </w:p>
        </w:tc>
        <w:tc>
          <w:tcPr>
            <w:tcW w:w="3332" w:type="dxa"/>
          </w:tcPr>
          <w:p>
            <w:pPr>
              <w:pStyle w:val="Compact"/>
              <w:spacing w:after="20" w:before="20"/>
            </w:pPr>
            <w:r>
              <w:rPr>
                <w:sz w:val="17"/>
              </w:rPr>
              <w:t xml:space="preserve">VERUS (Verus Securitization Trust)</w:t>
            </w:r>
          </w:p>
        </w:tc>
        <w:tc>
          <w:tcPr>
            <w:tcW w:w="4116" w:type="dxa"/>
          </w:tcPr>
          <w:p>
            <w:pPr>
              <w:pStyle w:val="Compact"/>
              <w:spacing w:after="20" w:before="20"/>
            </w:pPr>
            <w:r>
              <w:rPr>
                <w:sz w:val="17"/>
              </w:rPr>
              <w:t xml:space="preserve">Invictus Capital Partners, via Verus Mortgage Capital</w:t>
            </w:r>
          </w:p>
        </w:tc>
        <w:tc>
          <w:tcPr>
            <w:tcW w:w="4312" w:type="dxa"/>
          </w:tcPr>
          <w:p>
            <w:pPr>
              <w:pStyle w:val="Compact"/>
              <w:spacing w:after="20" w:before="20"/>
            </w:pPr>
            <w:r>
              <w:rPr>
                <w:sz w:val="17"/>
              </w:rPr>
              <w:t xml:space="preserve">One of the largest Non-QM programs</w:t>
            </w:r>
          </w:p>
        </w:tc>
      </w:tr>
      <w:tr>
        <w:trPr>
          <w:cantSplit/>
        </w:trPr>
        <w:tc>
          <w:tcPr>
            <w:tcW w:w="2352" w:type="dxa"/>
            <w:shd w:val="clear" w:color="auto" w:fill="EEF2F7"/>
          </w:tcPr>
          <w:p>
            <w:pPr>
              <w:pStyle w:val="Compact"/>
              <w:spacing w:after="20" w:before="20"/>
            </w:pPr>
            <w:r>
              <w:rPr>
                <w:sz w:val="17"/>
              </w:rPr>
              <w:t xml:space="preserve">Non-QM / prime / CES</w:t>
            </w:r>
          </w:p>
        </w:tc>
        <w:tc>
          <w:tcPr>
            <w:tcW w:w="3332" w:type="dxa"/>
            <w:shd w:val="clear" w:color="auto" w:fill="EEF2F7"/>
          </w:tcPr>
          <w:p>
            <w:pPr>
              <w:pStyle w:val="Compact"/>
              <w:spacing w:after="20" w:before="20"/>
            </w:pPr>
            <w:r>
              <w:rPr>
                <w:sz w:val="17"/>
              </w:rPr>
              <w:t xml:space="preserve">OBX (OBX Trust)</w:t>
            </w:r>
          </w:p>
        </w:tc>
        <w:tc>
          <w:tcPr>
            <w:tcW w:w="4116" w:type="dxa"/>
            <w:shd w:val="clear" w:color="auto" w:fill="EEF2F7"/>
          </w:tcPr>
          <w:p>
            <w:pPr>
              <w:pStyle w:val="Compact"/>
              <w:spacing w:after="20" w:before="20"/>
            </w:pPr>
            <w:r>
              <w:rPr>
                <w:sz w:val="17"/>
              </w:rPr>
              <w:t xml:space="preserve">Onslow Bay Financial (Annaly)</w:t>
            </w:r>
          </w:p>
        </w:tc>
        <w:tc>
          <w:tcPr>
            <w:tcW w:w="4312" w:type="dxa"/>
            <w:shd w:val="clear" w:color="auto" w:fill="EEF2F7"/>
          </w:tcPr>
          <w:p>
            <w:pPr>
              <w:pStyle w:val="Compact"/>
              <w:spacing w:after="20" w:before="20"/>
            </w:pPr>
            <w:r>
              <w:rPr>
                <w:sz w:val="17"/>
              </w:rPr>
              <w:t xml:space="preserve">Multiple series incl. Non-QM and expanded prime</w:t>
            </w:r>
          </w:p>
        </w:tc>
      </w:tr>
      <w:tr>
        <w:trPr>
          <w:cantSplit/>
        </w:trPr>
        <w:tc>
          <w:tcPr>
            <w:tcW w:w="2352" w:type="dxa"/>
          </w:tcPr>
          <w:p>
            <w:pPr>
              <w:pStyle w:val="Compact"/>
              <w:spacing w:after="20" w:before="20"/>
            </w:pPr>
            <w:r>
              <w:rPr>
                <w:sz w:val="17"/>
              </w:rPr>
              <w:t xml:space="preserve">Non-QM</w:t>
            </w:r>
          </w:p>
        </w:tc>
        <w:tc>
          <w:tcPr>
            <w:tcW w:w="3332" w:type="dxa"/>
          </w:tcPr>
          <w:p>
            <w:pPr>
              <w:pStyle w:val="Compact"/>
              <w:spacing w:after="20" w:before="20"/>
            </w:pPr>
            <w:r>
              <w:rPr>
                <w:sz w:val="17"/>
              </w:rPr>
              <w:t xml:space="preserve">AOMT (Angel Oak Mortgage Trust)</w:t>
            </w:r>
          </w:p>
        </w:tc>
        <w:tc>
          <w:tcPr>
            <w:tcW w:w="4116" w:type="dxa"/>
          </w:tcPr>
          <w:p>
            <w:pPr>
              <w:pStyle w:val="Compact"/>
              <w:spacing w:after="20" w:before="20"/>
            </w:pPr>
            <w:r>
              <w:rPr>
                <w:sz w:val="17"/>
              </w:rPr>
              <w:t xml:space="preserve">Angel Oak</w:t>
            </w:r>
          </w:p>
        </w:tc>
        <w:tc>
          <w:tcPr>
            <w:tcW w:w="4312" w:type="dxa"/>
          </w:tcPr>
          <w:p>
            <w:pPr>
              <w:pStyle w:val="Compact"/>
              <w:spacing w:after="20" w:before="20"/>
            </w:pPr>
            <w:r>
              <w:rPr>
                <w:sz w:val="17"/>
              </w:rPr>
              <w:t xml:space="preserve">Also HB (home equity) series</w:t>
            </w:r>
          </w:p>
        </w:tc>
      </w:tr>
      <w:tr>
        <w:trPr>
          <w:cantSplit/>
        </w:trPr>
        <w:tc>
          <w:tcPr>
            <w:tcW w:w="2352" w:type="dxa"/>
            <w:shd w:val="clear" w:color="auto" w:fill="EEF2F7"/>
          </w:tcPr>
          <w:p>
            <w:pPr>
              <w:pStyle w:val="Compact"/>
              <w:spacing w:after="20" w:before="20"/>
            </w:pPr>
            <w:r>
              <w:rPr>
                <w:sz w:val="17"/>
              </w:rPr>
              <w:t xml:space="preserve">Non-QM</w:t>
            </w:r>
          </w:p>
        </w:tc>
        <w:tc>
          <w:tcPr>
            <w:tcW w:w="3332" w:type="dxa"/>
            <w:shd w:val="clear" w:color="auto" w:fill="EEF2F7"/>
          </w:tcPr>
          <w:p>
            <w:pPr>
              <w:pStyle w:val="Compact"/>
              <w:spacing w:after="20" w:before="20"/>
            </w:pPr>
            <w:r>
              <w:rPr>
                <w:sz w:val="17"/>
              </w:rPr>
              <w:t xml:space="preserve">CROSS (CROSS Mortgage Trust)</w:t>
            </w:r>
          </w:p>
        </w:tc>
        <w:tc>
          <w:tcPr>
            <w:tcW w:w="4116" w:type="dxa"/>
            <w:shd w:val="clear" w:color="auto" w:fill="EEF2F7"/>
          </w:tcPr>
          <w:p>
            <w:pPr>
              <w:pStyle w:val="Compact"/>
              <w:spacing w:after="20" w:before="20"/>
            </w:pPr>
            <w:r>
              <w:rPr>
                <w:sz w:val="17"/>
              </w:rPr>
              <w:t xml:space="preserve">Hildene Capital Management, affiliated with CrossCountry Mortgage</w:t>
            </w:r>
          </w:p>
        </w:tc>
        <w:tc>
          <w:tcPr>
            <w:tcW w:w="4312" w:type="dxa"/>
            <w:shd w:val="clear" w:color="auto" w:fill="EEF2F7"/>
          </w:tcPr>
          <w:p>
            <w:pPr>
              <w:pStyle w:val="Compact"/>
              <w:spacing w:after="20" w:before="20"/>
            </w:pPr>
            <w:r>
              <w:rPr>
                <w:sz w:val="17"/>
              </w:rPr>
              <w:t xml:space="preserve">Frequent issuer</w:t>
            </w:r>
          </w:p>
        </w:tc>
      </w:tr>
      <w:tr>
        <w:trPr>
          <w:cantSplit/>
        </w:trPr>
        <w:tc>
          <w:tcPr>
            <w:tcW w:w="2352" w:type="dxa"/>
          </w:tcPr>
          <w:p>
            <w:pPr>
              <w:pStyle w:val="Compact"/>
              <w:spacing w:after="20" w:before="20"/>
            </w:pPr>
            <w:r>
              <w:rPr>
                <w:sz w:val="17"/>
              </w:rPr>
              <w:t xml:space="preserve">Non-QM</w:t>
            </w:r>
          </w:p>
        </w:tc>
        <w:tc>
          <w:tcPr>
            <w:tcW w:w="3332" w:type="dxa"/>
          </w:tcPr>
          <w:p>
            <w:pPr>
              <w:pStyle w:val="Compact"/>
              <w:spacing w:after="20" w:before="20"/>
            </w:pPr>
            <w:r>
              <w:rPr>
                <w:sz w:val="17"/>
              </w:rPr>
              <w:t xml:space="preserve">COLT (COLT Mortgage Loan Trust)</w:t>
            </w:r>
          </w:p>
        </w:tc>
        <w:tc>
          <w:tcPr>
            <w:tcW w:w="4116" w:type="dxa"/>
          </w:tcPr>
          <w:p>
            <w:pPr>
              <w:pStyle w:val="Compact"/>
              <w:spacing w:after="20" w:before="20"/>
            </w:pPr>
            <w:r>
              <w:rPr>
                <w:sz w:val="17"/>
              </w:rPr>
              <w:t xml:space="preserve">Lone Star Residential</w:t>
            </w:r>
          </w:p>
        </w:tc>
        <w:tc>
          <w:tcPr>
            <w:tcW w:w="4312" w:type="dxa"/>
          </w:tcPr>
          <w:p>
            <w:pPr>
              <w:pStyle w:val="Compact"/>
              <w:spacing w:after="20" w:before="20"/>
            </w:pPr>
            <w:r>
              <w:rPr>
                <w:sz w:val="17"/>
              </w:rPr>
              <w:t xml:space="preserve">Not Ellington; see EFMT below</w:t>
            </w:r>
          </w:p>
        </w:tc>
      </w:tr>
      <w:tr>
        <w:trPr>
          <w:cantSplit/>
        </w:trPr>
        <w:tc>
          <w:tcPr>
            <w:tcW w:w="2352" w:type="dxa"/>
            <w:shd w:val="clear" w:color="auto" w:fill="EEF2F7"/>
          </w:tcPr>
          <w:p>
            <w:pPr>
              <w:pStyle w:val="Compact"/>
              <w:spacing w:after="20" w:before="20"/>
            </w:pPr>
            <w:r>
              <w:rPr>
                <w:sz w:val="17"/>
              </w:rPr>
              <w:t xml:space="preserve">Non-QM</w:t>
            </w:r>
          </w:p>
        </w:tc>
        <w:tc>
          <w:tcPr>
            <w:tcW w:w="3332" w:type="dxa"/>
            <w:shd w:val="clear" w:color="auto" w:fill="EEF2F7"/>
          </w:tcPr>
          <w:p>
            <w:pPr>
              <w:pStyle w:val="Compact"/>
              <w:spacing w:after="20" w:before="20"/>
            </w:pPr>
            <w:r>
              <w:rPr>
                <w:sz w:val="17"/>
              </w:rPr>
              <w:t xml:space="preserve">EFMT</w:t>
            </w:r>
          </w:p>
        </w:tc>
        <w:tc>
          <w:tcPr>
            <w:tcW w:w="4116" w:type="dxa"/>
            <w:shd w:val="clear" w:color="auto" w:fill="EEF2F7"/>
          </w:tcPr>
          <w:p>
            <w:pPr>
              <w:pStyle w:val="Compact"/>
              <w:spacing w:after="20" w:before="20"/>
            </w:pPr>
            <w:r>
              <w:rPr>
                <w:sz w:val="17"/>
              </w:rPr>
              <w:t xml:space="preserve">Ellington Financial</w:t>
            </w:r>
          </w:p>
        </w:tc>
        <w:tc>
          <w:tcPr>
            <w:tcW w:w="4312" w:type="dxa"/>
            <w:shd w:val="clear" w:color="auto" w:fill="EEF2F7"/>
          </w:tcPr>
          <w:p>
            <w:pPr>
              <w:pStyle w:val="Compact"/>
              <w:spacing w:after="20" w:before="20"/>
            </w:pPr>
            <w:r>
              <w:rPr>
                <w:sz w:val="17"/>
              </w:rPr>
              <w:t xml:space="preserve">Ellington’s own Non-QM shelf</w:t>
            </w:r>
          </w:p>
        </w:tc>
      </w:tr>
      <w:tr>
        <w:trPr>
          <w:cantSplit/>
        </w:trPr>
        <w:tc>
          <w:tcPr>
            <w:tcW w:w="2352" w:type="dxa"/>
          </w:tcPr>
          <w:p>
            <w:pPr>
              <w:pStyle w:val="Compact"/>
              <w:spacing w:after="20" w:before="20"/>
            </w:pPr>
            <w:r>
              <w:rPr>
                <w:sz w:val="17"/>
              </w:rPr>
              <w:t xml:space="preserve">Non-QM</w:t>
            </w:r>
          </w:p>
        </w:tc>
        <w:tc>
          <w:tcPr>
            <w:tcW w:w="3332" w:type="dxa"/>
          </w:tcPr>
          <w:p>
            <w:pPr>
              <w:pStyle w:val="Compact"/>
              <w:spacing w:after="20" w:before="20"/>
            </w:pPr>
            <w:r>
              <w:rPr>
                <w:sz w:val="17"/>
              </w:rPr>
              <w:t xml:space="preserve">NRMLT (New Residential Mortgage Loan Trust)</w:t>
            </w:r>
          </w:p>
        </w:tc>
        <w:tc>
          <w:tcPr>
            <w:tcW w:w="4116" w:type="dxa"/>
          </w:tcPr>
          <w:p>
            <w:pPr>
              <w:pStyle w:val="Compact"/>
              <w:spacing w:after="20" w:before="20"/>
            </w:pPr>
            <w:r>
              <w:rPr>
                <w:sz w:val="17"/>
              </w:rPr>
              <w:t xml:space="preserve">Rithm Capital (serviced by Newrez)</w:t>
            </w:r>
          </w:p>
        </w:tc>
        <w:tc>
          <w:tcPr>
            <w:tcW w:w="4312" w:type="dxa"/>
          </w:tcPr>
          <w:p>
            <w:pPr>
              <w:pStyle w:val="Compact"/>
              <w:spacing w:after="20" w:before="20"/>
            </w:pPr>
            <w:r>
              <w:rPr>
                <w:sz w:val="17"/>
              </w:rPr>
              <w:t xml:space="preserve">Rithm also issues other series</w:t>
            </w:r>
          </w:p>
        </w:tc>
      </w:tr>
      <w:tr>
        <w:trPr>
          <w:cantSplit/>
        </w:trPr>
        <w:tc>
          <w:tcPr>
            <w:tcW w:w="2352" w:type="dxa"/>
            <w:shd w:val="clear" w:color="auto" w:fill="EEF2F7"/>
          </w:tcPr>
          <w:p>
            <w:pPr>
              <w:pStyle w:val="Compact"/>
              <w:spacing w:after="20" w:before="20"/>
            </w:pPr>
            <w:r>
              <w:rPr>
                <w:sz w:val="17"/>
              </w:rPr>
              <w:t xml:space="preserve">Non-QM / RPL</w:t>
            </w:r>
          </w:p>
        </w:tc>
        <w:tc>
          <w:tcPr>
            <w:tcW w:w="3332" w:type="dxa"/>
            <w:shd w:val="clear" w:color="auto" w:fill="EEF2F7"/>
          </w:tcPr>
          <w:p>
            <w:pPr>
              <w:pStyle w:val="Compact"/>
              <w:spacing w:after="20" w:before="20"/>
            </w:pPr>
            <w:r>
              <w:rPr>
                <w:sz w:val="17"/>
              </w:rPr>
              <w:t xml:space="preserve">PRPM</w:t>
            </w:r>
          </w:p>
        </w:tc>
        <w:tc>
          <w:tcPr>
            <w:tcW w:w="4116" w:type="dxa"/>
            <w:shd w:val="clear" w:color="auto" w:fill="EEF2F7"/>
          </w:tcPr>
          <w:p>
            <w:pPr>
              <w:pStyle w:val="Compact"/>
              <w:spacing w:after="20" w:before="20"/>
            </w:pPr>
            <w:r>
              <w:rPr>
                <w:sz w:val="17"/>
              </w:rPr>
              <w:t xml:space="preserve">Pretium (PRP)</w:t>
            </w:r>
          </w:p>
        </w:tc>
        <w:tc>
          <w:tcPr>
            <w:tcW w:w="4312" w:type="dxa"/>
            <w:shd w:val="clear" w:color="auto" w:fill="EEF2F7"/>
          </w:tcPr>
          <w:p>
            <w:pPr>
              <w:pStyle w:val="Compact"/>
              <w:spacing w:after="20" w:before="20"/>
            </w:pPr>
            <w:r>
              <w:rPr>
                <w:sz w:val="17"/>
              </w:rPr>
              <w:t xml:space="preserve">NQM and re-performing (RCF) series</w:t>
            </w:r>
          </w:p>
        </w:tc>
      </w:tr>
      <w:tr>
        <w:trPr>
          <w:cantSplit/>
        </w:trPr>
        <w:tc>
          <w:tcPr>
            <w:tcW w:w="2352" w:type="dxa"/>
          </w:tcPr>
          <w:p>
            <w:pPr>
              <w:pStyle w:val="Compact"/>
              <w:spacing w:after="20" w:before="20"/>
            </w:pPr>
            <w:r>
              <w:rPr>
                <w:sz w:val="17"/>
              </w:rPr>
              <w:t xml:space="preserve">Non-QM</w:t>
            </w:r>
          </w:p>
        </w:tc>
        <w:tc>
          <w:tcPr>
            <w:tcW w:w="3332" w:type="dxa"/>
          </w:tcPr>
          <w:p>
            <w:pPr>
              <w:pStyle w:val="Compact"/>
              <w:spacing w:after="20" w:before="20"/>
            </w:pPr>
            <w:r>
              <w:rPr>
                <w:sz w:val="17"/>
              </w:rPr>
              <w:t xml:space="preserve">GCAT</w:t>
            </w:r>
          </w:p>
        </w:tc>
        <w:tc>
          <w:tcPr>
            <w:tcW w:w="4116" w:type="dxa"/>
          </w:tcPr>
          <w:p>
            <w:pPr>
              <w:pStyle w:val="Compact"/>
              <w:spacing w:after="20" w:before="20"/>
            </w:pPr>
            <w:r>
              <w:rPr>
                <w:sz w:val="17"/>
              </w:rPr>
              <w:t xml:space="preserve">GCAT depositor entities (Blue River Mortgage sponsored earlier series)</w:t>
            </w:r>
          </w:p>
        </w:tc>
        <w:tc>
          <w:tcPr>
            <w:tcW w:w="4312" w:type="dxa"/>
          </w:tcPr>
          <w:p>
            <w:pPr>
              <w:pStyle w:val="Compact"/>
              <w:spacing w:after="20" w:before="20"/>
            </w:pPr>
            <w:r>
              <w:rPr>
                <w:sz w:val="17"/>
              </w:rPr>
              <w:t xml:space="preserve">NQM and INV series; confirm current sponsor on the report</w:t>
            </w:r>
          </w:p>
        </w:tc>
      </w:tr>
      <w:tr>
        <w:trPr>
          <w:cantSplit/>
        </w:trPr>
        <w:tc>
          <w:tcPr>
            <w:tcW w:w="2352" w:type="dxa"/>
            <w:shd w:val="clear" w:color="auto" w:fill="EEF2F7"/>
          </w:tcPr>
          <w:p>
            <w:pPr>
              <w:pStyle w:val="Compact"/>
              <w:spacing w:after="20" w:before="20"/>
            </w:pPr>
            <w:r>
              <w:rPr>
                <w:sz w:val="17"/>
              </w:rPr>
              <w:t xml:space="preserve">Non-QM</w:t>
            </w:r>
          </w:p>
        </w:tc>
        <w:tc>
          <w:tcPr>
            <w:tcW w:w="3332" w:type="dxa"/>
            <w:shd w:val="clear" w:color="auto" w:fill="EEF2F7"/>
          </w:tcPr>
          <w:p>
            <w:pPr>
              <w:pStyle w:val="Compact"/>
              <w:spacing w:after="20" w:before="20"/>
            </w:pPr>
            <w:r>
              <w:rPr>
                <w:sz w:val="17"/>
              </w:rPr>
              <w:t xml:space="preserve">MFA (MFA 20XX-NQM)</w:t>
            </w:r>
          </w:p>
        </w:tc>
        <w:tc>
          <w:tcPr>
            <w:tcW w:w="4116" w:type="dxa"/>
            <w:shd w:val="clear" w:color="auto" w:fill="EEF2F7"/>
          </w:tcPr>
          <w:p>
            <w:pPr>
              <w:pStyle w:val="Compact"/>
              <w:spacing w:after="20" w:before="20"/>
            </w:pPr>
            <w:r>
              <w:rPr>
                <w:sz w:val="17"/>
              </w:rPr>
              <w:t xml:space="preserve">MFA Financial</w:t>
            </w:r>
          </w:p>
        </w:tc>
        <w:tc>
          <w:tcPr>
            <w:tcW w:w="4312" w:type="dxa"/>
            <w:shd w:val="clear" w:color="auto" w:fill="EEF2F7"/>
          </w:tcPr>
          <w:p>
            <w:pPr>
              <w:pStyle w:val="Compact"/>
              <w:spacing w:after="20" w:before="20"/>
            </w:pPr>
            <w:r>
              <w:rPr>
                <w:sz w:val="17"/>
              </w:rPr>
              <w:t xml:space="preserve">Ticker is</w:t>
            </w:r>
            <w:r>
              <w:rPr>
                <w:sz w:val="17"/>
              </w:rPr>
              <w:t xml:space="preserve"> </w:t>
            </w:r>
            <w:r>
              <w:rPr>
                <w:sz w:val="17"/>
              </w:rPr>
              <w:t xml:space="preserve">“MFA,”</w:t>
            </w:r>
            <w:r>
              <w:rPr>
                <w:sz w:val="17"/>
              </w:rPr>
              <w:t xml:space="preserve"> </w:t>
            </w:r>
            <w:r>
              <w:rPr>
                <w:sz w:val="17"/>
              </w:rPr>
              <w:t xml:space="preserve">not</w:t>
            </w:r>
            <w:r>
              <w:rPr>
                <w:sz w:val="17"/>
              </w:rPr>
              <w:t xml:space="preserve"> </w:t>
            </w:r>
            <w:r>
              <w:rPr>
                <w:sz w:val="17"/>
              </w:rPr>
              <w:t xml:space="preserve">“MFRA”</w:t>
            </w:r>
          </w:p>
        </w:tc>
      </w:tr>
      <w:tr>
        <w:trPr>
          <w:cantSplit/>
        </w:trPr>
        <w:tc>
          <w:tcPr>
            <w:tcW w:w="2352" w:type="dxa"/>
          </w:tcPr>
          <w:p>
            <w:pPr>
              <w:pStyle w:val="Compact"/>
              <w:spacing w:after="20" w:before="20"/>
            </w:pPr>
            <w:r>
              <w:rPr>
                <w:sz w:val="17"/>
              </w:rPr>
              <w:t xml:space="preserve">Non-QM / CES / RPL</w:t>
            </w:r>
          </w:p>
        </w:tc>
        <w:tc>
          <w:tcPr>
            <w:tcW w:w="3332" w:type="dxa"/>
          </w:tcPr>
          <w:p>
            <w:pPr>
              <w:pStyle w:val="Compact"/>
              <w:spacing w:after="20" w:before="20"/>
            </w:pPr>
            <w:r>
              <w:rPr>
                <w:sz w:val="17"/>
              </w:rPr>
              <w:t xml:space="preserve">BRAVO (BRAVO Residential Funding Trust)</w:t>
            </w:r>
          </w:p>
        </w:tc>
        <w:tc>
          <w:tcPr>
            <w:tcW w:w="4116" w:type="dxa"/>
          </w:tcPr>
          <w:p>
            <w:pPr>
              <w:pStyle w:val="Compact"/>
              <w:spacing w:after="20" w:before="20"/>
            </w:pPr>
            <w:r>
              <w:rPr>
                <w:sz w:val="17"/>
              </w:rPr>
              <w:t xml:space="preserve">PIMCO affiliates (Loan Funding Structure entities)</w:t>
            </w:r>
          </w:p>
        </w:tc>
        <w:tc>
          <w:tcPr>
            <w:tcW w:w="4312" w:type="dxa"/>
          </w:tcPr>
          <w:p>
            <w:pPr>
              <w:pStyle w:val="Compact"/>
              <w:spacing w:after="20" w:before="20"/>
            </w:pPr>
            <w:r>
              <w:rPr>
                <w:sz w:val="17"/>
              </w:rPr>
              <w:t xml:space="preserve">Includes CES series</w:t>
            </w:r>
          </w:p>
        </w:tc>
      </w:tr>
      <w:tr>
        <w:trPr>
          <w:cantSplit/>
        </w:trPr>
        <w:tc>
          <w:tcPr>
            <w:tcW w:w="2352" w:type="dxa"/>
            <w:shd w:val="clear" w:color="auto" w:fill="EEF2F7"/>
          </w:tcPr>
          <w:p>
            <w:pPr>
              <w:pStyle w:val="Compact"/>
              <w:spacing w:after="20" w:before="20"/>
            </w:pPr>
            <w:r>
              <w:rPr>
                <w:sz w:val="17"/>
              </w:rPr>
              <w:t xml:space="preserve">Prime jumbo</w:t>
            </w:r>
          </w:p>
        </w:tc>
        <w:tc>
          <w:tcPr>
            <w:tcW w:w="3332" w:type="dxa"/>
            <w:shd w:val="clear" w:color="auto" w:fill="EEF2F7"/>
          </w:tcPr>
          <w:p>
            <w:pPr>
              <w:pStyle w:val="Compact"/>
              <w:spacing w:after="20" w:before="20"/>
            </w:pPr>
            <w:r>
              <w:rPr>
                <w:sz w:val="17"/>
              </w:rPr>
              <w:t xml:space="preserve">SEMT (Sequoia Mortgage Trust)</w:t>
            </w:r>
          </w:p>
        </w:tc>
        <w:tc>
          <w:tcPr>
            <w:tcW w:w="4116" w:type="dxa"/>
            <w:shd w:val="clear" w:color="auto" w:fill="EEF2F7"/>
          </w:tcPr>
          <w:p>
            <w:pPr>
              <w:pStyle w:val="Compact"/>
              <w:spacing w:after="20" w:before="20"/>
            </w:pPr>
            <w:r>
              <w:rPr>
                <w:sz w:val="17"/>
              </w:rPr>
              <w:t xml:space="preserve">Redwood Trust</w:t>
            </w:r>
          </w:p>
        </w:tc>
        <w:tc>
          <w:tcPr>
            <w:tcW w:w="4312" w:type="dxa"/>
            <w:shd w:val="clear" w:color="auto" w:fill="EEF2F7"/>
          </w:tcPr>
          <w:p>
            <w:pPr>
              <w:pStyle w:val="Compact"/>
              <w:spacing w:after="20" w:before="20"/>
            </w:pPr>
            <w:r>
              <w:rPr>
                <w:sz w:val="17"/>
              </w:rPr>
              <w:t xml:space="preserve">Also HYB (hybrid ARM) series</w:t>
            </w:r>
          </w:p>
        </w:tc>
      </w:tr>
      <w:tr>
        <w:trPr>
          <w:cantSplit/>
        </w:trPr>
        <w:tc>
          <w:tcPr>
            <w:tcW w:w="2352" w:type="dxa"/>
          </w:tcPr>
          <w:p>
            <w:pPr>
              <w:pStyle w:val="Compact"/>
              <w:spacing w:after="20" w:before="20"/>
            </w:pPr>
            <w:r>
              <w:rPr>
                <w:sz w:val="17"/>
              </w:rPr>
              <w:t xml:space="preserve">Prime jumbo</w:t>
            </w:r>
          </w:p>
        </w:tc>
        <w:tc>
          <w:tcPr>
            <w:tcW w:w="3332" w:type="dxa"/>
          </w:tcPr>
          <w:p>
            <w:pPr>
              <w:pStyle w:val="Compact"/>
              <w:spacing w:after="20" w:before="20"/>
            </w:pPr>
            <w:r>
              <w:rPr>
                <w:sz w:val="17"/>
              </w:rPr>
              <w:t xml:space="preserve">JPMMT (J.P. Morgan Mortgage Trust)</w:t>
            </w:r>
          </w:p>
        </w:tc>
        <w:tc>
          <w:tcPr>
            <w:tcW w:w="4116" w:type="dxa"/>
          </w:tcPr>
          <w:p>
            <w:pPr>
              <w:pStyle w:val="Compact"/>
              <w:spacing w:after="20" w:before="20"/>
            </w:pPr>
            <w:r>
              <w:rPr>
                <w:sz w:val="17"/>
              </w:rPr>
              <w:t xml:space="preserve">J.P. Morgan</w:t>
            </w:r>
          </w:p>
        </w:tc>
        <w:tc>
          <w:tcPr>
            <w:tcW w:w="4312" w:type="dxa"/>
          </w:tcPr>
          <w:p>
            <w:pPr>
              <w:pStyle w:val="Compact"/>
              <w:spacing w:after="20" w:before="20"/>
            </w:pPr>
            <w:r>
              <w:rPr>
                <w:sz w:val="17"/>
              </w:rPr>
              <w:t xml:space="preserve">Prime, HYB and other series</w:t>
            </w:r>
          </w:p>
        </w:tc>
      </w:tr>
      <w:tr>
        <w:trPr>
          <w:cantSplit/>
        </w:trPr>
        <w:tc>
          <w:tcPr>
            <w:tcW w:w="2352" w:type="dxa"/>
            <w:shd w:val="clear" w:color="auto" w:fill="EEF2F7"/>
          </w:tcPr>
          <w:p>
            <w:pPr>
              <w:pStyle w:val="Compact"/>
              <w:spacing w:after="20" w:before="20"/>
            </w:pPr>
            <w:r>
              <w:rPr>
                <w:sz w:val="17"/>
              </w:rPr>
              <w:t xml:space="preserve">Agency-eligible / prime</w:t>
            </w:r>
          </w:p>
        </w:tc>
        <w:tc>
          <w:tcPr>
            <w:tcW w:w="3332" w:type="dxa"/>
            <w:shd w:val="clear" w:color="auto" w:fill="EEF2F7"/>
          </w:tcPr>
          <w:p>
            <w:pPr>
              <w:pStyle w:val="Compact"/>
              <w:spacing w:after="20" w:before="20"/>
            </w:pPr>
            <w:r>
              <w:rPr>
                <w:sz w:val="17"/>
              </w:rPr>
              <w:t xml:space="preserve">CHASE (e.g., CHASE 20XX-AGY)</w:t>
            </w:r>
          </w:p>
        </w:tc>
        <w:tc>
          <w:tcPr>
            <w:tcW w:w="4116" w:type="dxa"/>
            <w:shd w:val="clear" w:color="auto" w:fill="EEF2F7"/>
          </w:tcPr>
          <w:p>
            <w:pPr>
              <w:pStyle w:val="Compact"/>
              <w:spacing w:after="20" w:before="20"/>
            </w:pPr>
            <w:r>
              <w:rPr>
                <w:sz w:val="17"/>
              </w:rPr>
              <w:t xml:space="preserve">JPMorgan Chase</w:t>
            </w:r>
          </w:p>
        </w:tc>
        <w:tc>
          <w:tcPr>
            <w:tcW w:w="4312" w:type="dxa"/>
            <w:shd w:val="clear" w:color="auto" w:fill="EEF2F7"/>
          </w:tcPr>
          <w:p>
            <w:pPr>
              <w:pStyle w:val="Compact"/>
              <w:spacing w:after="20" w:before="20"/>
            </w:pPr>
            <w:r>
              <w:rPr>
                <w:sz w:val="17"/>
              </w:rPr>
              <w:t xml:space="preserve">Agency-eligible investor loans</w:t>
            </w:r>
          </w:p>
        </w:tc>
      </w:tr>
      <w:tr>
        <w:trPr>
          <w:cantSplit/>
        </w:trPr>
        <w:tc>
          <w:tcPr>
            <w:tcW w:w="2352" w:type="dxa"/>
          </w:tcPr>
          <w:p>
            <w:pPr>
              <w:pStyle w:val="Compact"/>
              <w:spacing w:after="20" w:before="20"/>
            </w:pPr>
            <w:r>
              <w:rPr>
                <w:sz w:val="17"/>
              </w:rPr>
              <w:t xml:space="preserve">Closed-end seconds</w:t>
            </w:r>
          </w:p>
        </w:tc>
        <w:tc>
          <w:tcPr>
            <w:tcW w:w="3332" w:type="dxa"/>
          </w:tcPr>
          <w:p>
            <w:pPr>
              <w:pStyle w:val="Compact"/>
              <w:spacing w:after="20" w:before="20"/>
            </w:pPr>
            <w:r>
              <w:rPr>
                <w:sz w:val="17"/>
              </w:rPr>
              <w:t xml:space="preserve">RCKT (RCKT Mortgage Trust 20XX-CES)</w:t>
            </w:r>
          </w:p>
        </w:tc>
        <w:tc>
          <w:tcPr>
            <w:tcW w:w="4116" w:type="dxa"/>
          </w:tcPr>
          <w:p>
            <w:pPr>
              <w:pStyle w:val="Compact"/>
              <w:spacing w:after="20" w:before="20"/>
            </w:pPr>
            <w:r>
              <w:rPr>
                <w:sz w:val="17"/>
              </w:rPr>
              <w:t xml:space="preserve">Rocket Mortgage affiliate</w:t>
            </w:r>
          </w:p>
        </w:tc>
        <w:tc>
          <w:tcPr>
            <w:tcW w:w="4312" w:type="dxa"/>
          </w:tcPr>
          <w:p>
            <w:pPr>
              <w:pStyle w:val="Compact"/>
              <w:spacing w:after="20" w:before="20"/>
            </w:pPr>
            <w:r>
              <w:rPr>
                <w:sz w:val="17"/>
              </w:rPr>
              <w:t xml:space="preserve">Large CES program</w:t>
            </w:r>
          </w:p>
        </w:tc>
      </w:tr>
      <w:tr>
        <w:trPr>
          <w:cantSplit/>
        </w:trPr>
        <w:tc>
          <w:tcPr>
            <w:tcW w:w="2352" w:type="dxa"/>
            <w:shd w:val="clear" w:color="auto" w:fill="EEF2F7"/>
          </w:tcPr>
          <w:p>
            <w:pPr>
              <w:pStyle w:val="Compact"/>
              <w:spacing w:after="20" w:before="20"/>
            </w:pPr>
            <w:r>
              <w:rPr>
                <w:sz w:val="17"/>
              </w:rPr>
              <w:t xml:space="preserve">HELOC / seconds</w:t>
            </w:r>
          </w:p>
        </w:tc>
        <w:tc>
          <w:tcPr>
            <w:tcW w:w="3332" w:type="dxa"/>
            <w:shd w:val="clear" w:color="auto" w:fill="EEF2F7"/>
          </w:tcPr>
          <w:p>
            <w:pPr>
              <w:pStyle w:val="Compact"/>
              <w:spacing w:after="20" w:before="20"/>
            </w:pPr>
            <w:r>
              <w:rPr>
                <w:sz w:val="17"/>
              </w:rPr>
              <w:t xml:space="preserve">FIGRE (FIGRE Trust)</w:t>
            </w:r>
          </w:p>
        </w:tc>
        <w:tc>
          <w:tcPr>
            <w:tcW w:w="4116" w:type="dxa"/>
            <w:shd w:val="clear" w:color="auto" w:fill="EEF2F7"/>
          </w:tcPr>
          <w:p>
            <w:pPr>
              <w:pStyle w:val="Compact"/>
              <w:spacing w:after="20" w:before="20"/>
            </w:pPr>
            <w:r>
              <w:rPr>
                <w:sz w:val="17"/>
              </w:rPr>
              <w:t xml:space="preserve">Figure</w:t>
            </w:r>
          </w:p>
        </w:tc>
        <w:tc>
          <w:tcPr>
            <w:tcW w:w="4312" w:type="dxa"/>
            <w:shd w:val="clear" w:color="auto" w:fill="EEF2F7"/>
          </w:tcPr>
          <w:p>
            <w:pPr>
              <w:pStyle w:val="Compact"/>
              <w:spacing w:after="20" w:before="20"/>
            </w:pPr>
            <w:r>
              <w:rPr>
                <w:sz w:val="17"/>
              </w:rPr>
              <w:t xml:space="preserve">HE (HELOC), FL and other series</w:t>
            </w:r>
          </w:p>
        </w:tc>
      </w:tr>
      <w:tr>
        <w:trPr>
          <w:cantSplit/>
        </w:trPr>
        <w:tc>
          <w:tcPr>
            <w:tcW w:w="2352" w:type="dxa"/>
          </w:tcPr>
          <w:p>
            <w:pPr>
              <w:pStyle w:val="Compact"/>
              <w:spacing w:after="20" w:before="20"/>
            </w:pPr>
            <w:r>
              <w:rPr>
                <w:sz w:val="17"/>
              </w:rPr>
              <w:t xml:space="preserve">RTL (fix-and-flip)</w:t>
            </w:r>
          </w:p>
        </w:tc>
        <w:tc>
          <w:tcPr>
            <w:tcW w:w="3332" w:type="dxa"/>
          </w:tcPr>
          <w:p>
            <w:pPr>
              <w:pStyle w:val="Compact"/>
              <w:spacing w:after="20" w:before="20"/>
            </w:pPr>
            <w:r>
              <w:rPr>
                <w:sz w:val="17"/>
              </w:rPr>
              <w:t xml:space="preserve">LHOME (LHOME Mortgage Trust)</w:t>
            </w:r>
          </w:p>
        </w:tc>
        <w:tc>
          <w:tcPr>
            <w:tcW w:w="4116" w:type="dxa"/>
          </w:tcPr>
          <w:p>
            <w:pPr>
              <w:pStyle w:val="Compact"/>
              <w:spacing w:after="20" w:before="20"/>
            </w:pPr>
            <w:r>
              <w:rPr>
                <w:sz w:val="17"/>
              </w:rPr>
              <w:t xml:space="preserve">Kiavi</w:t>
            </w:r>
          </w:p>
        </w:tc>
        <w:tc>
          <w:tcPr>
            <w:tcW w:w="4312" w:type="dxa"/>
          </w:tcPr>
          <w:p>
            <w:pPr>
              <w:pStyle w:val="Compact"/>
              <w:spacing w:after="20" w:before="20"/>
            </w:pPr>
            <w:r>
              <w:rPr>
                <w:sz w:val="17"/>
              </w:rPr>
              <w:t xml:space="preserve">Revolving RTL structures</w:t>
            </w:r>
          </w:p>
        </w:tc>
      </w:tr>
      <w:tr>
        <w:trPr>
          <w:cantSplit/>
        </w:trPr>
        <w:tc>
          <w:tcPr>
            <w:tcW w:w="2352" w:type="dxa"/>
            <w:shd w:val="clear" w:color="auto" w:fill="EEF2F7"/>
          </w:tcPr>
          <w:p>
            <w:pPr>
              <w:pStyle w:val="Compact"/>
              <w:spacing w:after="20" w:before="20"/>
            </w:pPr>
            <w:r>
              <w:rPr>
                <w:sz w:val="17"/>
              </w:rPr>
              <w:t xml:space="preserve">RTL</w:t>
            </w:r>
          </w:p>
        </w:tc>
        <w:tc>
          <w:tcPr>
            <w:tcW w:w="3332" w:type="dxa"/>
            <w:shd w:val="clear" w:color="auto" w:fill="EEF2F7"/>
          </w:tcPr>
          <w:p>
            <w:pPr>
              <w:pStyle w:val="Compact"/>
              <w:spacing w:after="20" w:before="20"/>
            </w:pPr>
            <w:r>
              <w:rPr>
                <w:sz w:val="17"/>
              </w:rPr>
              <w:t xml:space="preserve">TRK (Toorak Mortgage Trust)</w:t>
            </w:r>
          </w:p>
        </w:tc>
        <w:tc>
          <w:tcPr>
            <w:tcW w:w="4116" w:type="dxa"/>
            <w:shd w:val="clear" w:color="auto" w:fill="EEF2F7"/>
          </w:tcPr>
          <w:p>
            <w:pPr>
              <w:pStyle w:val="Compact"/>
              <w:spacing w:after="20" w:before="20"/>
            </w:pPr>
            <w:r>
              <w:rPr>
                <w:sz w:val="17"/>
              </w:rPr>
              <w:t xml:space="preserve">Toorak Capital Partners</w:t>
            </w:r>
          </w:p>
        </w:tc>
        <w:tc>
          <w:tcPr>
            <w:tcW w:w="4312" w:type="dxa"/>
            <w:shd w:val="clear" w:color="auto" w:fill="EEF2F7"/>
          </w:tcPr>
          <w:p>
            <w:pPr>
              <w:pStyle w:val="Compact"/>
              <w:spacing w:after="20" w:before="20"/>
            </w:pPr>
            <w:r>
              <w:rPr>
                <w:sz w:val="17"/>
              </w:rPr>
              <w:t xml:space="preserve">Rated RRTL series</w:t>
            </w:r>
          </w:p>
        </w:tc>
      </w:tr>
      <w:tr>
        <w:trPr>
          <w:cantSplit/>
        </w:trPr>
        <w:tc>
          <w:tcPr>
            <w:tcW w:w="2352" w:type="dxa"/>
          </w:tcPr>
          <w:p>
            <w:pPr>
              <w:pStyle w:val="Compact"/>
              <w:spacing w:after="20" w:before="20"/>
            </w:pPr>
            <w:r>
              <w:rPr>
                <w:sz w:val="17"/>
              </w:rPr>
              <w:t xml:space="preserve">CRT</w:t>
            </w:r>
          </w:p>
        </w:tc>
        <w:tc>
          <w:tcPr>
            <w:tcW w:w="3332" w:type="dxa"/>
          </w:tcPr>
          <w:p>
            <w:pPr>
              <w:pStyle w:val="Compact"/>
              <w:spacing w:after="20" w:before="20"/>
            </w:pPr>
            <w:r>
              <w:rPr>
                <w:sz w:val="17"/>
              </w:rPr>
              <w:t xml:space="preserve">CAS (Connecticut Avenue Securities)</w:t>
            </w:r>
          </w:p>
        </w:tc>
        <w:tc>
          <w:tcPr>
            <w:tcW w:w="4116" w:type="dxa"/>
          </w:tcPr>
          <w:p>
            <w:pPr>
              <w:pStyle w:val="Compact"/>
              <w:spacing w:after="20" w:before="20"/>
            </w:pPr>
            <w:r>
              <w:rPr>
                <w:sz w:val="17"/>
              </w:rPr>
              <w:t xml:space="preserve">Fannie Mae</w:t>
            </w:r>
          </w:p>
        </w:tc>
        <w:tc>
          <w:tcPr>
            <w:tcW w:w="4312" w:type="dxa"/>
          </w:tcPr>
          <w:p>
            <w:pPr>
              <w:pStyle w:val="Compact"/>
              <w:spacing w:after="20" w:before="20"/>
            </w:pPr>
            <w:r>
              <w:rPr>
                <w:sz w:val="17"/>
              </w:rPr>
              <w:t xml:space="preserve">Floats over 30-day average SOFR</w:t>
            </w:r>
          </w:p>
        </w:tc>
      </w:tr>
      <w:tr>
        <w:trPr>
          <w:cantSplit/>
        </w:trPr>
        <w:tc>
          <w:tcPr>
            <w:tcW w:w="2352" w:type="dxa"/>
            <w:shd w:val="clear" w:color="auto" w:fill="EEF2F7"/>
          </w:tcPr>
          <w:p>
            <w:pPr>
              <w:pStyle w:val="Compact"/>
              <w:spacing w:after="20" w:before="20"/>
            </w:pPr>
            <w:r>
              <w:rPr>
                <w:sz w:val="17"/>
              </w:rPr>
              <w:t xml:space="preserve">CRT</w:t>
            </w:r>
          </w:p>
        </w:tc>
        <w:tc>
          <w:tcPr>
            <w:tcW w:w="3332" w:type="dxa"/>
            <w:shd w:val="clear" w:color="auto" w:fill="EEF2F7"/>
          </w:tcPr>
          <w:p>
            <w:pPr>
              <w:pStyle w:val="Compact"/>
              <w:spacing w:after="20" w:before="20"/>
            </w:pPr>
            <w:r>
              <w:rPr>
                <w:sz w:val="17"/>
              </w:rPr>
              <w:t xml:space="preserve">STACR (Structured Agency Credit Risk)</w:t>
            </w:r>
          </w:p>
        </w:tc>
        <w:tc>
          <w:tcPr>
            <w:tcW w:w="4116" w:type="dxa"/>
            <w:shd w:val="clear" w:color="auto" w:fill="EEF2F7"/>
          </w:tcPr>
          <w:p>
            <w:pPr>
              <w:pStyle w:val="Compact"/>
              <w:spacing w:after="20" w:before="20"/>
            </w:pPr>
            <w:r>
              <w:rPr>
                <w:sz w:val="17"/>
              </w:rPr>
              <w:t xml:space="preserve">Freddie Mac</w:t>
            </w:r>
          </w:p>
        </w:tc>
        <w:tc>
          <w:tcPr>
            <w:tcW w:w="4312" w:type="dxa"/>
            <w:shd w:val="clear" w:color="auto" w:fill="EEF2F7"/>
          </w:tcPr>
          <w:p>
            <w:pPr>
              <w:pStyle w:val="Compact"/>
              <w:spacing w:after="20" w:before="20"/>
            </w:pPr>
            <w:r>
              <w:rPr>
                <w:sz w:val="17"/>
              </w:rPr>
              <w:t xml:space="preserve">Floats over 30-day average SOFR; DNA/HQA series</w:t>
            </w:r>
          </w:p>
        </w:tc>
      </w:tr>
    </w:tbl>
    <w:p>
      <w:pPr>
        <w:pStyle w:val="BodyText"/>
      </w:pPr>
      <w:r>
        <w:t xml:space="preserve">Other shelves you will hear about (not individually verified for this guide, confirm on the rating report): Towd Point (TPMT), Starwood (STAR), Deephaven (DRMT), Citigroup (CMLTI), Mill City, and various HELOC/CES programs from bank and non-bank originators.</w:t>
      </w:r>
    </w:p>
    <w:bookmarkEnd w:id="90"/>
    <w:bookmarkEnd w:id="91"/>
    <w:bookmarkStart w:id="110" w:name="credit-performance-and-surveillance"/>
    <w:p>
      <w:pPr>
        <w:pStyle w:val="Heading1"/>
      </w:pPr>
      <w:r>
        <w:t xml:space="preserve">6. Credit performance and surveillance</w:t>
      </w:r>
    </w:p>
    <w:p>
      <w:pPr>
        <w:pStyle w:val="FirstParagraph"/>
      </w:pPr>
      <w:r>
        <w:t xml:space="preserve">Separate the question first: is the PM asking about</w:t>
      </w:r>
      <w:r>
        <w:t xml:space="preserve"> </w:t>
      </w:r>
      <w:r>
        <w:rPr>
          <w:b/>
          <w:bCs/>
        </w:rPr>
        <w:t xml:space="preserve">the whole mortgage market</w:t>
      </w:r>
      <w:r>
        <w:t xml:space="preserve"> </w:t>
      </w:r>
      <w:r>
        <w:t xml:space="preserve">(agency-dominated, answered by ICE, MBA, NY Fed),</w:t>
      </w:r>
      <w:r>
        <w:t xml:space="preserve"> </w:t>
      </w:r>
      <w:r>
        <w:rPr>
          <w:b/>
          <w:bCs/>
        </w:rPr>
        <w:t xml:space="preserve">non-agency collateral</w:t>
      </w:r>
      <w:r>
        <w:t xml:space="preserve"> </w:t>
      </w:r>
      <w:r>
        <w:t xml:space="preserve">(Non-QM, DSCR, jumbo, CES/HELOC, RTL; answered by rating agencies and loan-level data vendors), or</w:t>
      </w:r>
      <w:r>
        <w:t xml:space="preserve"> </w:t>
      </w:r>
      <w:r>
        <w:rPr>
          <w:b/>
          <w:bCs/>
        </w:rPr>
        <w:t xml:space="preserve">a specific bond</w:t>
      </w:r>
      <w:r>
        <w:t xml:space="preserve"> </w:t>
      </w:r>
      <w:r>
        <w:t xml:space="preserve">(answered by the trustee remittance report and Intex/Bloomberg)?</w:t>
      </w:r>
    </w:p>
    <w:bookmarkStart w:id="100" w:name="market-wide-mortgage-credit"/>
    <w:p>
      <w:pPr>
        <w:pStyle w:val="Heading2"/>
      </w:pPr>
      <w:r>
        <w:t xml:space="preserve">6.1 Market-wide mortgage credit</w:t>
      </w:r>
    </w:p>
    <w:p>
      <w:pPr>
        <w:pStyle w:val="TableCaption"/>
      </w:pPr>
      <w:r>
        <w:t xml:space="preserve">Market-wide mortgage credit sources.</w:t>
      </w:r>
    </w:p>
    <w:tbl>
      <w:tblPr>
        <w:tblStyle w:val="Table"/>
        <w:tblLayout w:type="fixed"/>
        <w:tblLook w:firstRow="1" w:lastRow="0" w:firstColumn="0" w:lastColumn="0" w:noHBand="0" w:noVBand="0" w:val="0020"/>
        <w:tblCaption w:val="Market-wide mortgage credit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ICE First Look</w:t>
            </w:r>
          </w:p>
        </w:tc>
        <w:tc>
          <w:tcPr>
            <w:tcW w:w="3485" w:type="dxa"/>
          </w:tcPr>
          <w:p>
            <w:pPr>
              <w:pStyle w:val="Compact"/>
              <w:spacing w:after="20" w:before="20"/>
            </w:pPr>
            <w:r>
              <w:rPr>
                <w:sz w:val="17"/>
              </w:rPr>
              <w:t xml:space="preserve">National delinquency, serious DQ, foreclosure starts/inventory, prepayment SMM, by product and state</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Monthly, typically in the fourth week of the following month</w:t>
            </w:r>
          </w:p>
        </w:tc>
        <w:tc>
          <w:tcPr>
            <w:tcW w:w="2438" w:type="dxa"/>
          </w:tcPr>
          <w:p>
            <w:pPr>
              <w:pStyle w:val="Compact"/>
              <w:spacing w:after="20" w:before="20"/>
            </w:pPr>
            <w:r>
              <w:rPr>
                <w:sz w:val="17"/>
              </w:rPr>
              <w:t xml:space="preserve">First read on monthly mortgage performance and prepays</w:t>
            </w:r>
          </w:p>
        </w:tc>
        <w:tc>
          <w:tcPr>
            <w:tcW w:w="2438" w:type="dxa"/>
          </w:tcPr>
          <w:p>
            <w:pPr>
              <w:pStyle w:val="Compact"/>
              <w:spacing w:after="20" w:before="20"/>
            </w:pPr>
            <w:hyperlink r:id="rId92">
              <w:r>
                <w:rPr>
                  <w:rStyle w:val="Hyperlink"/>
                  <w:sz w:val="17"/>
                </w:rPr>
                <w:t xml:space="preserve">mortgagetech.ice.com – Data reports</w:t>
              </w:r>
            </w:hyperlink>
          </w:p>
        </w:tc>
      </w:tr>
      <w:tr>
        <w:trPr>
          <w:cantSplit/>
        </w:trPr>
        <w:tc>
          <w:tcPr>
            <w:tcW w:w="2438" w:type="dxa"/>
            <w:shd w:val="clear" w:color="auto" w:fill="EEF2F7"/>
          </w:tcPr>
          <w:p>
            <w:pPr>
              <w:pStyle w:val="Compact"/>
              <w:spacing w:after="20" w:before="20"/>
            </w:pPr>
            <w:r>
              <w:rPr>
                <w:sz w:val="17"/>
              </w:rPr>
              <w:t xml:space="preserve">ICE Mortgage Monitor</w:t>
            </w:r>
          </w:p>
        </w:tc>
        <w:tc>
          <w:tcPr>
            <w:tcW w:w="3485" w:type="dxa"/>
            <w:shd w:val="clear" w:color="auto" w:fill="EEF2F7"/>
          </w:tcPr>
          <w:p>
            <w:pPr>
              <w:pStyle w:val="Compact"/>
              <w:spacing w:after="20" w:before="20"/>
            </w:pPr>
            <w:r>
              <w:rPr>
                <w:sz w:val="17"/>
              </w:rPr>
              <w:t xml:space="preserve">Deep-dive on performance, equity, home prices (ICE HPI), insurance/escrow, originations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Monthly, typically early in the month</w:t>
            </w:r>
          </w:p>
        </w:tc>
        <w:tc>
          <w:tcPr>
            <w:tcW w:w="2438" w:type="dxa"/>
            <w:shd w:val="clear" w:color="auto" w:fill="EEF2F7"/>
          </w:tcPr>
          <w:p>
            <w:pPr>
              <w:pStyle w:val="Compact"/>
              <w:spacing w:after="20" w:before="20"/>
            </w:pPr>
            <w:r>
              <w:rPr>
                <w:sz w:val="17"/>
              </w:rPr>
              <w:t xml:space="preserve">Charts for PM decks; tappable equity (HELOC/CES theme)</w:t>
            </w:r>
          </w:p>
        </w:tc>
        <w:tc>
          <w:tcPr>
            <w:tcW w:w="2438" w:type="dxa"/>
            <w:shd w:val="clear" w:color="auto" w:fill="EEF2F7"/>
          </w:tcPr>
          <w:p>
            <w:pPr>
              <w:pStyle w:val="Compact"/>
              <w:spacing w:after="20" w:before="20"/>
            </w:pPr>
            <w:hyperlink r:id="rId92">
              <w:r>
                <w:rPr>
                  <w:rStyle w:val="Hyperlink"/>
                  <w:sz w:val="17"/>
                </w:rPr>
                <w:t xml:space="preserve">mortgagetech.ice.com – Data reports</w:t>
              </w:r>
            </w:hyperlink>
          </w:p>
        </w:tc>
      </w:tr>
      <w:tr>
        <w:trPr>
          <w:cantSplit/>
        </w:trPr>
        <w:tc>
          <w:tcPr>
            <w:tcW w:w="2438" w:type="dxa"/>
          </w:tcPr>
          <w:p>
            <w:pPr>
              <w:pStyle w:val="Compact"/>
              <w:spacing w:after="20" w:before="20"/>
            </w:pPr>
            <w:r>
              <w:rPr>
                <w:sz w:val="17"/>
              </w:rPr>
              <w:t xml:space="preserve">MBA National Delinquency Survey</w:t>
            </w:r>
          </w:p>
        </w:tc>
        <w:tc>
          <w:tcPr>
            <w:tcW w:w="3485" w:type="dxa"/>
          </w:tcPr>
          <w:p>
            <w:pPr>
              <w:pStyle w:val="Compact"/>
              <w:spacing w:after="20" w:before="20"/>
            </w:pPr>
            <w:r>
              <w:rPr>
                <w:sz w:val="17"/>
              </w:rPr>
              <w:t xml:space="preserve">DQ and foreclosure rates by loan type (conventional, FHA, VA) and state</w:t>
            </w:r>
          </w:p>
        </w:tc>
        <w:tc>
          <w:tcPr>
            <w:tcW w:w="1394" w:type="dxa"/>
          </w:tcPr>
          <w:p>
            <w:pPr>
              <w:pStyle w:val="Compact"/>
              <w:spacing w:after="20" w:before="20"/>
            </w:pPr>
            <w:r>
              <w:rPr>
                <w:sz w:val="17"/>
              </w:rPr>
              <w:t xml:space="preserve">Free summary; full data Paid</w:t>
            </w:r>
          </w:p>
        </w:tc>
        <w:tc>
          <w:tcPr>
            <w:tcW w:w="1916" w:type="dxa"/>
          </w:tcPr>
          <w:p>
            <w:pPr>
              <w:pStyle w:val="Compact"/>
              <w:spacing w:after="20" w:before="20"/>
            </w:pPr>
            <w:r>
              <w:rPr>
                <w:sz w:val="17"/>
              </w:rPr>
              <w:t xml:space="preserve">Quarterly, several weeks after quarter-end</w:t>
            </w:r>
          </w:p>
        </w:tc>
        <w:tc>
          <w:tcPr>
            <w:tcW w:w="2438" w:type="dxa"/>
          </w:tcPr>
          <w:p>
            <w:pPr>
              <w:pStyle w:val="Compact"/>
              <w:spacing w:after="20" w:before="20"/>
            </w:pPr>
            <w:r>
              <w:rPr>
                <w:sz w:val="17"/>
              </w:rPr>
              <w:t xml:space="preserve">Official-style quarterly DQ citation</w:t>
            </w:r>
          </w:p>
        </w:tc>
        <w:tc>
          <w:tcPr>
            <w:tcW w:w="2438" w:type="dxa"/>
          </w:tcPr>
          <w:p>
            <w:pPr>
              <w:pStyle w:val="Compact"/>
              <w:spacing w:after="20" w:before="20"/>
            </w:pPr>
            <w:hyperlink r:id="rId93">
              <w:r>
                <w:rPr>
                  <w:rStyle w:val="Hyperlink"/>
                  <w:sz w:val="17"/>
                </w:rPr>
                <w:t xml:space="preserve">mba.org – NDS</w:t>
              </w:r>
            </w:hyperlink>
          </w:p>
        </w:tc>
      </w:tr>
      <w:tr>
        <w:trPr>
          <w:cantSplit/>
        </w:trPr>
        <w:tc>
          <w:tcPr>
            <w:tcW w:w="2438" w:type="dxa"/>
            <w:shd w:val="clear" w:color="auto" w:fill="EEF2F7"/>
          </w:tcPr>
          <w:p>
            <w:pPr>
              <w:pStyle w:val="Compact"/>
              <w:spacing w:after="20" w:before="20"/>
            </w:pPr>
            <w:r>
              <w:rPr>
                <w:sz w:val="17"/>
              </w:rPr>
              <w:t xml:space="preserve">NY Fed Household Debt and Credit Report</w:t>
            </w:r>
          </w:p>
        </w:tc>
        <w:tc>
          <w:tcPr>
            <w:tcW w:w="3485" w:type="dxa"/>
            <w:shd w:val="clear" w:color="auto" w:fill="EEF2F7"/>
          </w:tcPr>
          <w:p>
            <w:pPr>
              <w:pStyle w:val="Compact"/>
              <w:spacing w:after="20" w:before="20"/>
            </w:pPr>
            <w:r>
              <w:rPr>
                <w:sz w:val="17"/>
              </w:rPr>
              <w:t xml:space="preserve">Mortgage and HELOC balances, originations by credit score, transition into delinquency, foreclosures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Quarterly</w:t>
            </w:r>
          </w:p>
        </w:tc>
        <w:tc>
          <w:tcPr>
            <w:tcW w:w="2438" w:type="dxa"/>
            <w:shd w:val="clear" w:color="auto" w:fill="EEF2F7"/>
          </w:tcPr>
          <w:p>
            <w:pPr>
              <w:pStyle w:val="Compact"/>
              <w:spacing w:after="20" w:before="20"/>
            </w:pPr>
            <w:r>
              <w:rPr>
                <w:sz w:val="17"/>
              </w:rPr>
              <w:t xml:space="preserve">Consumer-credit health; HELOC balance trends</w:t>
            </w:r>
          </w:p>
        </w:tc>
        <w:tc>
          <w:tcPr>
            <w:tcW w:w="2438" w:type="dxa"/>
            <w:shd w:val="clear" w:color="auto" w:fill="EEF2F7"/>
          </w:tcPr>
          <w:p>
            <w:pPr>
              <w:pStyle w:val="Compact"/>
              <w:spacing w:after="20" w:before="20"/>
            </w:pPr>
            <w:hyperlink r:id="rId94">
              <w:r>
                <w:rPr>
                  <w:rStyle w:val="Hyperlink"/>
                  <w:sz w:val="17"/>
                </w:rPr>
                <w:t xml:space="preserve">newyorkfed.org – HHDC</w:t>
              </w:r>
            </w:hyperlink>
          </w:p>
        </w:tc>
      </w:tr>
      <w:tr>
        <w:trPr>
          <w:cantSplit/>
        </w:trPr>
        <w:tc>
          <w:tcPr>
            <w:tcW w:w="2438" w:type="dxa"/>
          </w:tcPr>
          <w:p>
            <w:pPr>
              <w:pStyle w:val="Compact"/>
              <w:spacing w:after="20" w:before="20"/>
            </w:pPr>
            <w:r>
              <w:rPr>
                <w:sz w:val="17"/>
              </w:rPr>
              <w:t xml:space="preserve">FRED – Fed delinquency rate</w:t>
            </w:r>
          </w:p>
        </w:tc>
        <w:tc>
          <w:tcPr>
            <w:tcW w:w="3485" w:type="dxa"/>
          </w:tcPr>
          <w:p>
            <w:pPr>
              <w:pStyle w:val="Compact"/>
              <w:spacing w:after="20" w:before="20"/>
            </w:pPr>
            <w:r>
              <w:rPr>
                <w:sz w:val="17"/>
              </w:rPr>
              <w:t xml:space="preserve">DRSFRMACBS (single-family residential mortgage DQ at commercial banks); DRCLACBS (consumer loans)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Quarterly</w:t>
            </w:r>
          </w:p>
        </w:tc>
        <w:tc>
          <w:tcPr>
            <w:tcW w:w="2438" w:type="dxa"/>
          </w:tcPr>
          <w:p>
            <w:pPr>
              <w:pStyle w:val="Compact"/>
              <w:spacing w:after="20" w:before="20"/>
            </w:pPr>
            <w:r>
              <w:rPr>
                <w:sz w:val="17"/>
              </w:rPr>
              <w:t xml:space="preserve">Long bank-portfolio history</w:t>
            </w:r>
          </w:p>
        </w:tc>
        <w:tc>
          <w:tcPr>
            <w:tcW w:w="2438" w:type="dxa"/>
          </w:tcPr>
          <w:p>
            <w:pPr>
              <w:pStyle w:val="Compact"/>
              <w:spacing w:after="20" w:before="20"/>
            </w:pPr>
            <w:hyperlink r:id="rId95">
              <w:r>
                <w:rPr>
                  <w:rStyle w:val="Hyperlink"/>
                  <w:sz w:val="17"/>
                </w:rPr>
                <w:t xml:space="preserve">fred.stlouisfed.org/series/DRSFRMACBS</w:t>
              </w:r>
            </w:hyperlink>
          </w:p>
        </w:tc>
      </w:tr>
      <w:tr>
        <w:trPr>
          <w:cantSplit/>
        </w:trPr>
        <w:tc>
          <w:tcPr>
            <w:tcW w:w="2438" w:type="dxa"/>
            <w:shd w:val="clear" w:color="auto" w:fill="EEF2F7"/>
          </w:tcPr>
          <w:p>
            <w:pPr>
              <w:pStyle w:val="Compact"/>
              <w:spacing w:after="20" w:before="20"/>
            </w:pPr>
            <w:r>
              <w:rPr>
                <w:sz w:val="17"/>
              </w:rPr>
              <w:t xml:space="preserve">FHFA National Mortgage Database</w:t>
            </w:r>
          </w:p>
        </w:tc>
        <w:tc>
          <w:tcPr>
            <w:tcW w:w="3485" w:type="dxa"/>
            <w:shd w:val="clear" w:color="auto" w:fill="EEF2F7"/>
          </w:tcPr>
          <w:p>
            <w:pPr>
              <w:pStyle w:val="Compact"/>
              <w:spacing w:after="20" w:before="20"/>
            </w:pPr>
            <w:r>
              <w:rPr>
                <w:sz w:val="17"/>
              </w:rPr>
              <w:t xml:space="preserve">Aggregate statistics on outstanding residential mortgages, performance</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Quarterly</w:t>
            </w:r>
          </w:p>
        </w:tc>
        <w:tc>
          <w:tcPr>
            <w:tcW w:w="2438" w:type="dxa"/>
            <w:shd w:val="clear" w:color="auto" w:fill="EEF2F7"/>
          </w:tcPr>
          <w:p>
            <w:pPr>
              <w:pStyle w:val="Compact"/>
              <w:spacing w:after="20" w:before="20"/>
            </w:pPr>
            <w:r>
              <w:rPr>
                <w:sz w:val="17"/>
              </w:rPr>
              <w:t xml:space="preserve">Official aggregate performance</w:t>
            </w:r>
          </w:p>
        </w:tc>
        <w:tc>
          <w:tcPr>
            <w:tcW w:w="2438" w:type="dxa"/>
            <w:shd w:val="clear" w:color="auto" w:fill="EEF2F7"/>
          </w:tcPr>
          <w:p>
            <w:pPr>
              <w:pStyle w:val="Compact"/>
              <w:spacing w:after="20" w:before="20"/>
            </w:pPr>
            <w:hyperlink r:id="rId96">
              <w:r>
                <w:rPr>
                  <w:rStyle w:val="Hyperlink"/>
                  <w:sz w:val="17"/>
                </w:rPr>
                <w:t xml:space="preserve">fhfa.gov – NMDB statistics</w:t>
              </w:r>
            </w:hyperlink>
          </w:p>
        </w:tc>
      </w:tr>
      <w:tr>
        <w:trPr>
          <w:cantSplit/>
        </w:trPr>
        <w:tc>
          <w:tcPr>
            <w:tcW w:w="2438" w:type="dxa"/>
          </w:tcPr>
          <w:p>
            <w:pPr>
              <w:pStyle w:val="Compact"/>
              <w:spacing w:after="20" w:before="20"/>
            </w:pPr>
            <w:r>
              <w:rPr>
                <w:sz w:val="17"/>
              </w:rPr>
              <w:t xml:space="preserve">Fannie Mae / Freddie Mac loan-level performance data</w:t>
            </w:r>
          </w:p>
        </w:tc>
        <w:tc>
          <w:tcPr>
            <w:tcW w:w="3485" w:type="dxa"/>
          </w:tcPr>
          <w:p>
            <w:pPr>
              <w:pStyle w:val="Compact"/>
              <w:spacing w:after="20" w:before="20"/>
            </w:pPr>
            <w:r>
              <w:rPr>
                <w:sz w:val="17"/>
              </w:rPr>
              <w:t xml:space="preserve">Loan-level acquisition and performance history for the GSE books (CRT reference pools)</w:t>
            </w:r>
          </w:p>
        </w:tc>
        <w:tc>
          <w:tcPr>
            <w:tcW w:w="1394" w:type="dxa"/>
          </w:tcPr>
          <w:p>
            <w:pPr>
              <w:pStyle w:val="Compact"/>
              <w:spacing w:after="20" w:before="20"/>
            </w:pPr>
            <w:r>
              <w:rPr>
                <w:sz w:val="17"/>
              </w:rPr>
              <w:t xml:space="preserve">Free w/ reg</w:t>
            </w:r>
          </w:p>
        </w:tc>
        <w:tc>
          <w:tcPr>
            <w:tcW w:w="1916" w:type="dxa"/>
          </w:tcPr>
          <w:p>
            <w:pPr>
              <w:pStyle w:val="Compact"/>
              <w:spacing w:after="20" w:before="20"/>
            </w:pPr>
            <w:r>
              <w:rPr>
                <w:sz w:val="17"/>
              </w:rPr>
              <w:t xml:space="preserve">Quarterly</w:t>
            </w:r>
          </w:p>
        </w:tc>
        <w:tc>
          <w:tcPr>
            <w:tcW w:w="2438" w:type="dxa"/>
          </w:tcPr>
          <w:p>
            <w:pPr>
              <w:pStyle w:val="Compact"/>
              <w:spacing w:after="20" w:before="20"/>
            </w:pPr>
            <w:r>
              <w:rPr>
                <w:sz w:val="17"/>
              </w:rPr>
              <w:t xml:space="preserve">CRT credit analysis; building your own curves</w:t>
            </w:r>
          </w:p>
        </w:tc>
        <w:tc>
          <w:tcPr>
            <w:tcW w:w="2438" w:type="dxa"/>
          </w:tcPr>
          <w:p>
            <w:pPr>
              <w:pStyle w:val="Compact"/>
              <w:spacing w:after="20" w:before="20"/>
            </w:pPr>
            <w:hyperlink r:id="rId97">
              <w:r>
                <w:rPr>
                  <w:rStyle w:val="Hyperlink"/>
                  <w:sz w:val="17"/>
                </w:rPr>
                <w:t xml:space="preserve">Fannie Mae loan performance data</w:t>
              </w:r>
            </w:hyperlink>
            <w:r>
              <w:rPr>
                <w:sz w:val="17"/>
              </w:rPr>
              <w:t xml:space="preserve">;</w:t>
            </w:r>
            <w:r>
              <w:rPr>
                <w:sz w:val="17"/>
              </w:rPr>
              <w:t xml:space="preserve"> </w:t>
            </w:r>
            <w:hyperlink r:id="rId98">
              <w:r>
                <w:rPr>
                  <w:rStyle w:val="Hyperlink"/>
                  <w:sz w:val="17"/>
                </w:rPr>
                <w:t xml:space="preserve">Freddie Mac SF loan-level dataset</w:t>
              </w:r>
            </w:hyperlink>
          </w:p>
        </w:tc>
      </w:tr>
      <w:tr>
        <w:trPr>
          <w:cantSplit/>
        </w:trPr>
        <w:tc>
          <w:tcPr>
            <w:tcW w:w="2438" w:type="dxa"/>
            <w:shd w:val="clear" w:color="auto" w:fill="EEF2F7"/>
          </w:tcPr>
          <w:p>
            <w:pPr>
              <w:pStyle w:val="Compact"/>
              <w:spacing w:after="20" w:before="20"/>
            </w:pPr>
            <w:r>
              <w:rPr>
                <w:sz w:val="17"/>
              </w:rPr>
              <w:t xml:space="preserve">Fannie Mae Data Dynamics</w:t>
            </w:r>
          </w:p>
        </w:tc>
        <w:tc>
          <w:tcPr>
            <w:tcW w:w="3485" w:type="dxa"/>
            <w:shd w:val="clear" w:color="auto" w:fill="EEF2F7"/>
          </w:tcPr>
          <w:p>
            <w:pPr>
              <w:pStyle w:val="Compact"/>
              <w:spacing w:after="20" w:before="20"/>
            </w:pPr>
            <w:r>
              <w:rPr>
                <w:sz w:val="17"/>
              </w:rPr>
              <w:t xml:space="preserve">Web tool for GSE loan performance, CRT deal performance, MBS disclosures</w:t>
            </w:r>
          </w:p>
        </w:tc>
        <w:tc>
          <w:tcPr>
            <w:tcW w:w="1394" w:type="dxa"/>
            <w:shd w:val="clear" w:color="auto" w:fill="EEF2F7"/>
          </w:tcPr>
          <w:p>
            <w:pPr>
              <w:pStyle w:val="Compact"/>
              <w:spacing w:after="20" w:before="20"/>
            </w:pPr>
            <w:r>
              <w:rPr>
                <w:sz w:val="17"/>
              </w:rPr>
              <w:t xml:space="preserve">Free w/ reg</w:t>
            </w:r>
          </w:p>
        </w:tc>
        <w:tc>
          <w:tcPr>
            <w:tcW w:w="1916" w:type="dxa"/>
            <w:shd w:val="clear" w:color="auto" w:fill="EEF2F7"/>
          </w:tcPr>
          <w:p>
            <w:pPr>
              <w:pStyle w:val="Compact"/>
              <w:spacing w:after="20" w:before="20"/>
            </w:pPr>
            <w:r>
              <w:rPr>
                <w:sz w:val="17"/>
              </w:rPr>
              <w:t xml:space="preserve">Monthly (per data refresh calendar)</w:t>
            </w:r>
          </w:p>
        </w:tc>
        <w:tc>
          <w:tcPr>
            <w:tcW w:w="2438" w:type="dxa"/>
            <w:shd w:val="clear" w:color="auto" w:fill="EEF2F7"/>
          </w:tcPr>
          <w:p>
            <w:pPr>
              <w:pStyle w:val="Compact"/>
              <w:spacing w:after="20" w:before="20"/>
            </w:pPr>
            <w:r>
              <w:rPr>
                <w:sz w:val="17"/>
              </w:rPr>
              <w:t xml:space="preserve">CAS deal-level performance checks</w:t>
            </w:r>
          </w:p>
        </w:tc>
        <w:tc>
          <w:tcPr>
            <w:tcW w:w="2438" w:type="dxa"/>
            <w:shd w:val="clear" w:color="auto" w:fill="EEF2F7"/>
          </w:tcPr>
          <w:p>
            <w:pPr>
              <w:pStyle w:val="Compact"/>
              <w:spacing w:after="20" w:before="20"/>
            </w:pPr>
            <w:hyperlink r:id="rId99">
              <w:r>
                <w:rPr>
                  <w:rStyle w:val="Hyperlink"/>
                  <w:sz w:val="17"/>
                </w:rPr>
                <w:t xml:space="preserve">Fannie Mae – Data Dynamics</w:t>
              </w:r>
            </w:hyperlink>
          </w:p>
        </w:tc>
      </w:tr>
      <w:tr>
        <w:trPr>
          <w:cantSplit/>
        </w:trPr>
        <w:tc>
          <w:tcPr>
            <w:tcW w:w="2438" w:type="dxa"/>
          </w:tcPr>
          <w:p>
            <w:pPr>
              <w:pStyle w:val="Compact"/>
              <w:spacing w:after="20" w:before="20"/>
            </w:pPr>
            <w:r>
              <w:rPr>
                <w:sz w:val="17"/>
              </w:rPr>
              <w:t xml:space="preserve">Freddie Mac CRT (Clarity)</w:t>
            </w:r>
          </w:p>
        </w:tc>
        <w:tc>
          <w:tcPr>
            <w:tcW w:w="3485" w:type="dxa"/>
          </w:tcPr>
          <w:p>
            <w:pPr>
              <w:pStyle w:val="Compact"/>
              <w:spacing w:after="20" w:before="20"/>
            </w:pPr>
            <w:r>
              <w:rPr>
                <w:sz w:val="17"/>
              </w:rPr>
              <w:t xml:space="preserve">STACR/ACIS deal and loan-level disclosures</w:t>
            </w:r>
          </w:p>
        </w:tc>
        <w:tc>
          <w:tcPr>
            <w:tcW w:w="1394" w:type="dxa"/>
          </w:tcPr>
          <w:p>
            <w:pPr>
              <w:pStyle w:val="Compact"/>
              <w:spacing w:after="20" w:before="20"/>
            </w:pPr>
            <w:r>
              <w:rPr>
                <w:sz w:val="17"/>
              </w:rPr>
              <w:t xml:space="preserve">Free w/ reg</w:t>
            </w:r>
          </w:p>
        </w:tc>
        <w:tc>
          <w:tcPr>
            <w:tcW w:w="1916" w:type="dxa"/>
          </w:tcPr>
          <w:p>
            <w:pPr>
              <w:pStyle w:val="Compact"/>
              <w:spacing w:after="20" w:before="20"/>
            </w:pPr>
            <w:r>
              <w:rPr>
                <w:sz w:val="17"/>
              </w:rPr>
              <w:t xml:space="preserve">Monthly</w:t>
            </w:r>
          </w:p>
        </w:tc>
        <w:tc>
          <w:tcPr>
            <w:tcW w:w="2438" w:type="dxa"/>
          </w:tcPr>
          <w:p>
            <w:pPr>
              <w:pStyle w:val="Compact"/>
              <w:spacing w:after="20" w:before="20"/>
            </w:pPr>
            <w:r>
              <w:rPr>
                <w:sz w:val="17"/>
              </w:rPr>
              <w:t xml:space="preserve">STACR deal performance</w:t>
            </w:r>
          </w:p>
        </w:tc>
        <w:tc>
          <w:tcPr>
            <w:tcW w:w="2438" w:type="dxa"/>
          </w:tcPr>
          <w:p>
            <w:pPr>
              <w:pStyle w:val="Compact"/>
              <w:spacing w:after="20" w:before="20"/>
            </w:pPr>
            <w:hyperlink r:id="rId74">
              <w:r>
                <w:rPr>
                  <w:rStyle w:val="Hyperlink"/>
                  <w:sz w:val="17"/>
                </w:rPr>
                <w:t xml:space="preserve">capitalmarkets.freddiemac.com/crt</w:t>
              </w:r>
            </w:hyperlink>
          </w:p>
        </w:tc>
      </w:tr>
    </w:tbl>
    <w:bookmarkEnd w:id="100"/>
    <w:bookmarkStart w:id="108" w:name="X7fbc4acb569a10d353714c70a719e5b81ef3d55"/>
    <w:p>
      <w:pPr>
        <w:pStyle w:val="Heading2"/>
      </w:pPr>
      <w:r>
        <w:t xml:space="preserve">6.2 Non-agency collateral (Non-QM, DSCR, jumbo, CES/HELOC, RTL)</w:t>
      </w:r>
    </w:p>
    <w:p>
      <w:pPr>
        <w:pStyle w:val="TableCaption"/>
      </w:pPr>
      <w:r>
        <w:t xml:space="preserve">Non-agency performance sources.</w:t>
      </w:r>
    </w:p>
    <w:tbl>
      <w:tblPr>
        <w:tblStyle w:val="Table"/>
        <w:tblLayout w:type="fixed"/>
        <w:tblLook w:firstRow="1" w:lastRow="0" w:firstColumn="0" w:lastColumn="0" w:noHBand="0" w:noVBand="0" w:val="0020"/>
        <w:tblCaption w:val="Non-agency performance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KBRA research and surveillance</w:t>
            </w:r>
          </w:p>
        </w:tc>
        <w:tc>
          <w:tcPr>
            <w:tcW w:w="3485" w:type="dxa"/>
          </w:tcPr>
          <w:p>
            <w:pPr>
              <w:pStyle w:val="Compact"/>
              <w:spacing w:after="20" w:before="20"/>
            </w:pPr>
            <w:r>
              <w:rPr>
                <w:sz w:val="17"/>
              </w:rPr>
              <w:t xml:space="preserve">Non-QM default studies, redemption/call research, surveillance rating actions; KBRA Premium RMBS credit indices (DQ, mods, prepays)</w:t>
            </w:r>
          </w:p>
        </w:tc>
        <w:tc>
          <w:tcPr>
            <w:tcW w:w="1394" w:type="dxa"/>
          </w:tcPr>
          <w:p>
            <w:pPr>
              <w:pStyle w:val="Compact"/>
              <w:spacing w:after="20" w:before="20"/>
            </w:pPr>
            <w:r>
              <w:rPr>
                <w:sz w:val="17"/>
              </w:rPr>
              <w:t xml:space="preserve">Free w/ reg (research); Premium Paid – Nice to have</w:t>
            </w:r>
          </w:p>
        </w:tc>
        <w:tc>
          <w:tcPr>
            <w:tcW w:w="1916" w:type="dxa"/>
          </w:tcPr>
          <w:p>
            <w:pPr>
              <w:pStyle w:val="Compact"/>
              <w:spacing w:after="20" w:before="20"/>
            </w:pPr>
            <w:r>
              <w:rPr>
                <w:sz w:val="17"/>
              </w:rPr>
              <w:t xml:space="preserve">Periodic research; monthly indices (Premium)</w:t>
            </w:r>
          </w:p>
        </w:tc>
        <w:tc>
          <w:tcPr>
            <w:tcW w:w="2438" w:type="dxa"/>
          </w:tcPr>
          <w:p>
            <w:pPr>
              <w:pStyle w:val="Compact"/>
              <w:spacing w:after="20" w:before="20"/>
            </w:pPr>
            <w:r>
              <w:rPr>
                <w:sz w:val="17"/>
              </w:rPr>
              <w:t xml:space="preserve">Non-QM/DSCR performance narratives; call economics</w:t>
            </w:r>
          </w:p>
        </w:tc>
        <w:tc>
          <w:tcPr>
            <w:tcW w:w="2438" w:type="dxa"/>
          </w:tcPr>
          <w:p>
            <w:pPr>
              <w:pStyle w:val="Compact"/>
              <w:spacing w:after="20" w:before="20"/>
            </w:pPr>
            <w:hyperlink r:id="rId101">
              <w:r>
                <w:rPr>
                  <w:rStyle w:val="Hyperlink"/>
                  <w:sz w:val="17"/>
                </w:rPr>
                <w:t xml:space="preserve">kbra.com</w:t>
              </w:r>
            </w:hyperlink>
            <w:r>
              <w:rPr>
                <w:sz w:val="17"/>
              </w:rPr>
              <w:t xml:space="preserve">;</w:t>
            </w:r>
            <w:r>
              <w:rPr>
                <w:sz w:val="17"/>
              </w:rPr>
              <w:t xml:space="preserve"> </w:t>
            </w:r>
            <w:hyperlink r:id="rId102">
              <w:r>
                <w:rPr>
                  <w:rStyle w:val="Hyperlink"/>
                  <w:sz w:val="17"/>
                </w:rPr>
                <w:t xml:space="preserve">KBRA Premium – RMBS</w:t>
              </w:r>
            </w:hyperlink>
          </w:p>
        </w:tc>
      </w:tr>
      <w:tr>
        <w:trPr>
          <w:cantSplit/>
        </w:trPr>
        <w:tc>
          <w:tcPr>
            <w:tcW w:w="2438" w:type="dxa"/>
            <w:shd w:val="clear" w:color="auto" w:fill="EEF2F7"/>
          </w:tcPr>
          <w:p>
            <w:pPr>
              <w:pStyle w:val="Compact"/>
              <w:spacing w:after="20" w:before="20"/>
            </w:pPr>
            <w:r>
              <w:rPr>
                <w:sz w:val="17"/>
              </w:rPr>
              <w:t xml:space="preserve">Fitch Ratings RMBS research</w:t>
            </w:r>
          </w:p>
        </w:tc>
        <w:tc>
          <w:tcPr>
            <w:tcW w:w="3485" w:type="dxa"/>
            <w:shd w:val="clear" w:color="auto" w:fill="EEF2F7"/>
          </w:tcPr>
          <w:p>
            <w:pPr>
              <w:pStyle w:val="Compact"/>
              <w:spacing w:after="20" w:before="20"/>
            </w:pPr>
            <w:r>
              <w:rPr>
                <w:sz w:val="17"/>
              </w:rPr>
              <w:t xml:space="preserve">Sector outlooks, performance commentary, rating actions</w:t>
            </w:r>
          </w:p>
        </w:tc>
        <w:tc>
          <w:tcPr>
            <w:tcW w:w="1394" w:type="dxa"/>
            <w:shd w:val="clear" w:color="auto" w:fill="EEF2F7"/>
          </w:tcPr>
          <w:p>
            <w:pPr>
              <w:pStyle w:val="Compact"/>
              <w:spacing w:after="20" w:before="20"/>
            </w:pPr>
            <w:r>
              <w:rPr>
                <w:sz w:val="17"/>
              </w:rPr>
              <w:t xml:space="preserve">Free w/ reg (many)</w:t>
            </w:r>
          </w:p>
        </w:tc>
        <w:tc>
          <w:tcPr>
            <w:tcW w:w="1916" w:type="dxa"/>
            <w:shd w:val="clear" w:color="auto" w:fill="EEF2F7"/>
          </w:tcPr>
          <w:p>
            <w:pPr>
              <w:pStyle w:val="Compact"/>
              <w:spacing w:after="20" w:before="20"/>
            </w:pPr>
            <w:r>
              <w:rPr>
                <w:sz w:val="17"/>
              </w:rPr>
              <w:t xml:space="preserve">Periodic</w:t>
            </w:r>
          </w:p>
        </w:tc>
        <w:tc>
          <w:tcPr>
            <w:tcW w:w="2438" w:type="dxa"/>
            <w:shd w:val="clear" w:color="auto" w:fill="EEF2F7"/>
          </w:tcPr>
          <w:p>
            <w:pPr>
              <w:pStyle w:val="Compact"/>
              <w:spacing w:after="20" w:before="20"/>
            </w:pPr>
            <w:r>
              <w:rPr>
                <w:sz w:val="17"/>
              </w:rPr>
              <w:t xml:space="preserve">Sector view, rating trends</w:t>
            </w:r>
          </w:p>
        </w:tc>
        <w:tc>
          <w:tcPr>
            <w:tcW w:w="2438" w:type="dxa"/>
            <w:shd w:val="clear" w:color="auto" w:fill="EEF2F7"/>
          </w:tcPr>
          <w:p>
            <w:pPr>
              <w:pStyle w:val="Compact"/>
              <w:spacing w:after="20" w:before="20"/>
            </w:pPr>
            <w:hyperlink r:id="rId80">
              <w:r>
                <w:rPr>
                  <w:rStyle w:val="Hyperlink"/>
                  <w:sz w:val="17"/>
                </w:rPr>
                <w:t xml:space="preserve">fitchratings.com – RMBS</w:t>
              </w:r>
            </w:hyperlink>
          </w:p>
        </w:tc>
      </w:tr>
      <w:tr>
        <w:trPr>
          <w:cantSplit/>
        </w:trPr>
        <w:tc>
          <w:tcPr>
            <w:tcW w:w="2438" w:type="dxa"/>
          </w:tcPr>
          <w:p>
            <w:pPr>
              <w:pStyle w:val="Compact"/>
              <w:spacing w:after="20" w:before="20"/>
            </w:pPr>
            <w:r>
              <w:rPr>
                <w:sz w:val="17"/>
              </w:rPr>
              <w:t xml:space="preserve">Morningstar DBRS</w:t>
            </w:r>
          </w:p>
        </w:tc>
        <w:tc>
          <w:tcPr>
            <w:tcW w:w="3485" w:type="dxa"/>
          </w:tcPr>
          <w:p>
            <w:pPr>
              <w:pStyle w:val="Compact"/>
              <w:spacing w:after="20" w:before="20"/>
            </w:pPr>
            <w:r>
              <w:rPr>
                <w:sz w:val="17"/>
              </w:rPr>
              <w:t xml:space="preserve">Surveillance actions and performance commentary on Non-QM, RTL, HELOC shelves</w:t>
            </w:r>
          </w:p>
        </w:tc>
        <w:tc>
          <w:tcPr>
            <w:tcW w:w="1394" w:type="dxa"/>
          </w:tcPr>
          <w:p>
            <w:pPr>
              <w:pStyle w:val="Compact"/>
              <w:spacing w:after="20" w:before="20"/>
            </w:pPr>
            <w:r>
              <w:rPr>
                <w:sz w:val="17"/>
              </w:rPr>
              <w:t xml:space="preserve">Free w/ reg</w:t>
            </w:r>
          </w:p>
        </w:tc>
        <w:tc>
          <w:tcPr>
            <w:tcW w:w="1916" w:type="dxa"/>
          </w:tcPr>
          <w:p>
            <w:pPr>
              <w:pStyle w:val="Compact"/>
              <w:spacing w:after="20" w:before="20"/>
            </w:pPr>
            <w:r>
              <w:rPr>
                <w:sz w:val="17"/>
              </w:rPr>
              <w:t xml:space="preserve">Periodic</w:t>
            </w:r>
          </w:p>
        </w:tc>
        <w:tc>
          <w:tcPr>
            <w:tcW w:w="2438" w:type="dxa"/>
          </w:tcPr>
          <w:p>
            <w:pPr>
              <w:pStyle w:val="Compact"/>
              <w:spacing w:after="20" w:before="20"/>
            </w:pPr>
            <w:r>
              <w:rPr>
                <w:sz w:val="17"/>
              </w:rPr>
              <w:t xml:space="preserve">RTL/HELOC surveillance</w:t>
            </w:r>
          </w:p>
        </w:tc>
        <w:tc>
          <w:tcPr>
            <w:tcW w:w="2438" w:type="dxa"/>
          </w:tcPr>
          <w:p>
            <w:pPr>
              <w:pStyle w:val="Compact"/>
              <w:spacing w:after="20" w:before="20"/>
            </w:pPr>
            <w:hyperlink r:id="rId81">
              <w:r>
                <w:rPr>
                  <w:rStyle w:val="Hyperlink"/>
                  <w:sz w:val="17"/>
                </w:rPr>
                <w:t xml:space="preserve">dbrs.morningstar.com</w:t>
              </w:r>
            </w:hyperlink>
          </w:p>
        </w:tc>
      </w:tr>
      <w:tr>
        <w:trPr>
          <w:cantSplit/>
        </w:trPr>
        <w:tc>
          <w:tcPr>
            <w:tcW w:w="2438" w:type="dxa"/>
            <w:shd w:val="clear" w:color="auto" w:fill="EEF2F7"/>
          </w:tcPr>
          <w:p>
            <w:pPr>
              <w:pStyle w:val="Compact"/>
              <w:spacing w:after="20" w:before="20"/>
            </w:pPr>
            <w:r>
              <w:rPr>
                <w:sz w:val="17"/>
              </w:rPr>
              <w:t xml:space="preserve">Moody’s / S&amp;P</w:t>
            </w:r>
          </w:p>
        </w:tc>
        <w:tc>
          <w:tcPr>
            <w:tcW w:w="3485" w:type="dxa"/>
            <w:shd w:val="clear" w:color="auto" w:fill="EEF2F7"/>
          </w:tcPr>
          <w:p>
            <w:pPr>
              <w:pStyle w:val="Compact"/>
              <w:spacing w:after="20" w:before="20"/>
            </w:pPr>
            <w:r>
              <w:rPr>
                <w:sz w:val="17"/>
              </w:rPr>
              <w:t xml:space="preserve">Surveillance and sector research</w:t>
            </w:r>
          </w:p>
        </w:tc>
        <w:tc>
          <w:tcPr>
            <w:tcW w:w="1394" w:type="dxa"/>
            <w:shd w:val="clear" w:color="auto" w:fill="EEF2F7"/>
          </w:tcPr>
          <w:p>
            <w:pPr>
              <w:pStyle w:val="Compact"/>
              <w:spacing w:after="20" w:before="20"/>
            </w:pPr>
            <w:r>
              <w:rPr>
                <w:sz w:val="17"/>
              </w:rPr>
              <w:t xml:space="preserve">Mostly Paid – Nice to have</w:t>
            </w:r>
          </w:p>
        </w:tc>
        <w:tc>
          <w:tcPr>
            <w:tcW w:w="1916" w:type="dxa"/>
            <w:shd w:val="clear" w:color="auto" w:fill="EEF2F7"/>
          </w:tcPr>
          <w:p>
            <w:pPr>
              <w:pStyle w:val="Compact"/>
              <w:spacing w:after="20" w:before="20"/>
            </w:pPr>
            <w:r>
              <w:rPr>
                <w:sz w:val="17"/>
              </w:rPr>
              <w:t xml:space="preserve">Periodic</w:t>
            </w:r>
          </w:p>
        </w:tc>
        <w:tc>
          <w:tcPr>
            <w:tcW w:w="2438" w:type="dxa"/>
            <w:shd w:val="clear" w:color="auto" w:fill="EEF2F7"/>
          </w:tcPr>
          <w:p>
            <w:pPr>
              <w:pStyle w:val="Compact"/>
              <w:spacing w:after="20" w:before="20"/>
            </w:pPr>
            <w:r>
              <w:rPr>
                <w:sz w:val="17"/>
              </w:rPr>
              <w:t xml:space="preserve">Ratings-driven context</w:t>
            </w:r>
          </w:p>
        </w:tc>
        <w:tc>
          <w:tcPr>
            <w:tcW w:w="2438" w:type="dxa"/>
            <w:shd w:val="clear" w:color="auto" w:fill="EEF2F7"/>
          </w:tcPr>
          <w:p>
            <w:pPr>
              <w:pStyle w:val="Compact"/>
              <w:spacing w:after="20" w:before="20"/>
            </w:pPr>
            <w:hyperlink r:id="rId82">
              <w:r>
                <w:rPr>
                  <w:rStyle w:val="Hyperlink"/>
                  <w:sz w:val="17"/>
                </w:rPr>
                <w:t xml:space="preserve">moodys.com</w:t>
              </w:r>
            </w:hyperlink>
            <w:r>
              <w:rPr>
                <w:sz w:val="17"/>
              </w:rPr>
              <w:t xml:space="preserve">;</w:t>
            </w:r>
            <w:r>
              <w:rPr>
                <w:sz w:val="17"/>
              </w:rPr>
              <w:t xml:space="preserve"> </w:t>
            </w:r>
            <w:hyperlink r:id="rId83">
              <w:r>
                <w:rPr>
                  <w:rStyle w:val="Hyperlink"/>
                  <w:sz w:val="17"/>
                </w:rPr>
                <w:t xml:space="preserve">spglobal.com/ratings</w:t>
              </w:r>
            </w:hyperlink>
          </w:p>
        </w:tc>
      </w:tr>
      <w:tr>
        <w:trPr>
          <w:cantSplit/>
        </w:trPr>
        <w:tc>
          <w:tcPr>
            <w:tcW w:w="2438" w:type="dxa"/>
          </w:tcPr>
          <w:p>
            <w:pPr>
              <w:pStyle w:val="Compact"/>
              <w:spacing w:after="20" w:before="20"/>
            </w:pPr>
            <w:r>
              <w:rPr>
                <w:sz w:val="17"/>
              </w:rPr>
              <w:t xml:space="preserve">dv01</w:t>
            </w:r>
          </w:p>
        </w:tc>
        <w:tc>
          <w:tcPr>
            <w:tcW w:w="3485" w:type="dxa"/>
          </w:tcPr>
          <w:p>
            <w:pPr>
              <w:pStyle w:val="Compact"/>
              <w:spacing w:after="20" w:before="20"/>
            </w:pPr>
            <w:r>
              <w:rPr>
                <w:sz w:val="17"/>
              </w:rPr>
              <w:t xml:space="preserve">Loan-level performance for Non-QM, prime jumbo, CES, HELOC and other consumer assets; Fitch-dv01 non-agency RMBS benchmarks; tape cracking</w:t>
            </w:r>
          </w:p>
        </w:tc>
        <w:tc>
          <w:tcPr>
            <w:tcW w:w="1394" w:type="dxa"/>
          </w:tcPr>
          <w:p>
            <w:pPr>
              <w:pStyle w:val="Compact"/>
              <w:spacing w:after="20" w:before="20"/>
            </w:pPr>
            <w:r>
              <w:rPr>
                <w:sz w:val="17"/>
              </w:rPr>
              <w:t xml:space="preserve">Paid – Must-request</w:t>
            </w:r>
          </w:p>
        </w:tc>
        <w:tc>
          <w:tcPr>
            <w:tcW w:w="1916" w:type="dxa"/>
          </w:tcPr>
          <w:p>
            <w:pPr>
              <w:pStyle w:val="Compact"/>
              <w:spacing w:after="20" w:before="20"/>
            </w:pPr>
            <w:r>
              <w:rPr>
                <w:sz w:val="17"/>
              </w:rPr>
              <w:t xml:space="preserve">Monthly (with servicer/trustee data)</w:t>
            </w:r>
          </w:p>
        </w:tc>
        <w:tc>
          <w:tcPr>
            <w:tcW w:w="2438" w:type="dxa"/>
          </w:tcPr>
          <w:p>
            <w:pPr>
              <w:pStyle w:val="Compact"/>
              <w:spacing w:after="20" w:before="20"/>
            </w:pPr>
            <w:r>
              <w:rPr>
                <w:sz w:val="17"/>
              </w:rPr>
              <w:t xml:space="preserve">The best standardized view of Non-QM/DSCR performance by shelf, vintage, doc type</w:t>
            </w:r>
          </w:p>
        </w:tc>
        <w:tc>
          <w:tcPr>
            <w:tcW w:w="2438" w:type="dxa"/>
          </w:tcPr>
          <w:p>
            <w:pPr>
              <w:pStyle w:val="Compact"/>
              <w:spacing w:after="20" w:before="20"/>
            </w:pPr>
            <w:hyperlink r:id="rId103">
              <w:r>
                <w:rPr>
                  <w:rStyle w:val="Hyperlink"/>
                  <w:sz w:val="17"/>
                </w:rPr>
                <w:t xml:space="preserve">dv01.co</w:t>
              </w:r>
            </w:hyperlink>
          </w:p>
        </w:tc>
      </w:tr>
      <w:tr>
        <w:trPr>
          <w:cantSplit/>
        </w:trPr>
        <w:tc>
          <w:tcPr>
            <w:tcW w:w="2438" w:type="dxa"/>
            <w:shd w:val="clear" w:color="auto" w:fill="EEF2F7"/>
          </w:tcPr>
          <w:p>
            <w:pPr>
              <w:pStyle w:val="Compact"/>
              <w:spacing w:after="20" w:before="20"/>
            </w:pPr>
            <w:r>
              <w:rPr>
                <w:sz w:val="17"/>
              </w:rPr>
              <w:t xml:space="preserve">Intex</w:t>
            </w:r>
          </w:p>
        </w:tc>
        <w:tc>
          <w:tcPr>
            <w:tcW w:w="3485" w:type="dxa"/>
            <w:shd w:val="clear" w:color="auto" w:fill="EEF2F7"/>
          </w:tcPr>
          <w:p>
            <w:pPr>
              <w:pStyle w:val="Compact"/>
              <w:spacing w:after="20" w:before="20"/>
            </w:pPr>
            <w:r>
              <w:rPr>
                <w:sz w:val="17"/>
              </w:rPr>
              <w:t xml:space="preserve">Deal-level collateral performance and waterfall; bond-level projections</w:t>
            </w:r>
          </w:p>
        </w:tc>
        <w:tc>
          <w:tcPr>
            <w:tcW w:w="1394" w:type="dxa"/>
            <w:shd w:val="clear" w:color="auto" w:fill="EEF2F7"/>
          </w:tcPr>
          <w:p>
            <w:pPr>
              <w:pStyle w:val="Compact"/>
              <w:spacing w:after="20" w:before="20"/>
            </w:pPr>
            <w:r>
              <w:rPr>
                <w:sz w:val="17"/>
              </w:rPr>
              <w:t xml:space="preserve">Paid – Must-request</w:t>
            </w:r>
          </w:p>
        </w:tc>
        <w:tc>
          <w:tcPr>
            <w:tcW w:w="1916" w:type="dxa"/>
            <w:shd w:val="clear" w:color="auto" w:fill="EEF2F7"/>
          </w:tcPr>
          <w:p>
            <w:pPr>
              <w:pStyle w:val="Compact"/>
              <w:spacing w:after="20" w:before="20"/>
            </w:pPr>
            <w:r>
              <w:rPr>
                <w:sz w:val="17"/>
              </w:rPr>
              <w:t xml:space="preserve">Monthly with remits</w:t>
            </w:r>
          </w:p>
        </w:tc>
        <w:tc>
          <w:tcPr>
            <w:tcW w:w="2438" w:type="dxa"/>
            <w:shd w:val="clear" w:color="auto" w:fill="EEF2F7"/>
          </w:tcPr>
          <w:p>
            <w:pPr>
              <w:pStyle w:val="Compact"/>
              <w:spacing w:after="20" w:before="20"/>
            </w:pPr>
            <w:r>
              <w:rPr>
                <w:sz w:val="17"/>
              </w:rPr>
              <w:t xml:space="preserve">Bond-level surveillance and triggers</w:t>
            </w:r>
          </w:p>
        </w:tc>
        <w:tc>
          <w:tcPr>
            <w:tcW w:w="2438" w:type="dxa"/>
            <w:shd w:val="clear" w:color="auto" w:fill="EEF2F7"/>
          </w:tcPr>
          <w:p>
            <w:pPr>
              <w:pStyle w:val="Compact"/>
              <w:spacing w:after="20" w:before="20"/>
            </w:pPr>
            <w:hyperlink r:id="rId68">
              <w:r>
                <w:rPr>
                  <w:rStyle w:val="Hyperlink"/>
                  <w:sz w:val="17"/>
                </w:rPr>
                <w:t xml:space="preserve">intex.com</w:t>
              </w:r>
            </w:hyperlink>
          </w:p>
        </w:tc>
      </w:tr>
      <w:tr>
        <w:trPr>
          <w:cantSplit/>
        </w:trPr>
        <w:tc>
          <w:tcPr>
            <w:tcW w:w="2438" w:type="dxa"/>
          </w:tcPr>
          <w:p>
            <w:pPr>
              <w:pStyle w:val="Compact"/>
              <w:spacing w:after="20" w:before="20"/>
            </w:pPr>
            <w:r>
              <w:rPr>
                <w:sz w:val="17"/>
              </w:rPr>
              <w:t xml:space="preserve">Cotality (formerly CoreLogic)</w:t>
            </w:r>
          </w:p>
        </w:tc>
        <w:tc>
          <w:tcPr>
            <w:tcW w:w="3485" w:type="dxa"/>
          </w:tcPr>
          <w:p>
            <w:pPr>
              <w:pStyle w:val="Compact"/>
              <w:spacing w:after="20" w:before="20"/>
            </w:pPr>
            <w:r>
              <w:rPr>
                <w:sz w:val="17"/>
              </w:rPr>
              <w:t xml:space="preserve">Private-label securities loan-level data (legacy CoreLogic LoanPerformance), HPI, property data</w:t>
            </w:r>
          </w:p>
        </w:tc>
        <w:tc>
          <w:tcPr>
            <w:tcW w:w="1394" w:type="dxa"/>
          </w:tcPr>
          <w:p>
            <w:pPr>
              <w:pStyle w:val="Compact"/>
              <w:spacing w:after="20" w:before="20"/>
            </w:pPr>
            <w:r>
              <w:rPr>
                <w:sz w:val="17"/>
              </w:rPr>
              <w:t xml:space="preserve">Paid – Nice to have</w:t>
            </w:r>
          </w:p>
        </w:tc>
        <w:tc>
          <w:tcPr>
            <w:tcW w:w="1916" w:type="dxa"/>
          </w:tcPr>
          <w:p>
            <w:pPr>
              <w:pStyle w:val="Compact"/>
              <w:spacing w:after="20" w:before="20"/>
            </w:pPr>
            <w:r>
              <w:rPr>
                <w:sz w:val="17"/>
              </w:rPr>
              <w:t xml:space="preserve">Monthly</w:t>
            </w:r>
          </w:p>
        </w:tc>
        <w:tc>
          <w:tcPr>
            <w:tcW w:w="2438" w:type="dxa"/>
          </w:tcPr>
          <w:p>
            <w:pPr>
              <w:pStyle w:val="Compact"/>
              <w:spacing w:after="20" w:before="20"/>
            </w:pPr>
            <w:r>
              <w:rPr>
                <w:sz w:val="17"/>
              </w:rPr>
              <w:t xml:space="preserve">Non-agency loan-level history; property analytics</w:t>
            </w:r>
          </w:p>
        </w:tc>
        <w:tc>
          <w:tcPr>
            <w:tcW w:w="2438" w:type="dxa"/>
          </w:tcPr>
          <w:p>
            <w:pPr>
              <w:pStyle w:val="Compact"/>
              <w:spacing w:after="20" w:before="20"/>
            </w:pPr>
            <w:hyperlink r:id="rId104">
              <w:r>
                <w:rPr>
                  <w:rStyle w:val="Hyperlink"/>
                  <w:sz w:val="17"/>
                </w:rPr>
                <w:t xml:space="preserve">cotality.com</w:t>
              </w:r>
            </w:hyperlink>
          </w:p>
        </w:tc>
      </w:tr>
      <w:tr>
        <w:trPr>
          <w:cantSplit/>
        </w:trPr>
        <w:tc>
          <w:tcPr>
            <w:tcW w:w="2438" w:type="dxa"/>
            <w:shd w:val="clear" w:color="auto" w:fill="EEF2F7"/>
          </w:tcPr>
          <w:p>
            <w:pPr>
              <w:pStyle w:val="Compact"/>
              <w:spacing w:after="20" w:before="20"/>
            </w:pPr>
            <w:r>
              <w:rPr>
                <w:sz w:val="17"/>
              </w:rPr>
              <w:t xml:space="preserve">ICE McDash (servicing data)</w:t>
            </w:r>
          </w:p>
        </w:tc>
        <w:tc>
          <w:tcPr>
            <w:tcW w:w="3485" w:type="dxa"/>
            <w:shd w:val="clear" w:color="auto" w:fill="EEF2F7"/>
          </w:tcPr>
          <w:p>
            <w:pPr>
              <w:pStyle w:val="Compact"/>
              <w:spacing w:after="20" w:before="20"/>
            </w:pPr>
            <w:r>
              <w:rPr>
                <w:sz w:val="17"/>
              </w:rPr>
              <w:t xml:space="preserve">Loan-level servicing performance across agency and non-agency</w:t>
            </w:r>
          </w:p>
        </w:tc>
        <w:tc>
          <w:tcPr>
            <w:tcW w:w="1394" w:type="dxa"/>
            <w:shd w:val="clear" w:color="auto" w:fill="EEF2F7"/>
          </w:tcPr>
          <w:p>
            <w:pPr>
              <w:pStyle w:val="Compact"/>
              <w:spacing w:after="20" w:before="20"/>
            </w:pPr>
            <w:r>
              <w:rPr>
                <w:sz w:val="17"/>
              </w:rPr>
              <w:t xml:space="preserve">Paid – Skip for temporary coverage (enterprise license)</w:t>
            </w:r>
          </w:p>
        </w:tc>
        <w:tc>
          <w:tcPr>
            <w:tcW w:w="1916" w:type="dxa"/>
            <w:shd w:val="clear" w:color="auto" w:fill="EEF2F7"/>
          </w:tcPr>
          <w:p>
            <w:pPr>
              <w:pStyle w:val="Compact"/>
              <w:spacing w:after="20" w:before="20"/>
            </w:pPr>
            <w:r>
              <w:rPr>
                <w:sz w:val="17"/>
              </w:rPr>
              <w:t xml:space="preserve">Monthly</w:t>
            </w:r>
          </w:p>
        </w:tc>
        <w:tc>
          <w:tcPr>
            <w:tcW w:w="2438" w:type="dxa"/>
            <w:shd w:val="clear" w:color="auto" w:fill="EEF2F7"/>
          </w:tcPr>
          <w:p>
            <w:pPr>
              <w:pStyle w:val="Compact"/>
              <w:spacing w:after="20" w:before="20"/>
            </w:pPr>
            <w:r>
              <w:rPr>
                <w:sz w:val="17"/>
              </w:rPr>
              <w:t xml:space="preserve">Market-wide loan-level analysis</w:t>
            </w:r>
          </w:p>
        </w:tc>
        <w:tc>
          <w:tcPr>
            <w:tcW w:w="2438" w:type="dxa"/>
            <w:shd w:val="clear" w:color="auto" w:fill="EEF2F7"/>
          </w:tcPr>
          <w:p>
            <w:pPr>
              <w:pStyle w:val="Compact"/>
              <w:spacing w:after="20" w:before="20"/>
            </w:pPr>
            <w:hyperlink r:id="rId105">
              <w:r>
                <w:rPr>
                  <w:rStyle w:val="Hyperlink"/>
                  <w:sz w:val="17"/>
                </w:rPr>
                <w:t xml:space="preserve">ice.com – mortgage data</w:t>
              </w:r>
            </w:hyperlink>
          </w:p>
        </w:tc>
      </w:tr>
      <w:tr>
        <w:trPr>
          <w:cantSplit/>
        </w:trPr>
        <w:tc>
          <w:tcPr>
            <w:tcW w:w="2438" w:type="dxa"/>
          </w:tcPr>
          <w:p>
            <w:pPr>
              <w:pStyle w:val="Compact"/>
              <w:spacing w:after="20" w:before="20"/>
            </w:pPr>
            <w:r>
              <w:rPr>
                <w:sz w:val="17"/>
              </w:rPr>
              <w:t xml:space="preserve">Scotsman Guide / HousingWire / ASR</w:t>
            </w:r>
          </w:p>
        </w:tc>
        <w:tc>
          <w:tcPr>
            <w:tcW w:w="3485" w:type="dxa"/>
          </w:tcPr>
          <w:p>
            <w:pPr>
              <w:pStyle w:val="Compact"/>
              <w:spacing w:after="20" w:before="20"/>
            </w:pPr>
            <w:r>
              <w:rPr>
                <w:sz w:val="17"/>
              </w:rPr>
              <w:t xml:space="preserve">Articles summarizing agency reports on Non-QM/DSCR performance</w:t>
            </w:r>
          </w:p>
        </w:tc>
        <w:tc>
          <w:tcPr>
            <w:tcW w:w="1394" w:type="dxa"/>
          </w:tcPr>
          <w:p>
            <w:pPr>
              <w:pStyle w:val="Compact"/>
              <w:spacing w:after="20" w:before="20"/>
            </w:pPr>
            <w:r>
              <w:rPr>
                <w:sz w:val="17"/>
              </w:rPr>
              <w:t xml:space="preserve">Free (ASR partially Paid)</w:t>
            </w:r>
          </w:p>
        </w:tc>
        <w:tc>
          <w:tcPr>
            <w:tcW w:w="1916" w:type="dxa"/>
          </w:tcPr>
          <w:p>
            <w:pPr>
              <w:pStyle w:val="Compact"/>
              <w:spacing w:after="20" w:before="20"/>
            </w:pPr>
            <w:r>
              <w:rPr>
                <w:sz w:val="17"/>
              </w:rPr>
              <w:t xml:space="preserve">Ongoing</w:t>
            </w:r>
          </w:p>
        </w:tc>
        <w:tc>
          <w:tcPr>
            <w:tcW w:w="2438" w:type="dxa"/>
          </w:tcPr>
          <w:p>
            <w:pPr>
              <w:pStyle w:val="Compact"/>
              <w:spacing w:after="20" w:before="20"/>
            </w:pPr>
            <w:r>
              <w:rPr>
                <w:sz w:val="17"/>
              </w:rPr>
              <w:t xml:space="preserve">Quick narrative citations</w:t>
            </w:r>
          </w:p>
        </w:tc>
        <w:tc>
          <w:tcPr>
            <w:tcW w:w="2438" w:type="dxa"/>
          </w:tcPr>
          <w:p>
            <w:pPr>
              <w:pStyle w:val="Compact"/>
              <w:spacing w:after="20" w:before="20"/>
            </w:pPr>
            <w:hyperlink r:id="rId106">
              <w:r>
                <w:rPr>
                  <w:rStyle w:val="Hyperlink"/>
                  <w:sz w:val="17"/>
                </w:rPr>
                <w:t xml:space="preserve">scotsmanguide.com</w:t>
              </w:r>
            </w:hyperlink>
            <w:r>
              <w:rPr>
                <w:sz w:val="17"/>
              </w:rPr>
              <w:t xml:space="preserve">;</w:t>
            </w:r>
            <w:r>
              <w:rPr>
                <w:sz w:val="17"/>
              </w:rPr>
              <w:t xml:space="preserve"> </w:t>
            </w:r>
            <w:hyperlink r:id="rId107">
              <w:r>
                <w:rPr>
                  <w:rStyle w:val="Hyperlink"/>
                  <w:sz w:val="17"/>
                </w:rPr>
                <w:t xml:space="preserve">housingwire.com</w:t>
              </w:r>
            </w:hyperlink>
          </w:p>
        </w:tc>
      </w:tr>
    </w:tbl>
    <w:p>
      <w:pPr>
        <w:pStyle w:val="BodyText"/>
      </w:pPr>
      <w:r>
        <w:rPr>
          <w:b/>
          <w:bCs/>
        </w:rPr>
        <w:t xml:space="preserve">Metrics to have ready for</w:t>
      </w:r>
      <w:r>
        <w:rPr>
          <w:b/>
          <w:bCs/>
        </w:rPr>
        <w:t xml:space="preserve"> </w:t>
      </w:r>
      <w:r>
        <w:rPr>
          <w:b/>
          <w:bCs/>
        </w:rPr>
        <w:t xml:space="preserve">“how is DSCR credit performing?”</w:t>
      </w:r>
      <w:r>
        <w:t xml:space="preserve"> </w:t>
      </w:r>
      <w:r>
        <w:t xml:space="preserve">60+ day delinquency (including foreclosure and REO) as a percent of current balance, by vintage and shelf; the trend over the last three to six months; cumulative loss (usually still small for recent vintages, so look at DQ and roll rates); modification and forbearance rates; and, for DSCR specifically, performance split by DSCR bucket (for example below 1.0x versus 1.0x+), property type (1–4 unit, condo, short-term rental), and loan purpose (cash-out refi versus purchase). Rating-agency reports and dv01 are where these splits live.</w:t>
      </w:r>
    </w:p>
    <w:bookmarkEnd w:id="108"/>
    <w:bookmarkStart w:id="109" w:name="X2e481bcaeaf19916426d026c795710a9d42113d"/>
    <w:p>
      <w:pPr>
        <w:pStyle w:val="Heading2"/>
      </w:pPr>
      <w:r>
        <w:t xml:space="preserve">6.3 Bond-specific surveillance: trustee remittance reports</w:t>
      </w:r>
    </w:p>
    <w:p>
      <w:pPr>
        <w:pStyle w:val="FirstParagraph"/>
      </w:pPr>
      <w:r>
        <w:t xml:space="preserve">Non-agency RMBS pay monthly on a distribution date set in the deal documents (commonly around the 25th, but check each deal). Before each distribution date the trustee, paying agent, or securities administrator posts a</w:t>
      </w:r>
      <w:r>
        <w:t xml:space="preserve"> </w:t>
      </w:r>
      <w:r>
        <w:rPr>
          <w:b/>
          <w:bCs/>
        </w:rPr>
        <w:t xml:space="preserve">remittance (distribution) report</w:t>
      </w:r>
      <w:r>
        <w:t xml:space="preserve"> </w:t>
      </w:r>
      <w:r>
        <w:t xml:space="preserve">with collections, principal and interest by class, delinquencies, losses, modifications, trigger tests, and bond factors.</w:t>
      </w:r>
    </w:p>
    <w:p>
      <w:pPr>
        <w:pStyle w:val="Compact"/>
        <w:numPr>
          <w:ilvl w:val="0"/>
          <w:numId w:val="1007"/>
        </w:numPr>
      </w:pPr>
      <w:r>
        <w:rPr>
          <w:b/>
          <w:bCs/>
        </w:rPr>
        <w:t xml:space="preserve">Where:</w:t>
      </w:r>
      <w:r>
        <w:t xml:space="preserve"> </w:t>
      </w:r>
      <w:r>
        <w:t xml:space="preserve">the investor-reporting portals of the trustee or securities administrator named in the offering document. Common names in RMBS include U.S. Bank, Computershare (which acquired Wells Fargo’s corporate trust business), Wilmington Trust, Citibank, Deutsche Bank, and BNY. Portals generally require registration and confirmation that you are an investor in the deal.</w:t>
      </w:r>
    </w:p>
    <w:p>
      <w:pPr>
        <w:pStyle w:val="Compact"/>
        <w:numPr>
          <w:ilvl w:val="0"/>
          <w:numId w:val="1007"/>
        </w:numPr>
      </w:pPr>
      <w:r>
        <w:rPr>
          <w:b/>
          <w:bCs/>
        </w:rPr>
        <w:t xml:space="preserve">Public deals:</w:t>
      </w:r>
      <w:r>
        <w:t xml:space="preserve"> </w:t>
      </w:r>
      <w:r>
        <w:t xml:space="preserve">registered (public) deals also file distribution reports on Form 10-D with the SEC, searchable on EDGAR.</w:t>
      </w:r>
    </w:p>
    <w:p>
      <w:pPr>
        <w:pStyle w:val="Compact"/>
        <w:numPr>
          <w:ilvl w:val="0"/>
          <w:numId w:val="1007"/>
        </w:numPr>
      </w:pPr>
      <w:r>
        <w:rPr>
          <w:b/>
          <w:bCs/>
        </w:rPr>
        <w:t xml:space="preserve">CRT:</w:t>
      </w:r>
      <w:r>
        <w:t xml:space="preserve"> </w:t>
      </w:r>
      <w:r>
        <w:t xml:space="preserve">Fannie Mae (Data Dynamics) and Freddie Mac (Clarity) post monthly deal and loan-level disclosures.</w:t>
      </w:r>
    </w:p>
    <w:p>
      <w:pPr>
        <w:pStyle w:val="Compact"/>
        <w:numPr>
          <w:ilvl w:val="0"/>
          <w:numId w:val="1007"/>
        </w:numPr>
      </w:pPr>
      <w:r>
        <w:rPr>
          <w:b/>
          <w:bCs/>
        </w:rPr>
        <w:t xml:space="preserve">Aggregated:</w:t>
      </w:r>
      <w:r>
        <w:t xml:space="preserve"> </w:t>
      </w:r>
      <w:r>
        <w:t xml:space="preserve">Intex and Bloomberg load remittance data into their models shortly after posting; dv01 standardizes across shelves.</w:t>
      </w:r>
    </w:p>
    <w:bookmarkEnd w:id="109"/>
    <w:bookmarkEnd w:id="110"/>
    <w:bookmarkStart w:id="117" w:name="prepayments"/>
    <w:p>
      <w:pPr>
        <w:pStyle w:val="Heading1"/>
      </w:pPr>
      <w:r>
        <w:t xml:space="preserve">7. Prepayments</w:t>
      </w:r>
    </w:p>
    <w:p>
      <w:pPr>
        <w:pStyle w:val="FirstParagraph"/>
      </w:pPr>
      <w:r>
        <w:t xml:space="preserve">“What’s the prepay outlook?”</w:t>
      </w:r>
      <w:r>
        <w:t xml:space="preserve"> </w:t>
      </w:r>
      <w:r>
        <w:t xml:space="preserve">has two parts:</w:t>
      </w:r>
      <w:r>
        <w:t xml:space="preserve"> </w:t>
      </w:r>
      <w:r>
        <w:rPr>
          <w:b/>
          <w:bCs/>
        </w:rPr>
        <w:t xml:space="preserve">what speeds just did</w:t>
      </w:r>
      <w:r>
        <w:t xml:space="preserve"> </w:t>
      </w:r>
      <w:r>
        <w:t xml:space="preserve">(last factor/CPR release) and</w:t>
      </w:r>
      <w:r>
        <w:t xml:space="preserve"> </w:t>
      </w:r>
      <w:r>
        <w:rPr>
          <w:b/>
          <w:bCs/>
        </w:rPr>
        <w:t xml:space="preserve">what drives the next few months</w:t>
      </w:r>
      <w:r>
        <w:t xml:space="preserve"> </w:t>
      </w:r>
      <w:r>
        <w:t xml:space="preserve">(refi incentive, turnover/housing activity, seasonality, and day count).</w:t>
      </w:r>
    </w:p>
    <w:p>
      <w:pPr>
        <w:pStyle w:val="TableCaption"/>
      </w:pPr>
      <w:r>
        <w:t xml:space="preserve">Prepayment sources.</w:t>
      </w:r>
    </w:p>
    <w:tbl>
      <w:tblPr>
        <w:tblStyle w:val="Table"/>
        <w:tblLayout w:type="fixed"/>
        <w:tblLook w:firstRow="1" w:lastRow="0" w:firstColumn="0" w:lastColumn="0" w:noHBand="0" w:noVBand="0" w:val="0020"/>
        <w:tblCaption w:val="Prepayment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Fannie Mae MBS disclosures / Data Dynamics prepayment snapshot</w:t>
            </w:r>
          </w:p>
        </w:tc>
        <w:tc>
          <w:tcPr>
            <w:tcW w:w="3485" w:type="dxa"/>
          </w:tcPr>
          <w:p>
            <w:pPr>
              <w:pStyle w:val="Compact"/>
              <w:spacing w:after="20" w:before="20"/>
            </w:pPr>
            <w:r>
              <w:rPr>
                <w:sz w:val="17"/>
              </w:rPr>
              <w:t xml:space="preserve">Monthly prepayment data (CPR) by cohort; pool and loan-level disclosure files (PoolTalk)</w:t>
            </w:r>
          </w:p>
        </w:tc>
        <w:tc>
          <w:tcPr>
            <w:tcW w:w="1394" w:type="dxa"/>
          </w:tcPr>
          <w:p>
            <w:pPr>
              <w:pStyle w:val="Compact"/>
              <w:spacing w:after="20" w:before="20"/>
            </w:pPr>
            <w:r>
              <w:rPr>
                <w:sz w:val="17"/>
              </w:rPr>
              <w:t xml:space="preserve">Free w/ reg</w:t>
            </w:r>
          </w:p>
        </w:tc>
        <w:tc>
          <w:tcPr>
            <w:tcW w:w="1916" w:type="dxa"/>
          </w:tcPr>
          <w:p>
            <w:pPr>
              <w:pStyle w:val="Compact"/>
              <w:spacing w:after="20" w:before="20"/>
            </w:pPr>
            <w:r>
              <w:rPr>
                <w:sz w:val="17"/>
              </w:rPr>
              <w:t xml:space="preserve">Monthly on business day 4 (factor date)</w:t>
            </w:r>
          </w:p>
        </w:tc>
        <w:tc>
          <w:tcPr>
            <w:tcW w:w="2438" w:type="dxa"/>
          </w:tcPr>
          <w:p>
            <w:pPr>
              <w:pStyle w:val="Compact"/>
              <w:spacing w:after="20" w:before="20"/>
            </w:pPr>
            <w:r>
              <w:rPr>
                <w:sz w:val="17"/>
              </w:rPr>
              <w:t xml:space="preserve">Agency speeds on</w:t>
            </w:r>
            <w:r>
              <w:rPr>
                <w:sz w:val="17"/>
              </w:rPr>
              <w:t xml:space="preserve"> </w:t>
            </w:r>
            <w:r>
              <w:rPr>
                <w:sz w:val="17"/>
              </w:rPr>
              <w:t xml:space="preserve">“CPR day”</w:t>
            </w:r>
          </w:p>
        </w:tc>
        <w:tc>
          <w:tcPr>
            <w:tcW w:w="2438" w:type="dxa"/>
          </w:tcPr>
          <w:p>
            <w:pPr>
              <w:pStyle w:val="Compact"/>
              <w:spacing w:after="20" w:before="20"/>
            </w:pPr>
            <w:hyperlink r:id="rId111">
              <w:r>
                <w:rPr>
                  <w:rStyle w:val="Hyperlink"/>
                  <w:sz w:val="17"/>
                </w:rPr>
                <w:t xml:space="preserve">Fannie Mae – MBS</w:t>
              </w:r>
            </w:hyperlink>
            <w:r>
              <w:rPr>
                <w:sz w:val="17"/>
              </w:rPr>
              <w:t xml:space="preserve">;</w:t>
            </w:r>
            <w:r>
              <w:rPr>
                <w:sz w:val="17"/>
              </w:rPr>
              <w:t xml:space="preserve"> </w:t>
            </w:r>
            <w:hyperlink r:id="rId99">
              <w:r>
                <w:rPr>
                  <w:rStyle w:val="Hyperlink"/>
                  <w:sz w:val="17"/>
                </w:rPr>
                <w:t xml:space="preserve">Data Dynamics</w:t>
              </w:r>
            </w:hyperlink>
          </w:p>
        </w:tc>
      </w:tr>
      <w:tr>
        <w:trPr>
          <w:cantSplit/>
        </w:trPr>
        <w:tc>
          <w:tcPr>
            <w:tcW w:w="2438" w:type="dxa"/>
            <w:shd w:val="clear" w:color="auto" w:fill="EEF2F7"/>
          </w:tcPr>
          <w:p>
            <w:pPr>
              <w:pStyle w:val="Compact"/>
              <w:spacing w:after="20" w:before="20"/>
            </w:pPr>
            <w:r>
              <w:rPr>
                <w:sz w:val="17"/>
              </w:rPr>
              <w:t xml:space="preserve">Fannie Mae daily (intra-month) prepayment report</w:t>
            </w:r>
          </w:p>
        </w:tc>
        <w:tc>
          <w:tcPr>
            <w:tcW w:w="3485" w:type="dxa"/>
            <w:shd w:val="clear" w:color="auto" w:fill="EEF2F7"/>
          </w:tcPr>
          <w:p>
            <w:pPr>
              <w:pStyle w:val="Compact"/>
              <w:spacing w:after="20" w:before="20"/>
            </w:pPr>
            <w:r>
              <w:rPr>
                <w:sz w:val="17"/>
              </w:rPr>
              <w:t xml:space="preserve">Cohort-level cumulative full-voluntary prepayments during the month</w:t>
            </w:r>
          </w:p>
        </w:tc>
        <w:tc>
          <w:tcPr>
            <w:tcW w:w="1394" w:type="dxa"/>
            <w:shd w:val="clear" w:color="auto" w:fill="EEF2F7"/>
          </w:tcPr>
          <w:p>
            <w:pPr>
              <w:pStyle w:val="Compact"/>
              <w:spacing w:after="20" w:before="20"/>
            </w:pPr>
            <w:r>
              <w:rPr>
                <w:sz w:val="17"/>
              </w:rPr>
              <w:t xml:space="preserve">Free w/ reg (PoolTalk)</w:t>
            </w:r>
          </w:p>
        </w:tc>
        <w:tc>
          <w:tcPr>
            <w:tcW w:w="1916" w:type="dxa"/>
            <w:shd w:val="clear" w:color="auto" w:fill="EEF2F7"/>
          </w:tcPr>
          <w:p>
            <w:pPr>
              <w:pStyle w:val="Compact"/>
              <w:spacing w:after="20" w:before="20"/>
            </w:pPr>
            <w:r>
              <w:rPr>
                <w:sz w:val="17"/>
              </w:rPr>
              <w:t xml:space="preserve">Weekly, Wednesdays about 3:30 pm CT</w:t>
            </w:r>
          </w:p>
        </w:tc>
        <w:tc>
          <w:tcPr>
            <w:tcW w:w="2438" w:type="dxa"/>
            <w:shd w:val="clear" w:color="auto" w:fill="EEF2F7"/>
          </w:tcPr>
          <w:p>
            <w:pPr>
              <w:pStyle w:val="Compact"/>
              <w:spacing w:after="20" w:before="20"/>
            </w:pPr>
            <w:r>
              <w:rPr>
                <w:sz w:val="17"/>
              </w:rPr>
              <w:t xml:space="preserve">Previewing the next monthly print</w:t>
            </w:r>
          </w:p>
        </w:tc>
        <w:tc>
          <w:tcPr>
            <w:tcW w:w="2438" w:type="dxa"/>
            <w:shd w:val="clear" w:color="auto" w:fill="EEF2F7"/>
          </w:tcPr>
          <w:p>
            <w:pPr>
              <w:pStyle w:val="Compact"/>
              <w:spacing w:after="20" w:before="20"/>
            </w:pPr>
            <w:hyperlink r:id="rId111">
              <w:r>
                <w:rPr>
                  <w:rStyle w:val="Hyperlink"/>
                  <w:sz w:val="17"/>
                </w:rPr>
                <w:t xml:space="preserve">Fannie Mae – MBS</w:t>
              </w:r>
            </w:hyperlink>
          </w:p>
        </w:tc>
      </w:tr>
      <w:tr>
        <w:trPr>
          <w:cantSplit/>
        </w:trPr>
        <w:tc>
          <w:tcPr>
            <w:tcW w:w="2438" w:type="dxa"/>
          </w:tcPr>
          <w:p>
            <w:pPr>
              <w:pStyle w:val="Compact"/>
              <w:spacing w:after="20" w:before="20"/>
            </w:pPr>
            <w:r>
              <w:rPr>
                <w:sz w:val="17"/>
              </w:rPr>
              <w:t xml:space="preserve">Freddie Mac daily prepayment report</w:t>
            </w:r>
          </w:p>
        </w:tc>
        <w:tc>
          <w:tcPr>
            <w:tcW w:w="3485" w:type="dxa"/>
          </w:tcPr>
          <w:p>
            <w:pPr>
              <w:pStyle w:val="Compact"/>
              <w:spacing w:after="20" w:before="20"/>
            </w:pPr>
            <w:r>
              <w:rPr>
                <w:sz w:val="17"/>
              </w:rPr>
              <w:t xml:space="preserve">Cumulative daily SMM/CPR for select cohorts</w:t>
            </w:r>
          </w:p>
        </w:tc>
        <w:tc>
          <w:tcPr>
            <w:tcW w:w="1394" w:type="dxa"/>
          </w:tcPr>
          <w:p>
            <w:pPr>
              <w:pStyle w:val="Compact"/>
              <w:spacing w:after="20" w:before="20"/>
            </w:pPr>
            <w:r>
              <w:rPr>
                <w:sz w:val="17"/>
              </w:rPr>
              <w:t xml:space="preserve">Free w/ reg</w:t>
            </w:r>
          </w:p>
        </w:tc>
        <w:tc>
          <w:tcPr>
            <w:tcW w:w="1916" w:type="dxa"/>
          </w:tcPr>
          <w:p>
            <w:pPr>
              <w:pStyle w:val="Compact"/>
              <w:spacing w:after="20" w:before="20"/>
            </w:pPr>
            <w:r>
              <w:rPr>
                <w:sz w:val="17"/>
              </w:rPr>
              <w:t xml:space="preserve">Updated weekly</w:t>
            </w:r>
          </w:p>
        </w:tc>
        <w:tc>
          <w:tcPr>
            <w:tcW w:w="2438" w:type="dxa"/>
          </w:tcPr>
          <w:p>
            <w:pPr>
              <w:pStyle w:val="Compact"/>
              <w:spacing w:after="20" w:before="20"/>
            </w:pPr>
            <w:r>
              <w:rPr>
                <w:sz w:val="17"/>
              </w:rPr>
              <w:t xml:space="preserve">Previewing the next monthly print</w:t>
            </w:r>
          </w:p>
        </w:tc>
        <w:tc>
          <w:tcPr>
            <w:tcW w:w="2438" w:type="dxa"/>
          </w:tcPr>
          <w:p>
            <w:pPr>
              <w:pStyle w:val="Compact"/>
              <w:spacing w:after="20" w:before="20"/>
            </w:pPr>
            <w:hyperlink r:id="rId112">
              <w:r>
                <w:rPr>
                  <w:rStyle w:val="Hyperlink"/>
                  <w:sz w:val="17"/>
                </w:rPr>
                <w:t xml:space="preserve">Freddie Mac – Daily Prepayment Report</w:t>
              </w:r>
            </w:hyperlink>
          </w:p>
        </w:tc>
      </w:tr>
      <w:tr>
        <w:trPr>
          <w:cantSplit/>
        </w:trPr>
        <w:tc>
          <w:tcPr>
            <w:tcW w:w="2438" w:type="dxa"/>
            <w:shd w:val="clear" w:color="auto" w:fill="EEF2F7"/>
          </w:tcPr>
          <w:p>
            <w:pPr>
              <w:pStyle w:val="Compact"/>
              <w:spacing w:after="20" w:before="20"/>
            </w:pPr>
            <w:r>
              <w:rPr>
                <w:sz w:val="17"/>
              </w:rPr>
              <w:t xml:space="preserve">Freddie Mac MBS disclosures</w:t>
            </w:r>
          </w:p>
        </w:tc>
        <w:tc>
          <w:tcPr>
            <w:tcW w:w="3485" w:type="dxa"/>
            <w:shd w:val="clear" w:color="auto" w:fill="EEF2F7"/>
          </w:tcPr>
          <w:p>
            <w:pPr>
              <w:pStyle w:val="Compact"/>
              <w:spacing w:after="20" w:before="20"/>
            </w:pPr>
            <w:r>
              <w:rPr>
                <w:sz w:val="17"/>
              </w:rPr>
              <w:t xml:space="preserve">Monthly pool/loan-level disclosure data</w:t>
            </w:r>
          </w:p>
        </w:tc>
        <w:tc>
          <w:tcPr>
            <w:tcW w:w="1394" w:type="dxa"/>
            <w:shd w:val="clear" w:color="auto" w:fill="EEF2F7"/>
          </w:tcPr>
          <w:p>
            <w:pPr>
              <w:pStyle w:val="Compact"/>
              <w:spacing w:after="20" w:before="20"/>
            </w:pPr>
            <w:r>
              <w:rPr>
                <w:sz w:val="17"/>
              </w:rPr>
              <w:t xml:space="preserve">Free w/ reg</w:t>
            </w:r>
          </w:p>
        </w:tc>
        <w:tc>
          <w:tcPr>
            <w:tcW w:w="1916" w:type="dxa"/>
            <w:shd w:val="clear" w:color="auto" w:fill="EEF2F7"/>
          </w:tcPr>
          <w:p>
            <w:pPr>
              <w:pStyle w:val="Compact"/>
              <w:spacing w:after="20" w:before="20"/>
            </w:pPr>
            <w:r>
              <w:rPr>
                <w:sz w:val="17"/>
              </w:rPr>
              <w:t xml:space="preserve">Monthly (factor date)</w:t>
            </w:r>
          </w:p>
        </w:tc>
        <w:tc>
          <w:tcPr>
            <w:tcW w:w="2438" w:type="dxa"/>
            <w:shd w:val="clear" w:color="auto" w:fill="EEF2F7"/>
          </w:tcPr>
          <w:p>
            <w:pPr>
              <w:pStyle w:val="Compact"/>
              <w:spacing w:after="20" w:before="20"/>
            </w:pPr>
            <w:r>
              <w:rPr>
                <w:sz w:val="17"/>
              </w:rPr>
              <w:t xml:space="preserve">Agency speeds</w:t>
            </w:r>
          </w:p>
        </w:tc>
        <w:tc>
          <w:tcPr>
            <w:tcW w:w="2438" w:type="dxa"/>
            <w:shd w:val="clear" w:color="auto" w:fill="EEF2F7"/>
          </w:tcPr>
          <w:p>
            <w:pPr>
              <w:pStyle w:val="Compact"/>
              <w:spacing w:after="20" w:before="20"/>
            </w:pPr>
            <w:hyperlink r:id="rId113">
              <w:r>
                <w:rPr>
                  <w:rStyle w:val="Hyperlink"/>
                  <w:sz w:val="17"/>
                </w:rPr>
                <w:t xml:space="preserve">capitalmarkets.freddiemac.com/mbs</w:t>
              </w:r>
            </w:hyperlink>
          </w:p>
        </w:tc>
      </w:tr>
      <w:tr>
        <w:trPr>
          <w:cantSplit/>
        </w:trPr>
        <w:tc>
          <w:tcPr>
            <w:tcW w:w="2438" w:type="dxa"/>
          </w:tcPr>
          <w:p>
            <w:pPr>
              <w:pStyle w:val="Compact"/>
              <w:spacing w:after="20" w:before="20"/>
            </w:pPr>
            <w:r>
              <w:rPr>
                <w:sz w:val="17"/>
              </w:rPr>
              <w:t xml:space="preserve">Ginnie Mae disclosure data</w:t>
            </w:r>
          </w:p>
        </w:tc>
        <w:tc>
          <w:tcPr>
            <w:tcW w:w="3485" w:type="dxa"/>
          </w:tcPr>
          <w:p>
            <w:pPr>
              <w:pStyle w:val="Compact"/>
              <w:spacing w:after="20" w:before="20"/>
            </w:pPr>
            <w:r>
              <w:rPr>
                <w:sz w:val="17"/>
              </w:rPr>
              <w:t xml:space="preserve">Pool/loan-level disclosures for GNMA MBS (FHA/VA speeds, buyouts)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Monthly (after conventional factors)</w:t>
            </w:r>
          </w:p>
        </w:tc>
        <w:tc>
          <w:tcPr>
            <w:tcW w:w="2438" w:type="dxa"/>
          </w:tcPr>
          <w:p>
            <w:pPr>
              <w:pStyle w:val="Compact"/>
              <w:spacing w:after="20" w:before="20"/>
            </w:pPr>
            <w:r>
              <w:rPr>
                <w:sz w:val="17"/>
              </w:rPr>
              <w:t xml:space="preserve">FHA/VA speeds, buyout activity</w:t>
            </w:r>
          </w:p>
        </w:tc>
        <w:tc>
          <w:tcPr>
            <w:tcW w:w="2438" w:type="dxa"/>
          </w:tcPr>
          <w:p>
            <w:pPr>
              <w:pStyle w:val="Compact"/>
              <w:spacing w:after="20" w:before="20"/>
            </w:pPr>
            <w:hyperlink r:id="rId114">
              <w:r>
                <w:rPr>
                  <w:rStyle w:val="Hyperlink"/>
                  <w:sz w:val="17"/>
                </w:rPr>
                <w:t xml:space="preserve">ginniemae.gov</w:t>
              </w:r>
            </w:hyperlink>
          </w:p>
        </w:tc>
      </w:tr>
      <w:tr>
        <w:trPr>
          <w:cantSplit/>
        </w:trPr>
        <w:tc>
          <w:tcPr>
            <w:tcW w:w="2438" w:type="dxa"/>
            <w:shd w:val="clear" w:color="auto" w:fill="EEF2F7"/>
          </w:tcPr>
          <w:p>
            <w:pPr>
              <w:pStyle w:val="Compact"/>
              <w:spacing w:after="20" w:before="20"/>
            </w:pPr>
            <w:r>
              <w:rPr>
                <w:sz w:val="17"/>
              </w:rPr>
              <w:t xml:space="preserve">ICE First Look</w:t>
            </w:r>
          </w:p>
        </w:tc>
        <w:tc>
          <w:tcPr>
            <w:tcW w:w="3485" w:type="dxa"/>
            <w:shd w:val="clear" w:color="auto" w:fill="EEF2F7"/>
          </w:tcPr>
          <w:p>
            <w:pPr>
              <w:pStyle w:val="Compact"/>
              <w:spacing w:after="20" w:before="20"/>
            </w:pPr>
            <w:r>
              <w:rPr>
                <w:sz w:val="17"/>
              </w:rPr>
              <w:t xml:space="preserve">National SMM and prepay trend for all loans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Monthly (fourth week of following month)</w:t>
            </w:r>
          </w:p>
        </w:tc>
        <w:tc>
          <w:tcPr>
            <w:tcW w:w="2438" w:type="dxa"/>
            <w:shd w:val="clear" w:color="auto" w:fill="EEF2F7"/>
          </w:tcPr>
          <w:p>
            <w:pPr>
              <w:pStyle w:val="Compact"/>
              <w:spacing w:after="20" w:before="20"/>
            </w:pPr>
            <w:r>
              <w:rPr>
                <w:sz w:val="17"/>
              </w:rPr>
              <w:t xml:space="preserve">Market-wide prepay trend in one number</w:t>
            </w:r>
          </w:p>
        </w:tc>
        <w:tc>
          <w:tcPr>
            <w:tcW w:w="2438" w:type="dxa"/>
            <w:shd w:val="clear" w:color="auto" w:fill="EEF2F7"/>
          </w:tcPr>
          <w:p>
            <w:pPr>
              <w:pStyle w:val="Compact"/>
              <w:spacing w:after="20" w:before="20"/>
            </w:pPr>
            <w:hyperlink r:id="rId92">
              <w:r>
                <w:rPr>
                  <w:rStyle w:val="Hyperlink"/>
                  <w:sz w:val="17"/>
                </w:rPr>
                <w:t xml:space="preserve">mortgagetech.ice.com – Data reports</w:t>
              </w:r>
            </w:hyperlink>
          </w:p>
        </w:tc>
      </w:tr>
      <w:tr>
        <w:trPr>
          <w:cantSplit/>
        </w:trPr>
        <w:tc>
          <w:tcPr>
            <w:tcW w:w="2438" w:type="dxa"/>
          </w:tcPr>
          <w:p>
            <w:pPr>
              <w:pStyle w:val="Compact"/>
              <w:spacing w:after="20" w:before="20"/>
            </w:pPr>
            <w:r>
              <w:rPr>
                <w:sz w:val="17"/>
              </w:rPr>
              <w:t xml:space="preserve">MBA Refinance Index (Weekly Applications Survey)</w:t>
            </w:r>
          </w:p>
        </w:tc>
        <w:tc>
          <w:tcPr>
            <w:tcW w:w="3485" w:type="dxa"/>
          </w:tcPr>
          <w:p>
            <w:pPr>
              <w:pStyle w:val="Compact"/>
              <w:spacing w:after="20" w:before="20"/>
            </w:pPr>
            <w:r>
              <w:rPr>
                <w:sz w:val="17"/>
              </w:rPr>
              <w:t xml:space="preserve">Weekly refi application index and refi share</w:t>
            </w:r>
          </w:p>
        </w:tc>
        <w:tc>
          <w:tcPr>
            <w:tcW w:w="1394" w:type="dxa"/>
          </w:tcPr>
          <w:p>
            <w:pPr>
              <w:pStyle w:val="Compact"/>
              <w:spacing w:after="20" w:before="20"/>
            </w:pPr>
            <w:r>
              <w:rPr>
                <w:sz w:val="17"/>
              </w:rPr>
              <w:t xml:space="preserve">Free headline</w:t>
            </w:r>
          </w:p>
        </w:tc>
        <w:tc>
          <w:tcPr>
            <w:tcW w:w="1916" w:type="dxa"/>
          </w:tcPr>
          <w:p>
            <w:pPr>
              <w:pStyle w:val="Compact"/>
              <w:spacing w:after="20" w:before="20"/>
            </w:pPr>
            <w:r>
              <w:rPr>
                <w:sz w:val="17"/>
              </w:rPr>
              <w:t xml:space="preserve">Wednesdays 6:00 am CT</w:t>
            </w:r>
          </w:p>
        </w:tc>
        <w:tc>
          <w:tcPr>
            <w:tcW w:w="2438" w:type="dxa"/>
          </w:tcPr>
          <w:p>
            <w:pPr>
              <w:pStyle w:val="Compact"/>
              <w:spacing w:after="20" w:before="20"/>
            </w:pPr>
            <w:r>
              <w:rPr>
                <w:sz w:val="17"/>
              </w:rPr>
              <w:t xml:space="preserve">Leading indicator for refi-driven speeds (lead of roughly one to two months to prints)</w:t>
            </w:r>
          </w:p>
        </w:tc>
        <w:tc>
          <w:tcPr>
            <w:tcW w:w="2438" w:type="dxa"/>
          </w:tcPr>
          <w:p>
            <w:pPr>
              <w:pStyle w:val="Compact"/>
              <w:spacing w:after="20" w:before="20"/>
            </w:pPr>
            <w:hyperlink r:id="rId48">
              <w:r>
                <w:rPr>
                  <w:rStyle w:val="Hyperlink"/>
                  <w:sz w:val="17"/>
                </w:rPr>
                <w:t xml:space="preserve">mba.org – Weekly Applications Survey</w:t>
              </w:r>
            </w:hyperlink>
          </w:p>
        </w:tc>
      </w:tr>
      <w:tr>
        <w:trPr>
          <w:cantSplit/>
        </w:trPr>
        <w:tc>
          <w:tcPr>
            <w:tcW w:w="2438" w:type="dxa"/>
            <w:shd w:val="clear" w:color="auto" w:fill="EEF2F7"/>
          </w:tcPr>
          <w:p>
            <w:pPr>
              <w:pStyle w:val="Compact"/>
              <w:spacing w:after="20" w:before="20"/>
            </w:pPr>
            <w:r>
              <w:rPr>
                <w:sz w:val="17"/>
              </w:rPr>
              <w:t xml:space="preserve">ICE eMBS</w:t>
            </w:r>
          </w:p>
        </w:tc>
        <w:tc>
          <w:tcPr>
            <w:tcW w:w="3485" w:type="dxa"/>
            <w:shd w:val="clear" w:color="auto" w:fill="EEF2F7"/>
          </w:tcPr>
          <w:p>
            <w:pPr>
              <w:pStyle w:val="Compact"/>
              <w:spacing w:after="20" w:before="20"/>
            </w:pPr>
            <w:r>
              <w:rPr>
                <w:sz w:val="17"/>
              </w:rPr>
              <w:t xml:space="preserve">Pre-calculated agency prepayment data, aggregations, pool/loan-level history</w:t>
            </w:r>
          </w:p>
        </w:tc>
        <w:tc>
          <w:tcPr>
            <w:tcW w:w="1394" w:type="dxa"/>
            <w:shd w:val="clear" w:color="auto" w:fill="EEF2F7"/>
          </w:tcPr>
          <w:p>
            <w:pPr>
              <w:pStyle w:val="Compact"/>
              <w:spacing w:after="20" w:before="20"/>
            </w:pPr>
            <w:r>
              <w:rPr>
                <w:sz w:val="17"/>
              </w:rPr>
              <w:t xml:space="preserve">Paid – Nice to have (Must-request if agency pools are a focus)</w:t>
            </w:r>
          </w:p>
        </w:tc>
        <w:tc>
          <w:tcPr>
            <w:tcW w:w="1916" w:type="dxa"/>
            <w:shd w:val="clear" w:color="auto" w:fill="EEF2F7"/>
          </w:tcPr>
          <w:p>
            <w:pPr>
              <w:pStyle w:val="Compact"/>
              <w:spacing w:after="20" w:before="20"/>
            </w:pPr>
            <w:r>
              <w:rPr>
                <w:sz w:val="17"/>
              </w:rPr>
              <w:t xml:space="preserve">Monthly + intra-month</w:t>
            </w:r>
          </w:p>
        </w:tc>
        <w:tc>
          <w:tcPr>
            <w:tcW w:w="2438" w:type="dxa"/>
            <w:shd w:val="clear" w:color="auto" w:fill="EEF2F7"/>
          </w:tcPr>
          <w:p>
            <w:pPr>
              <w:pStyle w:val="Compact"/>
              <w:spacing w:after="20" w:before="20"/>
            </w:pPr>
            <w:r>
              <w:rPr>
                <w:sz w:val="17"/>
              </w:rPr>
              <w:t xml:space="preserve">Standard agency prepay database</w:t>
            </w:r>
          </w:p>
        </w:tc>
        <w:tc>
          <w:tcPr>
            <w:tcW w:w="2438" w:type="dxa"/>
            <w:shd w:val="clear" w:color="auto" w:fill="EEF2F7"/>
          </w:tcPr>
          <w:p>
            <w:pPr>
              <w:pStyle w:val="Compact"/>
              <w:spacing w:after="20" w:before="20"/>
            </w:pPr>
            <w:hyperlink r:id="rId115">
              <w:r>
                <w:rPr>
                  <w:rStyle w:val="Hyperlink"/>
                  <w:sz w:val="17"/>
                </w:rPr>
                <w:t xml:space="preserve">embs.ice.com</w:t>
              </w:r>
            </w:hyperlink>
          </w:p>
        </w:tc>
      </w:tr>
      <w:tr>
        <w:trPr>
          <w:cantSplit/>
        </w:trPr>
        <w:tc>
          <w:tcPr>
            <w:tcW w:w="2438" w:type="dxa"/>
          </w:tcPr>
          <w:p>
            <w:pPr>
              <w:pStyle w:val="Compact"/>
              <w:spacing w:after="20" w:before="20"/>
            </w:pPr>
            <w:r>
              <w:rPr>
                <w:sz w:val="17"/>
              </w:rPr>
              <w:t xml:space="preserve">Recursion</w:t>
            </w:r>
          </w:p>
        </w:tc>
        <w:tc>
          <w:tcPr>
            <w:tcW w:w="3485" w:type="dxa"/>
          </w:tcPr>
          <w:p>
            <w:pPr>
              <w:pStyle w:val="Compact"/>
              <w:spacing w:after="20" w:before="20"/>
            </w:pPr>
            <w:r>
              <w:rPr>
                <w:sz w:val="17"/>
              </w:rPr>
              <w:t xml:space="preserve">Loan-level agency analytics (Cohort Analyzer), prepay/DQ/S-curves; blog with occasional free analysis</w:t>
            </w:r>
          </w:p>
        </w:tc>
        <w:tc>
          <w:tcPr>
            <w:tcW w:w="1394" w:type="dxa"/>
          </w:tcPr>
          <w:p>
            <w:pPr>
              <w:pStyle w:val="Compact"/>
              <w:spacing w:after="20" w:before="20"/>
            </w:pPr>
            <w:r>
              <w:rPr>
                <w:sz w:val="17"/>
              </w:rPr>
              <w:t xml:space="preserve">Paid (analytics); blog Free</w:t>
            </w:r>
          </w:p>
        </w:tc>
        <w:tc>
          <w:tcPr>
            <w:tcW w:w="1916" w:type="dxa"/>
          </w:tcPr>
          <w:p>
            <w:pPr>
              <w:pStyle w:val="Compact"/>
              <w:spacing w:after="20" w:before="20"/>
            </w:pPr>
            <w:r>
              <w:rPr>
                <w:sz w:val="17"/>
              </w:rPr>
              <w:t xml:space="preserve">Daily data updates for clients</w:t>
            </w:r>
          </w:p>
        </w:tc>
        <w:tc>
          <w:tcPr>
            <w:tcW w:w="2438" w:type="dxa"/>
          </w:tcPr>
          <w:p>
            <w:pPr>
              <w:pStyle w:val="Compact"/>
              <w:spacing w:after="20" w:before="20"/>
            </w:pPr>
            <w:r>
              <w:rPr>
                <w:sz w:val="17"/>
              </w:rPr>
              <w:t xml:space="preserve">Custom agency cohort analysis</w:t>
            </w:r>
          </w:p>
        </w:tc>
        <w:tc>
          <w:tcPr>
            <w:tcW w:w="2438" w:type="dxa"/>
          </w:tcPr>
          <w:p>
            <w:pPr>
              <w:pStyle w:val="Compact"/>
              <w:spacing w:after="20" w:before="20"/>
            </w:pPr>
            <w:hyperlink r:id="rId116">
              <w:r>
                <w:rPr>
                  <w:rStyle w:val="Hyperlink"/>
                  <w:sz w:val="17"/>
                </w:rPr>
                <w:t xml:space="preserve">recursionco.com</w:t>
              </w:r>
            </w:hyperlink>
          </w:p>
        </w:tc>
      </w:tr>
      <w:tr>
        <w:trPr>
          <w:cantSplit/>
        </w:trPr>
        <w:tc>
          <w:tcPr>
            <w:tcW w:w="2438" w:type="dxa"/>
            <w:shd w:val="clear" w:color="auto" w:fill="EEF2F7"/>
          </w:tcPr>
          <w:p>
            <w:pPr>
              <w:pStyle w:val="Compact"/>
              <w:spacing w:after="20" w:before="20"/>
            </w:pPr>
            <w:r>
              <w:rPr>
                <w:sz w:val="17"/>
              </w:rPr>
              <w:t xml:space="preserve">Dealer prepay research</w:t>
            </w:r>
          </w:p>
        </w:tc>
        <w:tc>
          <w:tcPr>
            <w:tcW w:w="3485" w:type="dxa"/>
            <w:shd w:val="clear" w:color="auto" w:fill="EEF2F7"/>
          </w:tcPr>
          <w:p>
            <w:pPr>
              <w:pStyle w:val="Compact"/>
              <w:spacing w:after="20" w:before="20"/>
            </w:pPr>
            <w:r>
              <w:rPr>
                <w:sz w:val="17"/>
              </w:rPr>
              <w:t xml:space="preserve">CPR-day recaps, prepay projections by coupon/vintage, model updates</w:t>
            </w:r>
          </w:p>
        </w:tc>
        <w:tc>
          <w:tcPr>
            <w:tcW w:w="1394" w:type="dxa"/>
            <w:shd w:val="clear" w:color="auto" w:fill="EEF2F7"/>
          </w:tcPr>
          <w:p>
            <w:pPr>
              <w:pStyle w:val="Compact"/>
              <w:spacing w:after="20" w:before="20"/>
            </w:pPr>
            <w:r>
              <w:rPr>
                <w:sz w:val="17"/>
              </w:rPr>
              <w:t xml:space="preserve">Free to clients</w:t>
            </w:r>
          </w:p>
        </w:tc>
        <w:tc>
          <w:tcPr>
            <w:tcW w:w="1916" w:type="dxa"/>
            <w:shd w:val="clear" w:color="auto" w:fill="EEF2F7"/>
          </w:tcPr>
          <w:p>
            <w:pPr>
              <w:pStyle w:val="Compact"/>
              <w:spacing w:after="20" w:before="20"/>
            </w:pPr>
            <w:r>
              <w:rPr>
                <w:sz w:val="17"/>
              </w:rPr>
              <w:t xml:space="preserve">Monthly (around factor dates) + weekly</w:t>
            </w:r>
          </w:p>
        </w:tc>
        <w:tc>
          <w:tcPr>
            <w:tcW w:w="2438" w:type="dxa"/>
            <w:shd w:val="clear" w:color="auto" w:fill="EEF2F7"/>
          </w:tcPr>
          <w:p>
            <w:pPr>
              <w:pStyle w:val="Compact"/>
              <w:spacing w:after="20" w:before="20"/>
            </w:pPr>
            <w:r>
              <w:rPr>
                <w:sz w:val="17"/>
              </w:rPr>
              <w:t xml:space="preserve">The consensus prepay outlook</w:t>
            </w:r>
          </w:p>
        </w:tc>
        <w:tc>
          <w:tcPr>
            <w:tcW w:w="2438" w:type="dxa"/>
            <w:shd w:val="clear" w:color="auto" w:fill="EEF2F7"/>
          </w:tcPr>
          <w:p>
            <w:pPr>
              <w:pStyle w:val="Compact"/>
              <w:spacing w:after="20" w:before="20"/>
            </w:pPr>
            <w:r>
              <w:rPr>
                <w:sz w:val="17"/>
              </w:rPr>
              <w:t xml:space="preserve">Ask broker-dealer coverage</w:t>
            </w:r>
          </w:p>
        </w:tc>
      </w:tr>
      <w:tr>
        <w:trPr>
          <w:cantSplit/>
        </w:trPr>
        <w:tc>
          <w:tcPr>
            <w:tcW w:w="2438" w:type="dxa"/>
          </w:tcPr>
          <w:p>
            <w:pPr>
              <w:pStyle w:val="Compact"/>
              <w:spacing w:after="20" w:before="20"/>
            </w:pPr>
            <w:r>
              <w:rPr>
                <w:sz w:val="17"/>
              </w:rPr>
              <w:t xml:space="preserve">Bloomberg</w:t>
            </w:r>
          </w:p>
        </w:tc>
        <w:tc>
          <w:tcPr>
            <w:tcW w:w="3485" w:type="dxa"/>
          </w:tcPr>
          <w:p>
            <w:pPr>
              <w:pStyle w:val="Compact"/>
              <w:spacing w:after="20" w:before="20"/>
            </w:pPr>
            <w:r>
              <w:rPr>
                <w:sz w:val="17"/>
              </w:rPr>
              <w:t xml:space="preserve">Pool and cohort speeds, prepay projections (e.g., in YAS/deal screens)</w:t>
            </w:r>
          </w:p>
        </w:tc>
        <w:tc>
          <w:tcPr>
            <w:tcW w:w="1394" w:type="dxa"/>
          </w:tcPr>
          <w:p>
            <w:pPr>
              <w:pStyle w:val="Compact"/>
              <w:spacing w:after="20" w:before="20"/>
            </w:pPr>
            <w:r>
              <w:rPr>
                <w:sz w:val="17"/>
              </w:rPr>
              <w:t xml:space="preserve">Paid – Must-request</w:t>
            </w:r>
          </w:p>
        </w:tc>
        <w:tc>
          <w:tcPr>
            <w:tcW w:w="1916" w:type="dxa"/>
          </w:tcPr>
          <w:p>
            <w:pPr>
              <w:pStyle w:val="Compact"/>
              <w:spacing w:after="20" w:before="20"/>
            </w:pPr>
            <w:r>
              <w:rPr>
                <w:sz w:val="17"/>
              </w:rPr>
              <w:t xml:space="preserve">Monthly / real time</w:t>
            </w:r>
          </w:p>
        </w:tc>
        <w:tc>
          <w:tcPr>
            <w:tcW w:w="2438" w:type="dxa"/>
          </w:tcPr>
          <w:p>
            <w:pPr>
              <w:pStyle w:val="Compact"/>
              <w:spacing w:after="20" w:before="20"/>
            </w:pPr>
            <w:r>
              <w:rPr>
                <w:sz w:val="17"/>
              </w:rPr>
              <w:t xml:space="preserve">Bond-specific speeds</w:t>
            </w:r>
          </w:p>
        </w:tc>
        <w:tc>
          <w:tcPr>
            <w:tcW w:w="2438" w:type="dxa"/>
          </w:tcPr>
          <w:p>
            <w:pPr>
              <w:pStyle w:val="Compact"/>
              <w:spacing w:after="20" w:before="20"/>
            </w:pPr>
            <w:hyperlink r:id="rId19">
              <w:r>
                <w:rPr>
                  <w:rStyle w:val="Hyperlink"/>
                  <w:sz w:val="17"/>
                </w:rPr>
                <w:t xml:space="preserve">bloomberg.com/professional</w:t>
              </w:r>
            </w:hyperlink>
          </w:p>
        </w:tc>
      </w:tr>
      <w:tr>
        <w:trPr>
          <w:cantSplit/>
        </w:trPr>
        <w:tc>
          <w:tcPr>
            <w:tcW w:w="2438" w:type="dxa"/>
            <w:shd w:val="clear" w:color="auto" w:fill="EEF2F7"/>
          </w:tcPr>
          <w:p>
            <w:pPr>
              <w:pStyle w:val="Compact"/>
              <w:spacing w:after="20" w:before="20"/>
            </w:pPr>
            <w:r>
              <w:rPr>
                <w:sz w:val="17"/>
              </w:rPr>
              <w:t xml:space="preserve">dv01 / Intex / remit reports</w:t>
            </w:r>
          </w:p>
        </w:tc>
        <w:tc>
          <w:tcPr>
            <w:tcW w:w="3485" w:type="dxa"/>
            <w:shd w:val="clear" w:color="auto" w:fill="EEF2F7"/>
          </w:tcPr>
          <w:p>
            <w:pPr>
              <w:pStyle w:val="Compact"/>
              <w:spacing w:after="20" w:before="20"/>
            </w:pPr>
            <w:r>
              <w:rPr>
                <w:sz w:val="17"/>
              </w:rPr>
              <w:t xml:space="preserve">Non-agency voluntary prepay (CRR/CPR) by deal</w:t>
            </w:r>
          </w:p>
        </w:tc>
        <w:tc>
          <w:tcPr>
            <w:tcW w:w="1394" w:type="dxa"/>
            <w:shd w:val="clear" w:color="auto" w:fill="EEF2F7"/>
          </w:tcPr>
          <w:p>
            <w:pPr>
              <w:pStyle w:val="Compact"/>
              <w:spacing w:after="20" w:before="20"/>
            </w:pPr>
            <w:r>
              <w:rPr>
                <w:sz w:val="17"/>
              </w:rPr>
              <w:t xml:space="preserve">Paid (dv01, Intex); remits free to investors</w:t>
            </w:r>
          </w:p>
        </w:tc>
        <w:tc>
          <w:tcPr>
            <w:tcW w:w="1916" w:type="dxa"/>
            <w:shd w:val="clear" w:color="auto" w:fill="EEF2F7"/>
          </w:tcPr>
          <w:p>
            <w:pPr>
              <w:pStyle w:val="Compact"/>
              <w:spacing w:after="20" w:before="20"/>
            </w:pPr>
            <w:r>
              <w:rPr>
                <w:sz w:val="17"/>
              </w:rPr>
              <w:t xml:space="preserve">Monthly</w:t>
            </w:r>
          </w:p>
        </w:tc>
        <w:tc>
          <w:tcPr>
            <w:tcW w:w="2438" w:type="dxa"/>
            <w:shd w:val="clear" w:color="auto" w:fill="EEF2F7"/>
          </w:tcPr>
          <w:p>
            <w:pPr>
              <w:pStyle w:val="Compact"/>
              <w:spacing w:after="20" w:before="20"/>
            </w:pPr>
            <w:r>
              <w:rPr>
                <w:sz w:val="17"/>
              </w:rPr>
              <w:t xml:space="preserve">Non-QM/jumbo/CES speeds</w:t>
            </w:r>
          </w:p>
        </w:tc>
        <w:tc>
          <w:tcPr>
            <w:tcW w:w="2438" w:type="dxa"/>
            <w:shd w:val="clear" w:color="auto" w:fill="EEF2F7"/>
          </w:tcPr>
          <w:p>
            <w:pPr>
              <w:pStyle w:val="Compact"/>
              <w:spacing w:after="20" w:before="20"/>
            </w:pPr>
            <w:hyperlink r:id="rId103">
              <w:r>
                <w:rPr>
                  <w:rStyle w:val="Hyperlink"/>
                  <w:sz w:val="17"/>
                </w:rPr>
                <w:t xml:space="preserve">dv01.co</w:t>
              </w:r>
            </w:hyperlink>
            <w:r>
              <w:rPr>
                <w:sz w:val="17"/>
              </w:rPr>
              <w:t xml:space="preserve">;</w:t>
            </w:r>
            <w:r>
              <w:rPr>
                <w:sz w:val="17"/>
              </w:rPr>
              <w:t xml:space="preserve"> </w:t>
            </w:r>
            <w:hyperlink r:id="rId68">
              <w:r>
                <w:rPr>
                  <w:rStyle w:val="Hyperlink"/>
                  <w:sz w:val="17"/>
                </w:rPr>
                <w:t xml:space="preserve">intex.com</w:t>
              </w:r>
            </w:hyperlink>
          </w:p>
        </w:tc>
      </w:tr>
    </w:tbl>
    <w:p>
      <w:pPr>
        <w:pStyle w:val="BodyText"/>
      </w:pPr>
      <w:r>
        <w:rPr>
          <w:b/>
          <w:bCs/>
        </w:rPr>
        <w:t xml:space="preserve">Framework for</w:t>
      </w:r>
      <w:r>
        <w:rPr>
          <w:b/>
          <w:bCs/>
        </w:rPr>
        <w:t xml:space="preserve"> </w:t>
      </w:r>
      <w:r>
        <w:rPr>
          <w:b/>
          <w:bCs/>
        </w:rPr>
        <w:t xml:space="preserve">“what’s the prepay outlook?”</w:t>
      </w:r>
    </w:p>
    <w:p>
      <w:pPr>
        <w:pStyle w:val="Compact"/>
        <w:numPr>
          <w:ilvl w:val="0"/>
          <w:numId w:val="1008"/>
        </w:numPr>
      </w:pPr>
      <w:r>
        <w:rPr>
          <w:i/>
          <w:iCs/>
        </w:rPr>
        <w:t xml:space="preserve">Last print:</w:t>
      </w:r>
      <w:r>
        <w:t xml:space="preserve"> </w:t>
      </w:r>
      <w:r>
        <w:t xml:space="preserve">quote the latest monthly CPR for the relevant cohort (agency from GSE disclosures or dealer CPR-day notes; non-agency from dv01/Intex/remits) and ICE’s national SMM.</w:t>
      </w:r>
    </w:p>
    <w:p>
      <w:pPr>
        <w:pStyle w:val="Compact"/>
        <w:numPr>
          <w:ilvl w:val="0"/>
          <w:numId w:val="1008"/>
        </w:numPr>
      </w:pPr>
      <w:r>
        <w:rPr>
          <w:i/>
          <w:iCs/>
        </w:rPr>
        <w:t xml:space="preserve">Refi incentive:</w:t>
      </w:r>
      <w:r>
        <w:t xml:space="preserve"> </w:t>
      </w:r>
      <w:r>
        <w:t xml:space="preserve">compare the current mortgage rate (MND/OBMMI) with the WAC of the pool or deal. Loans roughly 50 bp or more in the money are the usual reference point for meaningful refi incentive; state the assumption you use.</w:t>
      </w:r>
    </w:p>
    <w:p>
      <w:pPr>
        <w:pStyle w:val="Compact"/>
        <w:numPr>
          <w:ilvl w:val="0"/>
          <w:numId w:val="1008"/>
        </w:numPr>
      </w:pPr>
      <w:r>
        <w:rPr>
          <w:i/>
          <w:iCs/>
        </w:rPr>
        <w:t xml:space="preserve">Leading indicators:</w:t>
      </w:r>
      <w:r>
        <w:t xml:space="preserve"> </w:t>
      </w:r>
      <w:r>
        <w:t xml:space="preserve">MBA Refi Index trend over the last four weeks, Fannie/Freddie intra-month daily prepay reports.</w:t>
      </w:r>
    </w:p>
    <w:p>
      <w:pPr>
        <w:pStyle w:val="Compact"/>
        <w:numPr>
          <w:ilvl w:val="0"/>
          <w:numId w:val="1008"/>
        </w:numPr>
      </w:pPr>
      <w:r>
        <w:rPr>
          <w:i/>
          <w:iCs/>
        </w:rPr>
        <w:t xml:space="preserve">Turnover:</w:t>
      </w:r>
      <w:r>
        <w:t xml:space="preserve"> </w:t>
      </w:r>
      <w:r>
        <w:t xml:space="preserve">existing home sales and pending home sales (Section 8); seasonality (spring/summer faster, winter slower); day count in the month.</w:t>
      </w:r>
    </w:p>
    <w:p>
      <w:pPr>
        <w:pStyle w:val="Compact"/>
        <w:numPr>
          <w:ilvl w:val="0"/>
          <w:numId w:val="1008"/>
        </w:numPr>
      </w:pPr>
      <w:r>
        <w:rPr>
          <w:i/>
          <w:iCs/>
        </w:rPr>
        <w:t xml:space="preserve">Non-agency specifics:</w:t>
      </w:r>
      <w:r>
        <w:t xml:space="preserve"> </w:t>
      </w:r>
      <w:r>
        <w:t xml:space="preserve">prepayment penalties (common in DSCR), borrower refinance ability (Non-QM credit cure can raise speeds), call rights (Non-QM deals are often callable after a few years and redemption economics depend on spread levels; KBRA publishes research on Non-QM redemptions).</w:t>
      </w:r>
    </w:p>
    <w:bookmarkEnd w:id="117"/>
    <w:bookmarkStart w:id="148" w:name="housing-and-macro-fundamentals"/>
    <w:p>
      <w:pPr>
        <w:pStyle w:val="Heading1"/>
      </w:pPr>
      <w:r>
        <w:t xml:space="preserve">8. Housing and macro fundamentals</w:t>
      </w:r>
    </w:p>
    <w:p>
      <w:pPr>
        <w:pStyle w:val="FirstParagraph"/>
      </w:pPr>
      <w:r>
        <w:t xml:space="preserve">Home prices drive loss severity and CLTV (key for CES/HELOC and RTL exit values); rents drive DSCR coverage; sales volume drives turnover prepayments; and the macro calendar drives rates.</w:t>
      </w:r>
    </w:p>
    <w:bookmarkStart w:id="122" w:name="home-prices"/>
    <w:p>
      <w:pPr>
        <w:pStyle w:val="Heading2"/>
      </w:pPr>
      <w:r>
        <w:t xml:space="preserve">8.1 Home prices</w:t>
      </w:r>
    </w:p>
    <w:p>
      <w:pPr>
        <w:pStyle w:val="TableCaption"/>
      </w:pPr>
      <w:r>
        <w:t xml:space="preserve">Home price sources.</w:t>
      </w:r>
    </w:p>
    <w:tbl>
      <w:tblPr>
        <w:tblStyle w:val="Table"/>
        <w:tblLayout w:type="fixed"/>
        <w:tblLook w:firstRow="1" w:lastRow="0" w:firstColumn="0" w:lastColumn="0" w:noHBand="0" w:noVBand="0" w:val="0020"/>
        <w:tblCaption w:val="Home price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S&amp;P Cotality Case-Shiller (renamed from S&amp;P CoreLogic Case-Shiller in March 2025)</w:t>
            </w:r>
          </w:p>
        </w:tc>
        <w:tc>
          <w:tcPr>
            <w:tcW w:w="3485" w:type="dxa"/>
          </w:tcPr>
          <w:p>
            <w:pPr>
              <w:pStyle w:val="Compact"/>
              <w:spacing w:after="20" w:before="20"/>
            </w:pPr>
            <w:r>
              <w:rPr>
                <w:sz w:val="17"/>
              </w:rPr>
              <w:t xml:space="preserve">National, 10-/20-city composites and metro repeat-sales indices, SA and NSA</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Last Tuesday of the month, 8:00 am CT; about a two-month lag</w:t>
            </w:r>
          </w:p>
        </w:tc>
        <w:tc>
          <w:tcPr>
            <w:tcW w:w="2438" w:type="dxa"/>
          </w:tcPr>
          <w:p>
            <w:pPr>
              <w:pStyle w:val="Compact"/>
              <w:spacing w:after="20" w:before="20"/>
            </w:pPr>
            <w:r>
              <w:rPr>
                <w:sz w:val="17"/>
              </w:rPr>
              <w:t xml:space="preserve">The most-quoted HPA number; metro detail</w:t>
            </w:r>
          </w:p>
        </w:tc>
        <w:tc>
          <w:tcPr>
            <w:tcW w:w="2438" w:type="dxa"/>
          </w:tcPr>
          <w:p>
            <w:pPr>
              <w:pStyle w:val="Compact"/>
              <w:spacing w:after="20" w:before="20"/>
            </w:pPr>
            <w:hyperlink r:id="rId118">
              <w:r>
                <w:rPr>
                  <w:rStyle w:val="Hyperlink"/>
                  <w:sz w:val="17"/>
                </w:rPr>
                <w:t xml:space="preserve">spglobal.com – S&amp;P Dow Jones Indices</w:t>
              </w:r>
            </w:hyperlink>
            <w:r>
              <w:rPr>
                <w:sz w:val="17"/>
              </w:rPr>
              <w:t xml:space="preserve">; FRED CSUSHPINSA / CSUSHPISA</w:t>
            </w:r>
          </w:p>
        </w:tc>
      </w:tr>
      <w:tr>
        <w:trPr>
          <w:cantSplit/>
        </w:trPr>
        <w:tc>
          <w:tcPr>
            <w:tcW w:w="2438" w:type="dxa"/>
            <w:shd w:val="clear" w:color="auto" w:fill="EEF2F7"/>
          </w:tcPr>
          <w:p>
            <w:pPr>
              <w:pStyle w:val="Compact"/>
              <w:spacing w:after="20" w:before="20"/>
            </w:pPr>
            <w:r>
              <w:rPr>
                <w:sz w:val="17"/>
              </w:rPr>
              <w:t xml:space="preserve">FHFA House Price Index</w:t>
            </w:r>
          </w:p>
        </w:tc>
        <w:tc>
          <w:tcPr>
            <w:tcW w:w="3485" w:type="dxa"/>
            <w:shd w:val="clear" w:color="auto" w:fill="EEF2F7"/>
          </w:tcPr>
          <w:p>
            <w:pPr>
              <w:pStyle w:val="Compact"/>
              <w:spacing w:after="20" w:before="20"/>
            </w:pPr>
            <w:r>
              <w:rPr>
                <w:sz w:val="17"/>
              </w:rPr>
              <w:t xml:space="preserve">Purchase-only and all-transactions HPI; national, census division, state, metro</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Monthly purchase-only index typically released with Case-Shiller at 8:00 am CT; quarterly detail</w:t>
            </w:r>
          </w:p>
        </w:tc>
        <w:tc>
          <w:tcPr>
            <w:tcW w:w="2438" w:type="dxa"/>
            <w:shd w:val="clear" w:color="auto" w:fill="EEF2F7"/>
          </w:tcPr>
          <w:p>
            <w:pPr>
              <w:pStyle w:val="Compact"/>
              <w:spacing w:after="20" w:before="20"/>
            </w:pPr>
            <w:r>
              <w:rPr>
                <w:sz w:val="17"/>
              </w:rPr>
              <w:t xml:space="preserve">Conforming-loan HPA; state/metro</w:t>
            </w:r>
          </w:p>
        </w:tc>
        <w:tc>
          <w:tcPr>
            <w:tcW w:w="2438" w:type="dxa"/>
            <w:shd w:val="clear" w:color="auto" w:fill="EEF2F7"/>
          </w:tcPr>
          <w:p>
            <w:pPr>
              <w:pStyle w:val="Compact"/>
              <w:spacing w:after="20" w:before="20"/>
            </w:pPr>
            <w:hyperlink r:id="rId119">
              <w:r>
                <w:rPr>
                  <w:rStyle w:val="Hyperlink"/>
                  <w:sz w:val="17"/>
                </w:rPr>
                <w:t xml:space="preserve">fhfa.gov – HPI</w:t>
              </w:r>
            </w:hyperlink>
            <w:r>
              <w:rPr>
                <w:sz w:val="17"/>
              </w:rPr>
              <w:t xml:space="preserve">; FRED HPIPONM226S, USSTHPI</w:t>
            </w:r>
          </w:p>
        </w:tc>
      </w:tr>
      <w:tr>
        <w:trPr>
          <w:cantSplit/>
        </w:trPr>
        <w:tc>
          <w:tcPr>
            <w:tcW w:w="2438" w:type="dxa"/>
          </w:tcPr>
          <w:p>
            <w:pPr>
              <w:pStyle w:val="Compact"/>
              <w:spacing w:after="20" w:before="20"/>
            </w:pPr>
            <w:r>
              <w:rPr>
                <w:sz w:val="17"/>
              </w:rPr>
              <w:t xml:space="preserve">ICE Home Price Index</w:t>
            </w:r>
          </w:p>
        </w:tc>
        <w:tc>
          <w:tcPr>
            <w:tcW w:w="3485" w:type="dxa"/>
          </w:tcPr>
          <w:p>
            <w:pPr>
              <w:pStyle w:val="Compact"/>
              <w:spacing w:after="20" w:before="20"/>
            </w:pPr>
            <w:r>
              <w:rPr>
                <w:sz w:val="17"/>
              </w:rPr>
              <w:t xml:space="preserve">Monthly HPA in the Mortgage Monitor</w:t>
            </w:r>
          </w:p>
        </w:tc>
        <w:tc>
          <w:tcPr>
            <w:tcW w:w="1394" w:type="dxa"/>
          </w:tcPr>
          <w:p>
            <w:pPr>
              <w:pStyle w:val="Compact"/>
              <w:spacing w:after="20" w:before="20"/>
            </w:pPr>
            <w:r>
              <w:rPr>
                <w:sz w:val="17"/>
              </w:rPr>
              <w:t xml:space="preserve">Free (report) / Paid (data)</w:t>
            </w:r>
          </w:p>
        </w:tc>
        <w:tc>
          <w:tcPr>
            <w:tcW w:w="1916" w:type="dxa"/>
          </w:tcPr>
          <w:p>
            <w:pPr>
              <w:pStyle w:val="Compact"/>
              <w:spacing w:after="20" w:before="20"/>
            </w:pPr>
            <w:r>
              <w:rPr>
                <w:sz w:val="17"/>
              </w:rPr>
              <w:t xml:space="preserve">Monthly</w:t>
            </w:r>
          </w:p>
        </w:tc>
        <w:tc>
          <w:tcPr>
            <w:tcW w:w="2438" w:type="dxa"/>
          </w:tcPr>
          <w:p>
            <w:pPr>
              <w:pStyle w:val="Compact"/>
              <w:spacing w:after="20" w:before="20"/>
            </w:pPr>
            <w:r>
              <w:rPr>
                <w:sz w:val="17"/>
              </w:rPr>
              <w:t xml:space="preserve">Timelier HPA read</w:t>
            </w:r>
          </w:p>
        </w:tc>
        <w:tc>
          <w:tcPr>
            <w:tcW w:w="2438" w:type="dxa"/>
          </w:tcPr>
          <w:p>
            <w:pPr>
              <w:pStyle w:val="Compact"/>
              <w:spacing w:after="20" w:before="20"/>
            </w:pPr>
            <w:hyperlink r:id="rId92">
              <w:r>
                <w:rPr>
                  <w:rStyle w:val="Hyperlink"/>
                  <w:sz w:val="17"/>
                </w:rPr>
                <w:t xml:space="preserve">mortgagetech.ice.com – Data reports</w:t>
              </w:r>
            </w:hyperlink>
          </w:p>
        </w:tc>
      </w:tr>
      <w:tr>
        <w:trPr>
          <w:cantSplit/>
        </w:trPr>
        <w:tc>
          <w:tcPr>
            <w:tcW w:w="2438" w:type="dxa"/>
            <w:shd w:val="clear" w:color="auto" w:fill="EEF2F7"/>
          </w:tcPr>
          <w:p>
            <w:pPr>
              <w:pStyle w:val="Compact"/>
              <w:spacing w:after="20" w:before="20"/>
            </w:pPr>
            <w:r>
              <w:rPr>
                <w:sz w:val="17"/>
              </w:rPr>
              <w:t xml:space="preserve">Cotality HPI and insights</w:t>
            </w:r>
          </w:p>
        </w:tc>
        <w:tc>
          <w:tcPr>
            <w:tcW w:w="3485" w:type="dxa"/>
            <w:shd w:val="clear" w:color="auto" w:fill="EEF2F7"/>
          </w:tcPr>
          <w:p>
            <w:pPr>
              <w:pStyle w:val="Compact"/>
              <w:spacing w:after="20" w:before="20"/>
            </w:pPr>
            <w:r>
              <w:rPr>
                <w:sz w:val="17"/>
              </w:rPr>
              <w:t xml:space="preserve">HPI and forecast commentary</w:t>
            </w:r>
          </w:p>
        </w:tc>
        <w:tc>
          <w:tcPr>
            <w:tcW w:w="1394" w:type="dxa"/>
            <w:shd w:val="clear" w:color="auto" w:fill="EEF2F7"/>
          </w:tcPr>
          <w:p>
            <w:pPr>
              <w:pStyle w:val="Compact"/>
              <w:spacing w:after="20" w:before="20"/>
            </w:pPr>
            <w:r>
              <w:rPr>
                <w:sz w:val="17"/>
              </w:rPr>
              <w:t xml:space="preserve">Free commentary; data Paid</w:t>
            </w:r>
          </w:p>
        </w:tc>
        <w:tc>
          <w:tcPr>
            <w:tcW w:w="1916" w:type="dxa"/>
            <w:shd w:val="clear" w:color="auto" w:fill="EEF2F7"/>
          </w:tcPr>
          <w:p>
            <w:pPr>
              <w:pStyle w:val="Compact"/>
              <w:spacing w:after="20" w:before="20"/>
            </w:pPr>
            <w:r>
              <w:rPr>
                <w:sz w:val="17"/>
              </w:rPr>
              <w:t xml:space="preserve">Monthly</w:t>
            </w:r>
          </w:p>
        </w:tc>
        <w:tc>
          <w:tcPr>
            <w:tcW w:w="2438" w:type="dxa"/>
            <w:shd w:val="clear" w:color="auto" w:fill="EEF2F7"/>
          </w:tcPr>
          <w:p>
            <w:pPr>
              <w:pStyle w:val="Compact"/>
              <w:spacing w:after="20" w:before="20"/>
            </w:pPr>
            <w:r>
              <w:rPr>
                <w:sz w:val="17"/>
              </w:rPr>
              <w:t xml:space="preserve">Forecasted HPA context</w:t>
            </w:r>
          </w:p>
        </w:tc>
        <w:tc>
          <w:tcPr>
            <w:tcW w:w="2438" w:type="dxa"/>
            <w:shd w:val="clear" w:color="auto" w:fill="EEF2F7"/>
          </w:tcPr>
          <w:p>
            <w:pPr>
              <w:pStyle w:val="Compact"/>
              <w:spacing w:after="20" w:before="20"/>
            </w:pPr>
            <w:hyperlink r:id="rId120">
              <w:r>
                <w:rPr>
                  <w:rStyle w:val="Hyperlink"/>
                  <w:sz w:val="17"/>
                </w:rPr>
                <w:t xml:space="preserve">cotality.com/insights</w:t>
              </w:r>
            </w:hyperlink>
          </w:p>
        </w:tc>
      </w:tr>
      <w:tr>
        <w:trPr>
          <w:cantSplit/>
        </w:trPr>
        <w:tc>
          <w:tcPr>
            <w:tcW w:w="2438" w:type="dxa"/>
          </w:tcPr>
          <w:p>
            <w:pPr>
              <w:pStyle w:val="Compact"/>
              <w:spacing w:after="20" w:before="20"/>
            </w:pPr>
            <w:r>
              <w:rPr>
                <w:sz w:val="17"/>
              </w:rPr>
              <w:t xml:space="preserve">Zillow Research data</w:t>
            </w:r>
          </w:p>
        </w:tc>
        <w:tc>
          <w:tcPr>
            <w:tcW w:w="3485" w:type="dxa"/>
          </w:tcPr>
          <w:p>
            <w:pPr>
              <w:pStyle w:val="Compact"/>
              <w:spacing w:after="20" w:before="20"/>
            </w:pPr>
            <w:r>
              <w:rPr>
                <w:sz w:val="17"/>
              </w:rPr>
              <w:t xml:space="preserve">ZHVI (home values), ZORI (rents), inventory, forecasts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Monthly</w:t>
            </w:r>
          </w:p>
        </w:tc>
        <w:tc>
          <w:tcPr>
            <w:tcW w:w="2438" w:type="dxa"/>
          </w:tcPr>
          <w:p>
            <w:pPr>
              <w:pStyle w:val="Compact"/>
              <w:spacing w:after="20" w:before="20"/>
            </w:pPr>
            <w:r>
              <w:rPr>
                <w:sz w:val="17"/>
              </w:rPr>
              <w:t xml:space="preserve">Metro-level values and rents</w:t>
            </w:r>
          </w:p>
        </w:tc>
        <w:tc>
          <w:tcPr>
            <w:tcW w:w="2438" w:type="dxa"/>
          </w:tcPr>
          <w:p>
            <w:pPr>
              <w:pStyle w:val="Compact"/>
              <w:spacing w:after="20" w:before="20"/>
            </w:pPr>
            <w:hyperlink r:id="rId121">
              <w:r>
                <w:rPr>
                  <w:rStyle w:val="Hyperlink"/>
                  <w:sz w:val="17"/>
                </w:rPr>
                <w:t xml:space="preserve">zillow.com/research/data</w:t>
              </w:r>
            </w:hyperlink>
          </w:p>
        </w:tc>
      </w:tr>
    </w:tbl>
    <w:bookmarkEnd w:id="122"/>
    <w:bookmarkStart w:id="133" w:name="sales-construction-inventory-rents"/>
    <w:p>
      <w:pPr>
        <w:pStyle w:val="Heading2"/>
      </w:pPr>
      <w:r>
        <w:t xml:space="preserve">8.2 Sales, construction, inventory, rents</w:t>
      </w:r>
    </w:p>
    <w:p>
      <w:pPr>
        <w:pStyle w:val="TableCaption"/>
      </w:pPr>
      <w:r>
        <w:t xml:space="preserve">Housing activity and rent sources.</w:t>
      </w:r>
    </w:p>
    <w:tbl>
      <w:tblPr>
        <w:tblStyle w:val="Table"/>
        <w:tblLayout w:type="fixed"/>
        <w:tblLook w:firstRow="1" w:lastRow="0" w:firstColumn="0" w:lastColumn="0" w:noHBand="0" w:noVBand="0" w:val="0020"/>
        <w:tblCaption w:val="Housing activity and rent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NAR Existing-Home Sales</w:t>
            </w:r>
          </w:p>
        </w:tc>
        <w:tc>
          <w:tcPr>
            <w:tcW w:w="3485" w:type="dxa"/>
          </w:tcPr>
          <w:p>
            <w:pPr>
              <w:pStyle w:val="Compact"/>
              <w:spacing w:after="20" w:before="20"/>
            </w:pPr>
            <w:r>
              <w:rPr>
                <w:sz w:val="17"/>
              </w:rPr>
              <w:t xml:space="preserve">SAAR sales, median price, inventory, months’ supply</w:t>
            </w:r>
          </w:p>
        </w:tc>
        <w:tc>
          <w:tcPr>
            <w:tcW w:w="1394" w:type="dxa"/>
          </w:tcPr>
          <w:p>
            <w:pPr>
              <w:pStyle w:val="Compact"/>
              <w:spacing w:after="20" w:before="20"/>
            </w:pPr>
            <w:r>
              <w:rPr>
                <w:sz w:val="17"/>
              </w:rPr>
              <w:t xml:space="preserve">Free headline</w:t>
            </w:r>
          </w:p>
        </w:tc>
        <w:tc>
          <w:tcPr>
            <w:tcW w:w="1916" w:type="dxa"/>
          </w:tcPr>
          <w:p>
            <w:pPr>
              <w:pStyle w:val="Compact"/>
              <w:spacing w:after="20" w:before="20"/>
            </w:pPr>
            <w:r>
              <w:rPr>
                <w:sz w:val="17"/>
              </w:rPr>
              <w:t xml:space="preserve">Monthly, 9:00 am CT, around the fourth week</w:t>
            </w:r>
          </w:p>
        </w:tc>
        <w:tc>
          <w:tcPr>
            <w:tcW w:w="2438" w:type="dxa"/>
          </w:tcPr>
          <w:p>
            <w:pPr>
              <w:pStyle w:val="Compact"/>
              <w:spacing w:after="20" w:before="20"/>
            </w:pPr>
            <w:r>
              <w:rPr>
                <w:sz w:val="17"/>
              </w:rPr>
              <w:t xml:space="preserve">Turnover (prepay) and price context</w:t>
            </w:r>
          </w:p>
        </w:tc>
        <w:tc>
          <w:tcPr>
            <w:tcW w:w="2438" w:type="dxa"/>
          </w:tcPr>
          <w:p>
            <w:pPr>
              <w:pStyle w:val="Compact"/>
              <w:spacing w:after="20" w:before="20"/>
            </w:pPr>
            <w:hyperlink r:id="rId123">
              <w:r>
                <w:rPr>
                  <w:rStyle w:val="Hyperlink"/>
                  <w:sz w:val="17"/>
                </w:rPr>
                <w:t xml:space="preserve">nar.realtor – Existing-Home Sales</w:t>
              </w:r>
            </w:hyperlink>
          </w:p>
        </w:tc>
      </w:tr>
      <w:tr>
        <w:trPr>
          <w:cantSplit/>
        </w:trPr>
        <w:tc>
          <w:tcPr>
            <w:tcW w:w="2438" w:type="dxa"/>
            <w:shd w:val="clear" w:color="auto" w:fill="EEF2F7"/>
          </w:tcPr>
          <w:p>
            <w:pPr>
              <w:pStyle w:val="Compact"/>
              <w:spacing w:after="20" w:before="20"/>
            </w:pPr>
            <w:r>
              <w:rPr>
                <w:sz w:val="17"/>
              </w:rPr>
              <w:t xml:space="preserve">NAR Pending Home Sales</w:t>
            </w:r>
          </w:p>
        </w:tc>
        <w:tc>
          <w:tcPr>
            <w:tcW w:w="3485" w:type="dxa"/>
            <w:shd w:val="clear" w:color="auto" w:fill="EEF2F7"/>
          </w:tcPr>
          <w:p>
            <w:pPr>
              <w:pStyle w:val="Compact"/>
              <w:spacing w:after="20" w:before="20"/>
            </w:pPr>
            <w:r>
              <w:rPr>
                <w:sz w:val="17"/>
              </w:rPr>
              <w:t xml:space="preserve">Contract signings index (leads existing sales)</w:t>
            </w:r>
          </w:p>
        </w:tc>
        <w:tc>
          <w:tcPr>
            <w:tcW w:w="1394" w:type="dxa"/>
            <w:shd w:val="clear" w:color="auto" w:fill="EEF2F7"/>
          </w:tcPr>
          <w:p>
            <w:pPr>
              <w:pStyle w:val="Compact"/>
              <w:spacing w:after="20" w:before="20"/>
            </w:pPr>
            <w:r>
              <w:rPr>
                <w:sz w:val="17"/>
              </w:rPr>
              <w:t xml:space="preserve">Free headline</w:t>
            </w:r>
          </w:p>
        </w:tc>
        <w:tc>
          <w:tcPr>
            <w:tcW w:w="1916" w:type="dxa"/>
            <w:shd w:val="clear" w:color="auto" w:fill="EEF2F7"/>
          </w:tcPr>
          <w:p>
            <w:pPr>
              <w:pStyle w:val="Compact"/>
              <w:spacing w:after="20" w:before="20"/>
            </w:pPr>
            <w:r>
              <w:rPr>
                <w:sz w:val="17"/>
              </w:rPr>
              <w:t xml:space="preserve">Monthly, 9:00 am CT</w:t>
            </w:r>
          </w:p>
        </w:tc>
        <w:tc>
          <w:tcPr>
            <w:tcW w:w="2438" w:type="dxa"/>
            <w:shd w:val="clear" w:color="auto" w:fill="EEF2F7"/>
          </w:tcPr>
          <w:p>
            <w:pPr>
              <w:pStyle w:val="Compact"/>
              <w:spacing w:after="20" w:before="20"/>
            </w:pPr>
            <w:r>
              <w:rPr>
                <w:sz w:val="17"/>
              </w:rPr>
              <w:t xml:space="preserve">Leading indicator for turnover</w:t>
            </w:r>
          </w:p>
        </w:tc>
        <w:tc>
          <w:tcPr>
            <w:tcW w:w="2438" w:type="dxa"/>
            <w:shd w:val="clear" w:color="auto" w:fill="EEF2F7"/>
          </w:tcPr>
          <w:p>
            <w:pPr>
              <w:pStyle w:val="Compact"/>
              <w:spacing w:after="20" w:before="20"/>
            </w:pPr>
            <w:hyperlink r:id="rId124">
              <w:r>
                <w:rPr>
                  <w:rStyle w:val="Hyperlink"/>
                  <w:sz w:val="17"/>
                </w:rPr>
                <w:t xml:space="preserve">nar.realtor – Pending Home Sales</w:t>
              </w:r>
            </w:hyperlink>
          </w:p>
        </w:tc>
      </w:tr>
      <w:tr>
        <w:trPr>
          <w:cantSplit/>
        </w:trPr>
        <w:tc>
          <w:tcPr>
            <w:tcW w:w="2438" w:type="dxa"/>
          </w:tcPr>
          <w:p>
            <w:pPr>
              <w:pStyle w:val="Compact"/>
              <w:spacing w:after="20" w:before="20"/>
            </w:pPr>
            <w:r>
              <w:rPr>
                <w:sz w:val="17"/>
              </w:rPr>
              <w:t xml:space="preserve">Census New Residential Sales</w:t>
            </w:r>
          </w:p>
        </w:tc>
        <w:tc>
          <w:tcPr>
            <w:tcW w:w="3485" w:type="dxa"/>
          </w:tcPr>
          <w:p>
            <w:pPr>
              <w:pStyle w:val="Compact"/>
              <w:spacing w:after="20" w:before="20"/>
            </w:pPr>
            <w:r>
              <w:rPr>
                <w:sz w:val="17"/>
              </w:rPr>
              <w:t xml:space="preserve">New home sales, months’ supply, median price</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Monthly, 9:00 am CT</w:t>
            </w:r>
          </w:p>
        </w:tc>
        <w:tc>
          <w:tcPr>
            <w:tcW w:w="2438" w:type="dxa"/>
          </w:tcPr>
          <w:p>
            <w:pPr>
              <w:pStyle w:val="Compact"/>
              <w:spacing w:after="20" w:before="20"/>
            </w:pPr>
            <w:r>
              <w:rPr>
                <w:sz w:val="17"/>
              </w:rPr>
              <w:t xml:space="preserve">Builder activity</w:t>
            </w:r>
          </w:p>
        </w:tc>
        <w:tc>
          <w:tcPr>
            <w:tcW w:w="2438" w:type="dxa"/>
          </w:tcPr>
          <w:p>
            <w:pPr>
              <w:pStyle w:val="Compact"/>
              <w:spacing w:after="20" w:before="20"/>
            </w:pPr>
            <w:hyperlink r:id="rId125">
              <w:r>
                <w:rPr>
                  <w:rStyle w:val="Hyperlink"/>
                  <w:sz w:val="17"/>
                </w:rPr>
                <w:t xml:space="preserve">census.gov – New Residential Sales</w:t>
              </w:r>
            </w:hyperlink>
          </w:p>
        </w:tc>
      </w:tr>
      <w:tr>
        <w:trPr>
          <w:cantSplit/>
        </w:trPr>
        <w:tc>
          <w:tcPr>
            <w:tcW w:w="2438" w:type="dxa"/>
            <w:shd w:val="clear" w:color="auto" w:fill="EEF2F7"/>
          </w:tcPr>
          <w:p>
            <w:pPr>
              <w:pStyle w:val="Compact"/>
              <w:spacing w:after="20" w:before="20"/>
            </w:pPr>
            <w:r>
              <w:rPr>
                <w:sz w:val="17"/>
              </w:rPr>
              <w:t xml:space="preserve">Census New Residential Construction</w:t>
            </w:r>
          </w:p>
        </w:tc>
        <w:tc>
          <w:tcPr>
            <w:tcW w:w="3485" w:type="dxa"/>
            <w:shd w:val="clear" w:color="auto" w:fill="EEF2F7"/>
          </w:tcPr>
          <w:p>
            <w:pPr>
              <w:pStyle w:val="Compact"/>
              <w:spacing w:after="20" w:before="20"/>
            </w:pPr>
            <w:r>
              <w:rPr>
                <w:sz w:val="17"/>
              </w:rPr>
              <w:t xml:space="preserve">Housing starts, permits, completions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Monthly, 7:30 am CT</w:t>
            </w:r>
          </w:p>
        </w:tc>
        <w:tc>
          <w:tcPr>
            <w:tcW w:w="2438" w:type="dxa"/>
            <w:shd w:val="clear" w:color="auto" w:fill="EEF2F7"/>
          </w:tcPr>
          <w:p>
            <w:pPr>
              <w:pStyle w:val="Compact"/>
              <w:spacing w:after="20" w:before="20"/>
            </w:pPr>
            <w:r>
              <w:rPr>
                <w:sz w:val="17"/>
              </w:rPr>
              <w:t xml:space="preserve">Supply pipeline</w:t>
            </w:r>
          </w:p>
        </w:tc>
        <w:tc>
          <w:tcPr>
            <w:tcW w:w="2438" w:type="dxa"/>
            <w:shd w:val="clear" w:color="auto" w:fill="EEF2F7"/>
          </w:tcPr>
          <w:p>
            <w:pPr>
              <w:pStyle w:val="Compact"/>
              <w:spacing w:after="20" w:before="20"/>
            </w:pPr>
            <w:hyperlink r:id="rId126">
              <w:r>
                <w:rPr>
                  <w:rStyle w:val="Hyperlink"/>
                  <w:sz w:val="17"/>
                </w:rPr>
                <w:t xml:space="preserve">census.gov – New Residential Construction</w:t>
              </w:r>
            </w:hyperlink>
          </w:p>
        </w:tc>
      </w:tr>
      <w:tr>
        <w:trPr>
          <w:cantSplit/>
        </w:trPr>
        <w:tc>
          <w:tcPr>
            <w:tcW w:w="2438" w:type="dxa"/>
          </w:tcPr>
          <w:p>
            <w:pPr>
              <w:pStyle w:val="Compact"/>
              <w:spacing w:after="20" w:before="20"/>
            </w:pPr>
            <w:r>
              <w:rPr>
                <w:sz w:val="17"/>
              </w:rPr>
              <w:t xml:space="preserve">Census economic indicator calendar</w:t>
            </w:r>
          </w:p>
        </w:tc>
        <w:tc>
          <w:tcPr>
            <w:tcW w:w="3485" w:type="dxa"/>
          </w:tcPr>
          <w:p>
            <w:pPr>
              <w:pStyle w:val="Compact"/>
              <w:spacing w:after="20" w:before="20"/>
            </w:pPr>
            <w:r>
              <w:rPr>
                <w:sz w:val="17"/>
              </w:rPr>
              <w:t xml:space="preserve">Release dates for Census indicators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Annual schedule</w:t>
            </w:r>
          </w:p>
        </w:tc>
        <w:tc>
          <w:tcPr>
            <w:tcW w:w="2438" w:type="dxa"/>
          </w:tcPr>
          <w:p>
            <w:pPr>
              <w:pStyle w:val="Compact"/>
              <w:spacing w:after="20" w:before="20"/>
            </w:pPr>
            <w:r>
              <w:rPr>
                <w:sz w:val="17"/>
              </w:rPr>
              <w:t xml:space="preserve">Planning</w:t>
            </w:r>
          </w:p>
        </w:tc>
        <w:tc>
          <w:tcPr>
            <w:tcW w:w="2438" w:type="dxa"/>
          </w:tcPr>
          <w:p>
            <w:pPr>
              <w:pStyle w:val="Compact"/>
              <w:spacing w:after="20" w:before="20"/>
            </w:pPr>
            <w:hyperlink r:id="rId127">
              <w:r>
                <w:rPr>
                  <w:rStyle w:val="Hyperlink"/>
                  <w:sz w:val="17"/>
                </w:rPr>
                <w:t xml:space="preserve">census.gov – Economic Indicators</w:t>
              </w:r>
            </w:hyperlink>
          </w:p>
        </w:tc>
      </w:tr>
      <w:tr>
        <w:trPr>
          <w:cantSplit/>
        </w:trPr>
        <w:tc>
          <w:tcPr>
            <w:tcW w:w="2438" w:type="dxa"/>
            <w:shd w:val="clear" w:color="auto" w:fill="EEF2F7"/>
          </w:tcPr>
          <w:p>
            <w:pPr>
              <w:pStyle w:val="Compact"/>
              <w:spacing w:after="20" w:before="20"/>
            </w:pPr>
            <w:r>
              <w:rPr>
                <w:sz w:val="17"/>
              </w:rPr>
              <w:t xml:space="preserve">NAHB/Wells Fargo Housing Market Index</w:t>
            </w:r>
          </w:p>
        </w:tc>
        <w:tc>
          <w:tcPr>
            <w:tcW w:w="3485" w:type="dxa"/>
            <w:shd w:val="clear" w:color="auto" w:fill="EEF2F7"/>
          </w:tcPr>
          <w:p>
            <w:pPr>
              <w:pStyle w:val="Compact"/>
              <w:spacing w:after="20" w:before="20"/>
            </w:pPr>
            <w:r>
              <w:rPr>
                <w:sz w:val="17"/>
              </w:rPr>
              <w:t xml:space="preserve">Builder sentiment</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Monthly, 9:00 am CT, mid-month</w:t>
            </w:r>
          </w:p>
        </w:tc>
        <w:tc>
          <w:tcPr>
            <w:tcW w:w="2438" w:type="dxa"/>
            <w:shd w:val="clear" w:color="auto" w:fill="EEF2F7"/>
          </w:tcPr>
          <w:p>
            <w:pPr>
              <w:pStyle w:val="Compact"/>
              <w:spacing w:after="20" w:before="20"/>
            </w:pPr>
            <w:r>
              <w:rPr>
                <w:sz w:val="17"/>
              </w:rPr>
              <w:t xml:space="preserve">Builder demand read</w:t>
            </w:r>
          </w:p>
        </w:tc>
        <w:tc>
          <w:tcPr>
            <w:tcW w:w="2438" w:type="dxa"/>
            <w:shd w:val="clear" w:color="auto" w:fill="EEF2F7"/>
          </w:tcPr>
          <w:p>
            <w:pPr>
              <w:pStyle w:val="Compact"/>
              <w:spacing w:after="20" w:before="20"/>
            </w:pPr>
            <w:hyperlink r:id="rId128">
              <w:r>
                <w:rPr>
                  <w:rStyle w:val="Hyperlink"/>
                  <w:sz w:val="17"/>
                </w:rPr>
                <w:t xml:space="preserve">nahb.org – HMI</w:t>
              </w:r>
            </w:hyperlink>
          </w:p>
        </w:tc>
      </w:tr>
      <w:tr>
        <w:trPr>
          <w:cantSplit/>
        </w:trPr>
        <w:tc>
          <w:tcPr>
            <w:tcW w:w="2438" w:type="dxa"/>
          </w:tcPr>
          <w:p>
            <w:pPr>
              <w:pStyle w:val="Compact"/>
              <w:spacing w:after="20" w:before="20"/>
            </w:pPr>
            <w:r>
              <w:rPr>
                <w:sz w:val="17"/>
              </w:rPr>
              <w:t xml:space="preserve">Realtor.com Research data</w:t>
            </w:r>
          </w:p>
        </w:tc>
        <w:tc>
          <w:tcPr>
            <w:tcW w:w="3485" w:type="dxa"/>
          </w:tcPr>
          <w:p>
            <w:pPr>
              <w:pStyle w:val="Compact"/>
              <w:spacing w:after="20" w:before="20"/>
            </w:pPr>
            <w:r>
              <w:rPr>
                <w:sz w:val="17"/>
              </w:rPr>
              <w:t xml:space="preserve">Active listings, new listings, days on market, price cuts by metro</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Weekly and monthly</w:t>
            </w:r>
          </w:p>
        </w:tc>
        <w:tc>
          <w:tcPr>
            <w:tcW w:w="2438" w:type="dxa"/>
          </w:tcPr>
          <w:p>
            <w:pPr>
              <w:pStyle w:val="Compact"/>
              <w:spacing w:after="20" w:before="20"/>
            </w:pPr>
            <w:r>
              <w:rPr>
                <w:sz w:val="17"/>
              </w:rPr>
              <w:t xml:space="preserve">Inventory questions</w:t>
            </w:r>
          </w:p>
        </w:tc>
        <w:tc>
          <w:tcPr>
            <w:tcW w:w="2438" w:type="dxa"/>
          </w:tcPr>
          <w:p>
            <w:pPr>
              <w:pStyle w:val="Compact"/>
              <w:spacing w:after="20" w:before="20"/>
            </w:pPr>
            <w:hyperlink r:id="rId129">
              <w:r>
                <w:rPr>
                  <w:rStyle w:val="Hyperlink"/>
                  <w:sz w:val="17"/>
                </w:rPr>
                <w:t xml:space="preserve">realtor.com/research/data</w:t>
              </w:r>
            </w:hyperlink>
            <w:r>
              <w:rPr>
                <w:sz w:val="17"/>
              </w:rPr>
              <w:t xml:space="preserve">; FRED ACTLISCOUUS, MEDLISPRIUS</w:t>
            </w:r>
          </w:p>
        </w:tc>
      </w:tr>
      <w:tr>
        <w:trPr>
          <w:cantSplit/>
        </w:trPr>
        <w:tc>
          <w:tcPr>
            <w:tcW w:w="2438" w:type="dxa"/>
            <w:shd w:val="clear" w:color="auto" w:fill="EEF2F7"/>
          </w:tcPr>
          <w:p>
            <w:pPr>
              <w:pStyle w:val="Compact"/>
              <w:spacing w:after="20" w:before="20"/>
            </w:pPr>
            <w:r>
              <w:rPr>
                <w:sz w:val="17"/>
              </w:rPr>
              <w:t xml:space="preserve">Redfin Data Center</w:t>
            </w:r>
          </w:p>
        </w:tc>
        <w:tc>
          <w:tcPr>
            <w:tcW w:w="3485" w:type="dxa"/>
            <w:shd w:val="clear" w:color="auto" w:fill="EEF2F7"/>
          </w:tcPr>
          <w:p>
            <w:pPr>
              <w:pStyle w:val="Compact"/>
              <w:spacing w:after="20" w:before="20"/>
            </w:pPr>
            <w:r>
              <w:rPr>
                <w:sz w:val="17"/>
              </w:rPr>
              <w:t xml:space="preserve">Sales, inventory, price, supply/demand by metro</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Weekly and monthly</w:t>
            </w:r>
          </w:p>
        </w:tc>
        <w:tc>
          <w:tcPr>
            <w:tcW w:w="2438" w:type="dxa"/>
            <w:shd w:val="clear" w:color="auto" w:fill="EEF2F7"/>
          </w:tcPr>
          <w:p>
            <w:pPr>
              <w:pStyle w:val="Compact"/>
              <w:spacing w:after="20" w:before="20"/>
            </w:pPr>
            <w:r>
              <w:rPr>
                <w:sz w:val="17"/>
              </w:rPr>
              <w:t xml:space="preserve">Timely metro detail</w:t>
            </w:r>
          </w:p>
        </w:tc>
        <w:tc>
          <w:tcPr>
            <w:tcW w:w="2438" w:type="dxa"/>
            <w:shd w:val="clear" w:color="auto" w:fill="EEF2F7"/>
          </w:tcPr>
          <w:p>
            <w:pPr>
              <w:pStyle w:val="Compact"/>
              <w:spacing w:after="20" w:before="20"/>
            </w:pPr>
            <w:hyperlink r:id="rId130">
              <w:r>
                <w:rPr>
                  <w:rStyle w:val="Hyperlink"/>
                  <w:sz w:val="17"/>
                </w:rPr>
                <w:t xml:space="preserve">redfin.com – Data Center</w:t>
              </w:r>
            </w:hyperlink>
          </w:p>
        </w:tc>
      </w:tr>
      <w:tr>
        <w:trPr>
          <w:cantSplit/>
        </w:trPr>
        <w:tc>
          <w:tcPr>
            <w:tcW w:w="2438" w:type="dxa"/>
          </w:tcPr>
          <w:p>
            <w:pPr>
              <w:pStyle w:val="Compact"/>
              <w:spacing w:after="20" w:before="20"/>
            </w:pPr>
            <w:r>
              <w:rPr>
                <w:sz w:val="17"/>
              </w:rPr>
              <w:t xml:space="preserve">Apartment List national rent data</w:t>
            </w:r>
          </w:p>
        </w:tc>
        <w:tc>
          <w:tcPr>
            <w:tcW w:w="3485" w:type="dxa"/>
          </w:tcPr>
          <w:p>
            <w:pPr>
              <w:pStyle w:val="Compact"/>
              <w:spacing w:after="20" w:before="20"/>
            </w:pPr>
            <w:r>
              <w:rPr>
                <w:sz w:val="17"/>
              </w:rPr>
              <w:t xml:space="preserve">Rent index and vacancy index</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Monthly</w:t>
            </w:r>
          </w:p>
        </w:tc>
        <w:tc>
          <w:tcPr>
            <w:tcW w:w="2438" w:type="dxa"/>
          </w:tcPr>
          <w:p>
            <w:pPr>
              <w:pStyle w:val="Compact"/>
              <w:spacing w:after="20" w:before="20"/>
            </w:pPr>
            <w:r>
              <w:rPr>
                <w:sz w:val="17"/>
              </w:rPr>
              <w:t xml:space="preserve">DSCR rent-growth context</w:t>
            </w:r>
          </w:p>
        </w:tc>
        <w:tc>
          <w:tcPr>
            <w:tcW w:w="2438" w:type="dxa"/>
          </w:tcPr>
          <w:p>
            <w:pPr>
              <w:pStyle w:val="Compact"/>
              <w:spacing w:after="20" w:before="20"/>
            </w:pPr>
            <w:hyperlink r:id="rId131">
              <w:r>
                <w:rPr>
                  <w:rStyle w:val="Hyperlink"/>
                  <w:sz w:val="17"/>
                </w:rPr>
                <w:t xml:space="preserve">apartmentlist.com – National rent data</w:t>
              </w:r>
            </w:hyperlink>
          </w:p>
        </w:tc>
      </w:tr>
      <w:tr>
        <w:trPr>
          <w:cantSplit/>
        </w:trPr>
        <w:tc>
          <w:tcPr>
            <w:tcW w:w="2438" w:type="dxa"/>
            <w:shd w:val="clear" w:color="auto" w:fill="EEF2F7"/>
          </w:tcPr>
          <w:p>
            <w:pPr>
              <w:pStyle w:val="Compact"/>
              <w:spacing w:after="20" w:before="20"/>
            </w:pPr>
            <w:r>
              <w:rPr>
                <w:sz w:val="17"/>
              </w:rPr>
              <w:t xml:space="preserve">Census rental vacancy (FRED)</w:t>
            </w:r>
          </w:p>
        </w:tc>
        <w:tc>
          <w:tcPr>
            <w:tcW w:w="3485" w:type="dxa"/>
            <w:shd w:val="clear" w:color="auto" w:fill="EEF2F7"/>
          </w:tcPr>
          <w:p>
            <w:pPr>
              <w:pStyle w:val="Compact"/>
              <w:spacing w:after="20" w:before="20"/>
            </w:pPr>
            <w:r>
              <w:rPr>
                <w:sz w:val="17"/>
              </w:rPr>
              <w:t xml:space="preserve">RRVRUSQ156N rental vacancy rate</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Quarterly</w:t>
            </w:r>
          </w:p>
        </w:tc>
        <w:tc>
          <w:tcPr>
            <w:tcW w:w="2438" w:type="dxa"/>
            <w:shd w:val="clear" w:color="auto" w:fill="EEF2F7"/>
          </w:tcPr>
          <w:p>
            <w:pPr>
              <w:pStyle w:val="Compact"/>
              <w:spacing w:after="20" w:before="20"/>
            </w:pPr>
            <w:r>
              <w:rPr>
                <w:sz w:val="17"/>
              </w:rPr>
              <w:t xml:space="preserve">Rental-market slack</w:t>
            </w:r>
          </w:p>
        </w:tc>
        <w:tc>
          <w:tcPr>
            <w:tcW w:w="2438" w:type="dxa"/>
            <w:shd w:val="clear" w:color="auto" w:fill="EEF2F7"/>
          </w:tcPr>
          <w:p>
            <w:pPr>
              <w:pStyle w:val="Compact"/>
              <w:spacing w:after="20" w:before="20"/>
            </w:pPr>
            <w:hyperlink r:id="rId132">
              <w:r>
                <w:rPr>
                  <w:rStyle w:val="Hyperlink"/>
                  <w:sz w:val="17"/>
                </w:rPr>
                <w:t xml:space="preserve">fred.stlouisfed.org/series/RRVRUSQ156N</w:t>
              </w:r>
            </w:hyperlink>
          </w:p>
        </w:tc>
      </w:tr>
    </w:tbl>
    <w:bookmarkEnd w:id="133"/>
    <w:bookmarkStart w:id="139" w:name="forecasts-and-credit-availability"/>
    <w:p>
      <w:pPr>
        <w:pStyle w:val="Heading2"/>
      </w:pPr>
      <w:r>
        <w:t xml:space="preserve">8.3 Forecasts and credit availability</w:t>
      </w:r>
    </w:p>
    <w:p>
      <w:pPr>
        <w:pStyle w:val="TableCaption"/>
      </w:pPr>
      <w:r>
        <w:t xml:space="preserve">Forecasts and credit-availability sources.</w:t>
      </w:r>
    </w:p>
    <w:tbl>
      <w:tblPr>
        <w:tblStyle w:val="Table"/>
        <w:tblLayout w:type="fixed"/>
        <w:tblLook w:firstRow="1" w:lastRow="0" w:firstColumn="0" w:lastColumn="0" w:noHBand="0" w:noVBand="0" w:val="0020"/>
        <w:tblCaption w:val="Forecasts and credit-availability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Fannie Mae ESR Economic and Housing forecast</w:t>
            </w:r>
          </w:p>
        </w:tc>
        <w:tc>
          <w:tcPr>
            <w:tcW w:w="3485" w:type="dxa"/>
          </w:tcPr>
          <w:p>
            <w:pPr>
              <w:pStyle w:val="Compact"/>
              <w:spacing w:after="20" w:before="20"/>
            </w:pPr>
            <w:r>
              <w:rPr>
                <w:sz w:val="17"/>
              </w:rPr>
              <w:t xml:space="preserve">Rates, home sales, HPA, originations (purchase/refi)</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Monthly</w:t>
            </w:r>
          </w:p>
        </w:tc>
        <w:tc>
          <w:tcPr>
            <w:tcW w:w="2438" w:type="dxa"/>
          </w:tcPr>
          <w:p>
            <w:pPr>
              <w:pStyle w:val="Compact"/>
              <w:spacing w:after="20" w:before="20"/>
            </w:pPr>
            <w:r>
              <w:rPr>
                <w:sz w:val="17"/>
              </w:rPr>
              <w:t xml:space="preserve">Consensus-style housing forecast</w:t>
            </w:r>
          </w:p>
        </w:tc>
        <w:tc>
          <w:tcPr>
            <w:tcW w:w="2438" w:type="dxa"/>
          </w:tcPr>
          <w:p>
            <w:pPr>
              <w:pStyle w:val="Compact"/>
              <w:spacing w:after="20" w:before="20"/>
            </w:pPr>
            <w:hyperlink r:id="rId134">
              <w:r>
                <w:rPr>
                  <w:rStyle w:val="Hyperlink"/>
                  <w:sz w:val="17"/>
                </w:rPr>
                <w:t xml:space="preserve">fanniemae.com – Forecast</w:t>
              </w:r>
            </w:hyperlink>
          </w:p>
        </w:tc>
      </w:tr>
      <w:tr>
        <w:trPr>
          <w:cantSplit/>
        </w:trPr>
        <w:tc>
          <w:tcPr>
            <w:tcW w:w="2438" w:type="dxa"/>
            <w:shd w:val="clear" w:color="auto" w:fill="EEF2F7"/>
          </w:tcPr>
          <w:p>
            <w:pPr>
              <w:pStyle w:val="Compact"/>
              <w:spacing w:after="20" w:before="20"/>
            </w:pPr>
            <w:r>
              <w:rPr>
                <w:sz w:val="17"/>
              </w:rPr>
              <w:t xml:space="preserve">MBA Economic and Mortgage Finance Forecasts</w:t>
            </w:r>
          </w:p>
        </w:tc>
        <w:tc>
          <w:tcPr>
            <w:tcW w:w="3485" w:type="dxa"/>
            <w:shd w:val="clear" w:color="auto" w:fill="EEF2F7"/>
          </w:tcPr>
          <w:p>
            <w:pPr>
              <w:pStyle w:val="Compact"/>
              <w:spacing w:after="20" w:before="20"/>
            </w:pPr>
            <w:r>
              <w:rPr>
                <w:sz w:val="17"/>
              </w:rPr>
              <w:t xml:space="preserve">Originations, rates, housing starts, macro</w:t>
            </w:r>
          </w:p>
        </w:tc>
        <w:tc>
          <w:tcPr>
            <w:tcW w:w="1394" w:type="dxa"/>
            <w:shd w:val="clear" w:color="auto" w:fill="EEF2F7"/>
          </w:tcPr>
          <w:p>
            <w:pPr>
              <w:pStyle w:val="Compact"/>
              <w:spacing w:after="20" w:before="20"/>
            </w:pPr>
            <w:r>
              <w:rPr>
                <w:sz w:val="17"/>
              </w:rPr>
              <w:t xml:space="preserve">Free PDFs (subscription for full archive)</w:t>
            </w:r>
          </w:p>
        </w:tc>
        <w:tc>
          <w:tcPr>
            <w:tcW w:w="1916" w:type="dxa"/>
            <w:shd w:val="clear" w:color="auto" w:fill="EEF2F7"/>
          </w:tcPr>
          <w:p>
            <w:pPr>
              <w:pStyle w:val="Compact"/>
              <w:spacing w:after="20" w:before="20"/>
            </w:pPr>
            <w:r>
              <w:rPr>
                <w:sz w:val="17"/>
              </w:rPr>
              <w:t xml:space="preserve">Monthly</w:t>
            </w:r>
          </w:p>
        </w:tc>
        <w:tc>
          <w:tcPr>
            <w:tcW w:w="2438" w:type="dxa"/>
            <w:shd w:val="clear" w:color="auto" w:fill="EEF2F7"/>
          </w:tcPr>
          <w:p>
            <w:pPr>
              <w:pStyle w:val="Compact"/>
              <w:spacing w:after="20" w:before="20"/>
            </w:pPr>
            <w:r>
              <w:rPr>
                <w:sz w:val="17"/>
              </w:rPr>
              <w:t xml:space="preserve">Origination volume outlook</w:t>
            </w:r>
          </w:p>
        </w:tc>
        <w:tc>
          <w:tcPr>
            <w:tcW w:w="2438" w:type="dxa"/>
            <w:shd w:val="clear" w:color="auto" w:fill="EEF2F7"/>
          </w:tcPr>
          <w:p>
            <w:pPr>
              <w:pStyle w:val="Compact"/>
              <w:spacing w:after="20" w:before="20"/>
            </w:pPr>
            <w:hyperlink r:id="rId135">
              <w:r>
                <w:rPr>
                  <w:rStyle w:val="Hyperlink"/>
                  <w:sz w:val="17"/>
                </w:rPr>
                <w:t xml:space="preserve">mba.org – Forecasts and Commentary</w:t>
              </w:r>
            </w:hyperlink>
          </w:p>
        </w:tc>
      </w:tr>
      <w:tr>
        <w:trPr>
          <w:cantSplit/>
        </w:trPr>
        <w:tc>
          <w:tcPr>
            <w:tcW w:w="2438" w:type="dxa"/>
          </w:tcPr>
          <w:p>
            <w:pPr>
              <w:pStyle w:val="Compact"/>
              <w:spacing w:after="20" w:before="20"/>
            </w:pPr>
            <w:r>
              <w:rPr>
                <w:sz w:val="17"/>
              </w:rPr>
              <w:t xml:space="preserve">Freddie Mac Research</w:t>
            </w:r>
          </w:p>
        </w:tc>
        <w:tc>
          <w:tcPr>
            <w:tcW w:w="3485" w:type="dxa"/>
          </w:tcPr>
          <w:p>
            <w:pPr>
              <w:pStyle w:val="Compact"/>
              <w:spacing w:after="20" w:before="20"/>
            </w:pPr>
            <w:r>
              <w:rPr>
                <w:sz w:val="17"/>
              </w:rPr>
              <w:t xml:space="preserve">Outlooks, research notes, PMMS commentary</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Periodic</w:t>
            </w:r>
          </w:p>
        </w:tc>
        <w:tc>
          <w:tcPr>
            <w:tcW w:w="2438" w:type="dxa"/>
          </w:tcPr>
          <w:p>
            <w:pPr>
              <w:pStyle w:val="Compact"/>
              <w:spacing w:after="20" w:before="20"/>
            </w:pPr>
            <w:r>
              <w:rPr>
                <w:sz w:val="17"/>
              </w:rPr>
              <w:t xml:space="preserve">GSE view</w:t>
            </w:r>
          </w:p>
        </w:tc>
        <w:tc>
          <w:tcPr>
            <w:tcW w:w="2438" w:type="dxa"/>
          </w:tcPr>
          <w:p>
            <w:pPr>
              <w:pStyle w:val="Compact"/>
              <w:spacing w:after="20" w:before="20"/>
            </w:pPr>
            <w:hyperlink r:id="rId136">
              <w:r>
                <w:rPr>
                  <w:rStyle w:val="Hyperlink"/>
                  <w:sz w:val="17"/>
                </w:rPr>
                <w:t xml:space="preserve">freddiemac.com/research</w:t>
              </w:r>
            </w:hyperlink>
          </w:p>
        </w:tc>
      </w:tr>
      <w:tr>
        <w:trPr>
          <w:cantSplit/>
        </w:trPr>
        <w:tc>
          <w:tcPr>
            <w:tcW w:w="2438" w:type="dxa"/>
            <w:shd w:val="clear" w:color="auto" w:fill="EEF2F7"/>
          </w:tcPr>
          <w:p>
            <w:pPr>
              <w:pStyle w:val="Compact"/>
              <w:spacing w:after="20" w:before="20"/>
            </w:pPr>
            <w:r>
              <w:rPr>
                <w:sz w:val="17"/>
              </w:rPr>
              <w:t xml:space="preserve">MBA Mortgage Credit Availability Index</w:t>
            </w:r>
          </w:p>
        </w:tc>
        <w:tc>
          <w:tcPr>
            <w:tcW w:w="3485" w:type="dxa"/>
            <w:shd w:val="clear" w:color="auto" w:fill="EEF2F7"/>
          </w:tcPr>
          <w:p>
            <w:pPr>
              <w:pStyle w:val="Compact"/>
              <w:spacing w:after="20" w:before="20"/>
            </w:pPr>
            <w:r>
              <w:rPr>
                <w:sz w:val="17"/>
              </w:rPr>
              <w:t xml:space="preserve">Index of credit availability, split conventional/government/jumbo/conforming</w:t>
            </w:r>
          </w:p>
        </w:tc>
        <w:tc>
          <w:tcPr>
            <w:tcW w:w="1394" w:type="dxa"/>
            <w:shd w:val="clear" w:color="auto" w:fill="EEF2F7"/>
          </w:tcPr>
          <w:p>
            <w:pPr>
              <w:pStyle w:val="Compact"/>
              <w:spacing w:after="20" w:before="20"/>
            </w:pPr>
            <w:r>
              <w:rPr>
                <w:sz w:val="17"/>
              </w:rPr>
              <w:t xml:space="preserve">Free headline</w:t>
            </w:r>
          </w:p>
        </w:tc>
        <w:tc>
          <w:tcPr>
            <w:tcW w:w="1916" w:type="dxa"/>
            <w:shd w:val="clear" w:color="auto" w:fill="EEF2F7"/>
          </w:tcPr>
          <w:p>
            <w:pPr>
              <w:pStyle w:val="Compact"/>
              <w:spacing w:after="20" w:before="20"/>
            </w:pPr>
            <w:r>
              <w:rPr>
                <w:sz w:val="17"/>
              </w:rPr>
              <w:t xml:space="preserve">Monthly</w:t>
            </w:r>
          </w:p>
        </w:tc>
        <w:tc>
          <w:tcPr>
            <w:tcW w:w="2438" w:type="dxa"/>
            <w:shd w:val="clear" w:color="auto" w:fill="EEF2F7"/>
          </w:tcPr>
          <w:p>
            <w:pPr>
              <w:pStyle w:val="Compact"/>
              <w:spacing w:after="20" w:before="20"/>
            </w:pPr>
            <w:r>
              <w:rPr>
                <w:sz w:val="17"/>
              </w:rPr>
              <w:t xml:space="preserve">“Is credit loosening or tightening?”</w:t>
            </w:r>
          </w:p>
        </w:tc>
        <w:tc>
          <w:tcPr>
            <w:tcW w:w="2438" w:type="dxa"/>
            <w:shd w:val="clear" w:color="auto" w:fill="EEF2F7"/>
          </w:tcPr>
          <w:p>
            <w:pPr>
              <w:pStyle w:val="Compact"/>
              <w:spacing w:after="20" w:before="20"/>
            </w:pPr>
            <w:hyperlink r:id="rId137">
              <w:r>
                <w:rPr>
                  <w:rStyle w:val="Hyperlink"/>
                  <w:sz w:val="17"/>
                </w:rPr>
                <w:t xml:space="preserve">mba.org – MCAI</w:t>
              </w:r>
            </w:hyperlink>
          </w:p>
        </w:tc>
      </w:tr>
      <w:tr>
        <w:trPr>
          <w:cantSplit/>
        </w:trPr>
        <w:tc>
          <w:tcPr>
            <w:tcW w:w="2438" w:type="dxa"/>
          </w:tcPr>
          <w:p>
            <w:pPr>
              <w:pStyle w:val="Compact"/>
              <w:spacing w:after="20" w:before="20"/>
            </w:pPr>
            <w:r>
              <w:rPr>
                <w:sz w:val="17"/>
              </w:rPr>
              <w:t xml:space="preserve">Fed Senior Loan Officer Survey (SLOOS)</w:t>
            </w:r>
          </w:p>
        </w:tc>
        <w:tc>
          <w:tcPr>
            <w:tcW w:w="3485" w:type="dxa"/>
          </w:tcPr>
          <w:p>
            <w:pPr>
              <w:pStyle w:val="Compact"/>
              <w:spacing w:after="20" w:before="20"/>
            </w:pPr>
            <w:r>
              <w:rPr>
                <w:sz w:val="17"/>
              </w:rPr>
              <w:t xml:space="preserve">Bank standards and demand for residential mortgages, HELOCs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Quarterly</w:t>
            </w:r>
          </w:p>
        </w:tc>
        <w:tc>
          <w:tcPr>
            <w:tcW w:w="2438" w:type="dxa"/>
          </w:tcPr>
          <w:p>
            <w:pPr>
              <w:pStyle w:val="Compact"/>
              <w:spacing w:after="20" w:before="20"/>
            </w:pPr>
            <w:r>
              <w:rPr>
                <w:sz w:val="17"/>
              </w:rPr>
              <w:t xml:space="preserve">Bank credit supply</w:t>
            </w:r>
          </w:p>
        </w:tc>
        <w:tc>
          <w:tcPr>
            <w:tcW w:w="2438" w:type="dxa"/>
          </w:tcPr>
          <w:p>
            <w:pPr>
              <w:pStyle w:val="Compact"/>
              <w:spacing w:after="20" w:before="20"/>
            </w:pPr>
            <w:hyperlink r:id="rId138">
              <w:r>
                <w:rPr>
                  <w:rStyle w:val="Hyperlink"/>
                  <w:sz w:val="17"/>
                </w:rPr>
                <w:t xml:space="preserve">federalreserve.gov – SLOOS</w:t>
              </w:r>
            </w:hyperlink>
          </w:p>
        </w:tc>
      </w:tr>
    </w:tbl>
    <w:bookmarkEnd w:id="139"/>
    <w:bookmarkStart w:id="147" w:name="economic-calendar-release-times-in-ct"/>
    <w:p>
      <w:pPr>
        <w:pStyle w:val="Heading2"/>
      </w:pPr>
      <w:r>
        <w:t xml:space="preserve">8.4 Economic calendar (release times in CT)</w:t>
      </w:r>
    </w:p>
    <w:p>
      <w:pPr>
        <w:pStyle w:val="TableCaption"/>
      </w:pPr>
      <w:r>
        <w:t xml:space="preserve">Key macro releases. Always confirm dates on the agency’s own calendar; holidays and government shutdowns shift schedules.</w:t>
      </w:r>
    </w:p>
    <w:tbl>
      <w:tblPr>
        <w:tblStyle w:val="Table"/>
        <w:tblLayout w:type="fixed"/>
        <w:tblLook w:firstRow="1" w:lastRow="0" w:firstColumn="0" w:lastColumn="0" w:noHBand="0" w:noVBand="0" w:val="0020"/>
        <w:tblCaption w:val="Key macro releases. Always confirm dates on the agency’s own calendar; holidays and government shutdowns shift schedul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822"/>
        <w:gridCol w:w="2116"/>
        <w:gridCol w:w="3175"/>
        <w:gridCol w:w="3528"/>
        <w:gridCol w:w="2469"/>
      </w:tblGrid>
      <w:tr>
        <w:trPr>
          <w:tblHeader w:val="on"/>
          <w:cantSplit/>
          <w:tblHeader/>
        </w:trPr>
        <w:tc>
          <w:tcPr>
            <w:tcW w:w="2822" w:type="dxa"/>
            <w:shd w:val="clear" w:color="auto" w:fill="1F3A5F"/>
          </w:tcPr>
          <w:p>
            <w:pPr>
              <w:pStyle w:val="Compact"/>
              <w:spacing w:after="20" w:before="20"/>
            </w:pPr>
            <w:r>
              <w:rPr>
                <w:b/>
                <w:color w:val="FFFFFF"/>
                <w:sz w:val="17"/>
              </w:rPr>
              <w:t xml:space="preserve">Release</w:t>
            </w:r>
          </w:p>
        </w:tc>
        <w:tc>
          <w:tcPr>
            <w:tcW w:w="2116" w:type="dxa"/>
            <w:shd w:val="clear" w:color="auto" w:fill="1F3A5F"/>
          </w:tcPr>
          <w:p>
            <w:pPr>
              <w:pStyle w:val="Compact"/>
              <w:spacing w:after="20" w:before="20"/>
            </w:pPr>
            <w:r>
              <w:rPr>
                <w:b/>
                <w:color w:val="FFFFFF"/>
                <w:sz w:val="17"/>
              </w:rPr>
              <w:t xml:space="preserve">Agency</w:t>
            </w:r>
          </w:p>
        </w:tc>
        <w:tc>
          <w:tcPr>
            <w:tcW w:w="3175" w:type="dxa"/>
            <w:shd w:val="clear" w:color="auto" w:fill="1F3A5F"/>
          </w:tcPr>
          <w:p>
            <w:pPr>
              <w:pStyle w:val="Compact"/>
              <w:spacing w:after="20" w:before="20"/>
            </w:pPr>
            <w:r>
              <w:rPr>
                <w:b/>
                <w:color w:val="FFFFFF"/>
                <w:sz w:val="17"/>
              </w:rPr>
              <w:t xml:space="preserve">Typical timing (CT)</w:t>
            </w:r>
          </w:p>
        </w:tc>
        <w:tc>
          <w:tcPr>
            <w:tcW w:w="3528" w:type="dxa"/>
            <w:shd w:val="clear" w:color="auto" w:fill="1F3A5F"/>
          </w:tcPr>
          <w:p>
            <w:pPr>
              <w:pStyle w:val="Compact"/>
              <w:spacing w:after="20" w:before="20"/>
            </w:pPr>
            <w:r>
              <w:rPr>
                <w:b/>
                <w:color w:val="FFFFFF"/>
                <w:sz w:val="17"/>
              </w:rPr>
              <w:t xml:space="preserve">Why it matters for mortgages</w:t>
            </w:r>
          </w:p>
        </w:tc>
        <w:tc>
          <w:tcPr>
            <w:tcW w:w="2469" w:type="dxa"/>
            <w:shd w:val="clear" w:color="auto" w:fill="1F3A5F"/>
          </w:tcPr>
          <w:p>
            <w:pPr>
              <w:pStyle w:val="Compact"/>
              <w:spacing w:after="20" w:before="20"/>
            </w:pPr>
            <w:r>
              <w:rPr>
                <w:b/>
                <w:color w:val="FFFFFF"/>
                <w:sz w:val="17"/>
              </w:rPr>
              <w:t xml:space="preserve">Link</w:t>
            </w:r>
          </w:p>
        </w:tc>
      </w:tr>
      <w:tr>
        <w:trPr>
          <w:cantSplit/>
        </w:trPr>
        <w:tc>
          <w:tcPr>
            <w:tcW w:w="2822" w:type="dxa"/>
          </w:tcPr>
          <w:p>
            <w:pPr>
              <w:pStyle w:val="Compact"/>
              <w:spacing w:after="20" w:before="20"/>
            </w:pPr>
            <w:r>
              <w:rPr>
                <w:sz w:val="17"/>
              </w:rPr>
              <w:t xml:space="preserve">Employment Situation (payrolls, unemployment)</w:t>
            </w:r>
          </w:p>
        </w:tc>
        <w:tc>
          <w:tcPr>
            <w:tcW w:w="2116" w:type="dxa"/>
          </w:tcPr>
          <w:p>
            <w:pPr>
              <w:pStyle w:val="Compact"/>
              <w:spacing w:after="20" w:before="20"/>
            </w:pPr>
            <w:r>
              <w:rPr>
                <w:sz w:val="17"/>
              </w:rPr>
              <w:t xml:space="preserve">BLS</w:t>
            </w:r>
          </w:p>
        </w:tc>
        <w:tc>
          <w:tcPr>
            <w:tcW w:w="3175" w:type="dxa"/>
          </w:tcPr>
          <w:p>
            <w:pPr>
              <w:pStyle w:val="Compact"/>
              <w:spacing w:after="20" w:before="20"/>
            </w:pPr>
            <w:r>
              <w:rPr>
                <w:sz w:val="17"/>
              </w:rPr>
              <w:t xml:space="preserve">First Friday of month (usually), 7:30 am</w:t>
            </w:r>
          </w:p>
        </w:tc>
        <w:tc>
          <w:tcPr>
            <w:tcW w:w="3528" w:type="dxa"/>
          </w:tcPr>
          <w:p>
            <w:pPr>
              <w:pStyle w:val="Compact"/>
              <w:spacing w:after="20" w:before="20"/>
            </w:pPr>
            <w:r>
              <w:rPr>
                <w:sz w:val="17"/>
              </w:rPr>
              <w:t xml:space="preserve">Biggest regular rates mover</w:t>
            </w:r>
          </w:p>
        </w:tc>
        <w:tc>
          <w:tcPr>
            <w:tcW w:w="2469" w:type="dxa"/>
          </w:tcPr>
          <w:p>
            <w:pPr>
              <w:pStyle w:val="Compact"/>
              <w:spacing w:after="20" w:before="20"/>
            </w:pPr>
            <w:hyperlink r:id="rId140">
              <w:r>
                <w:rPr>
                  <w:rStyle w:val="Hyperlink"/>
                  <w:sz w:val="17"/>
                </w:rPr>
                <w:t xml:space="preserve">bls.gov – release schedule</w:t>
              </w:r>
            </w:hyperlink>
          </w:p>
        </w:tc>
      </w:tr>
      <w:tr>
        <w:trPr>
          <w:cantSplit/>
        </w:trPr>
        <w:tc>
          <w:tcPr>
            <w:tcW w:w="2822" w:type="dxa"/>
            <w:shd w:val="clear" w:color="auto" w:fill="EEF2F7"/>
          </w:tcPr>
          <w:p>
            <w:pPr>
              <w:pStyle w:val="Compact"/>
              <w:spacing w:after="20" w:before="20"/>
            </w:pPr>
            <w:r>
              <w:rPr>
                <w:sz w:val="17"/>
              </w:rPr>
              <w:t xml:space="preserve">CPI</w:t>
            </w:r>
          </w:p>
        </w:tc>
        <w:tc>
          <w:tcPr>
            <w:tcW w:w="2116" w:type="dxa"/>
            <w:shd w:val="clear" w:color="auto" w:fill="EEF2F7"/>
          </w:tcPr>
          <w:p>
            <w:pPr>
              <w:pStyle w:val="Compact"/>
              <w:spacing w:after="20" w:before="20"/>
            </w:pPr>
            <w:r>
              <w:rPr>
                <w:sz w:val="17"/>
              </w:rPr>
              <w:t xml:space="preserve">BLS</w:t>
            </w:r>
          </w:p>
        </w:tc>
        <w:tc>
          <w:tcPr>
            <w:tcW w:w="3175" w:type="dxa"/>
            <w:shd w:val="clear" w:color="auto" w:fill="EEF2F7"/>
          </w:tcPr>
          <w:p>
            <w:pPr>
              <w:pStyle w:val="Compact"/>
              <w:spacing w:after="20" w:before="20"/>
            </w:pPr>
            <w:r>
              <w:rPr>
                <w:sz w:val="17"/>
              </w:rPr>
              <w:t xml:space="preserve">Mid-month, 7:30 am</w:t>
            </w:r>
          </w:p>
        </w:tc>
        <w:tc>
          <w:tcPr>
            <w:tcW w:w="3528" w:type="dxa"/>
            <w:shd w:val="clear" w:color="auto" w:fill="EEF2F7"/>
          </w:tcPr>
          <w:p>
            <w:pPr>
              <w:pStyle w:val="Compact"/>
              <w:spacing w:after="20" w:before="20"/>
            </w:pPr>
            <w:r>
              <w:rPr>
                <w:sz w:val="17"/>
              </w:rPr>
              <w:t xml:space="preserve">Inflation → Fed path → rates</w:t>
            </w:r>
          </w:p>
        </w:tc>
        <w:tc>
          <w:tcPr>
            <w:tcW w:w="2469" w:type="dxa"/>
            <w:shd w:val="clear" w:color="auto" w:fill="EEF2F7"/>
          </w:tcPr>
          <w:p>
            <w:pPr>
              <w:pStyle w:val="Compact"/>
              <w:spacing w:after="20" w:before="20"/>
            </w:pPr>
            <w:hyperlink r:id="rId140">
              <w:r>
                <w:rPr>
                  <w:rStyle w:val="Hyperlink"/>
                  <w:sz w:val="17"/>
                </w:rPr>
                <w:t xml:space="preserve">bls.gov – release schedule</w:t>
              </w:r>
            </w:hyperlink>
          </w:p>
        </w:tc>
      </w:tr>
      <w:tr>
        <w:trPr>
          <w:cantSplit/>
        </w:trPr>
        <w:tc>
          <w:tcPr>
            <w:tcW w:w="2822" w:type="dxa"/>
          </w:tcPr>
          <w:p>
            <w:pPr>
              <w:pStyle w:val="Compact"/>
              <w:spacing w:after="20" w:before="20"/>
            </w:pPr>
            <w:r>
              <w:rPr>
                <w:sz w:val="17"/>
              </w:rPr>
              <w:t xml:space="preserve">PPI</w:t>
            </w:r>
          </w:p>
        </w:tc>
        <w:tc>
          <w:tcPr>
            <w:tcW w:w="2116" w:type="dxa"/>
          </w:tcPr>
          <w:p>
            <w:pPr>
              <w:pStyle w:val="Compact"/>
              <w:spacing w:after="20" w:before="20"/>
            </w:pPr>
            <w:r>
              <w:rPr>
                <w:sz w:val="17"/>
              </w:rPr>
              <w:t xml:space="preserve">BLS</w:t>
            </w:r>
          </w:p>
        </w:tc>
        <w:tc>
          <w:tcPr>
            <w:tcW w:w="3175" w:type="dxa"/>
          </w:tcPr>
          <w:p>
            <w:pPr>
              <w:pStyle w:val="Compact"/>
              <w:spacing w:after="20" w:before="20"/>
            </w:pPr>
            <w:r>
              <w:rPr>
                <w:sz w:val="17"/>
              </w:rPr>
              <w:t xml:space="preserve">Mid-month, 7:30 am</w:t>
            </w:r>
          </w:p>
        </w:tc>
        <w:tc>
          <w:tcPr>
            <w:tcW w:w="3528" w:type="dxa"/>
          </w:tcPr>
          <w:p>
            <w:pPr>
              <w:pStyle w:val="Compact"/>
              <w:spacing w:after="20" w:before="20"/>
            </w:pPr>
            <w:r>
              <w:rPr>
                <w:sz w:val="17"/>
              </w:rPr>
              <w:t xml:space="preserve">Inflation pipeline</w:t>
            </w:r>
          </w:p>
        </w:tc>
        <w:tc>
          <w:tcPr>
            <w:tcW w:w="2469" w:type="dxa"/>
          </w:tcPr>
          <w:p>
            <w:pPr>
              <w:pStyle w:val="Compact"/>
              <w:spacing w:after="20" w:before="20"/>
            </w:pPr>
            <w:hyperlink r:id="rId140">
              <w:r>
                <w:rPr>
                  <w:rStyle w:val="Hyperlink"/>
                  <w:sz w:val="17"/>
                </w:rPr>
                <w:t xml:space="preserve">bls.gov – release schedule</w:t>
              </w:r>
            </w:hyperlink>
          </w:p>
        </w:tc>
      </w:tr>
      <w:tr>
        <w:trPr>
          <w:cantSplit/>
        </w:trPr>
        <w:tc>
          <w:tcPr>
            <w:tcW w:w="2822" w:type="dxa"/>
            <w:shd w:val="clear" w:color="auto" w:fill="EEF2F7"/>
          </w:tcPr>
          <w:p>
            <w:pPr>
              <w:pStyle w:val="Compact"/>
              <w:spacing w:after="20" w:before="20"/>
            </w:pPr>
            <w:r>
              <w:rPr>
                <w:sz w:val="17"/>
              </w:rPr>
              <w:t xml:space="preserve">JOLTS</w:t>
            </w:r>
          </w:p>
        </w:tc>
        <w:tc>
          <w:tcPr>
            <w:tcW w:w="2116" w:type="dxa"/>
            <w:shd w:val="clear" w:color="auto" w:fill="EEF2F7"/>
          </w:tcPr>
          <w:p>
            <w:pPr>
              <w:pStyle w:val="Compact"/>
              <w:spacing w:after="20" w:before="20"/>
            </w:pPr>
            <w:r>
              <w:rPr>
                <w:sz w:val="17"/>
              </w:rPr>
              <w:t xml:space="preserve">BLS</w:t>
            </w:r>
          </w:p>
        </w:tc>
        <w:tc>
          <w:tcPr>
            <w:tcW w:w="3175" w:type="dxa"/>
            <w:shd w:val="clear" w:color="auto" w:fill="EEF2F7"/>
          </w:tcPr>
          <w:p>
            <w:pPr>
              <w:pStyle w:val="Compact"/>
              <w:spacing w:after="20" w:before="20"/>
            </w:pPr>
            <w:r>
              <w:rPr>
                <w:sz w:val="17"/>
              </w:rPr>
              <w:t xml:space="preserve">Early month, 9:00 am</w:t>
            </w:r>
          </w:p>
        </w:tc>
        <w:tc>
          <w:tcPr>
            <w:tcW w:w="3528" w:type="dxa"/>
            <w:shd w:val="clear" w:color="auto" w:fill="EEF2F7"/>
          </w:tcPr>
          <w:p>
            <w:pPr>
              <w:pStyle w:val="Compact"/>
              <w:spacing w:after="20" w:before="20"/>
            </w:pPr>
            <w:r>
              <w:rPr>
                <w:sz w:val="17"/>
              </w:rPr>
              <w:t xml:space="preserve">Labor demand</w:t>
            </w:r>
          </w:p>
        </w:tc>
        <w:tc>
          <w:tcPr>
            <w:tcW w:w="2469" w:type="dxa"/>
            <w:shd w:val="clear" w:color="auto" w:fill="EEF2F7"/>
          </w:tcPr>
          <w:p>
            <w:pPr>
              <w:pStyle w:val="Compact"/>
              <w:spacing w:after="20" w:before="20"/>
            </w:pPr>
            <w:hyperlink r:id="rId140">
              <w:r>
                <w:rPr>
                  <w:rStyle w:val="Hyperlink"/>
                  <w:sz w:val="17"/>
                </w:rPr>
                <w:t xml:space="preserve">bls.gov – release schedule</w:t>
              </w:r>
            </w:hyperlink>
          </w:p>
        </w:tc>
      </w:tr>
      <w:tr>
        <w:trPr>
          <w:cantSplit/>
        </w:trPr>
        <w:tc>
          <w:tcPr>
            <w:tcW w:w="2822" w:type="dxa"/>
          </w:tcPr>
          <w:p>
            <w:pPr>
              <w:pStyle w:val="Compact"/>
              <w:spacing w:after="20" w:before="20"/>
            </w:pPr>
            <w:r>
              <w:rPr>
                <w:sz w:val="17"/>
              </w:rPr>
              <w:t xml:space="preserve">Initial jobless claims</w:t>
            </w:r>
          </w:p>
        </w:tc>
        <w:tc>
          <w:tcPr>
            <w:tcW w:w="2116" w:type="dxa"/>
          </w:tcPr>
          <w:p>
            <w:pPr>
              <w:pStyle w:val="Compact"/>
              <w:spacing w:after="20" w:before="20"/>
            </w:pPr>
            <w:r>
              <w:rPr>
                <w:sz w:val="17"/>
              </w:rPr>
              <w:t xml:space="preserve">Dept. of Labor</w:t>
            </w:r>
          </w:p>
        </w:tc>
        <w:tc>
          <w:tcPr>
            <w:tcW w:w="3175" w:type="dxa"/>
          </w:tcPr>
          <w:p>
            <w:pPr>
              <w:pStyle w:val="Compact"/>
              <w:spacing w:after="20" w:before="20"/>
            </w:pPr>
            <w:r>
              <w:rPr>
                <w:sz w:val="17"/>
              </w:rPr>
              <w:t xml:space="preserve">Thursdays, 7:30 am</w:t>
            </w:r>
          </w:p>
        </w:tc>
        <w:tc>
          <w:tcPr>
            <w:tcW w:w="3528" w:type="dxa"/>
          </w:tcPr>
          <w:p>
            <w:pPr>
              <w:pStyle w:val="Compact"/>
              <w:spacing w:after="20" w:before="20"/>
            </w:pPr>
            <w:r>
              <w:rPr>
                <w:sz w:val="17"/>
              </w:rPr>
              <w:t xml:space="preserve">Weekly labor read</w:t>
            </w:r>
          </w:p>
        </w:tc>
        <w:tc>
          <w:tcPr>
            <w:tcW w:w="2469" w:type="dxa"/>
          </w:tcPr>
          <w:p>
            <w:pPr>
              <w:pStyle w:val="Compact"/>
              <w:spacing w:after="20" w:before="20"/>
            </w:pPr>
            <w:hyperlink r:id="rId141">
              <w:r>
                <w:rPr>
                  <w:rStyle w:val="Hyperlink"/>
                  <w:sz w:val="17"/>
                </w:rPr>
                <w:t xml:space="preserve">dol.gov</w:t>
              </w:r>
            </w:hyperlink>
            <w:r>
              <w:rPr>
                <w:sz w:val="17"/>
              </w:rPr>
              <w:t xml:space="preserve">; FRED ICSA</w:t>
            </w:r>
          </w:p>
        </w:tc>
      </w:tr>
      <w:tr>
        <w:trPr>
          <w:cantSplit/>
        </w:trPr>
        <w:tc>
          <w:tcPr>
            <w:tcW w:w="2822" w:type="dxa"/>
            <w:shd w:val="clear" w:color="auto" w:fill="EEF2F7"/>
          </w:tcPr>
          <w:p>
            <w:pPr>
              <w:pStyle w:val="Compact"/>
              <w:spacing w:after="20" w:before="20"/>
            </w:pPr>
            <w:r>
              <w:rPr>
                <w:sz w:val="17"/>
              </w:rPr>
              <w:t xml:space="preserve">GDP; Personal Income &amp; Outlays (PCE inflation)</w:t>
            </w:r>
          </w:p>
        </w:tc>
        <w:tc>
          <w:tcPr>
            <w:tcW w:w="2116" w:type="dxa"/>
            <w:shd w:val="clear" w:color="auto" w:fill="EEF2F7"/>
          </w:tcPr>
          <w:p>
            <w:pPr>
              <w:pStyle w:val="Compact"/>
              <w:spacing w:after="20" w:before="20"/>
            </w:pPr>
            <w:r>
              <w:rPr>
                <w:sz w:val="17"/>
              </w:rPr>
              <w:t xml:space="preserve">BEA</w:t>
            </w:r>
          </w:p>
        </w:tc>
        <w:tc>
          <w:tcPr>
            <w:tcW w:w="3175" w:type="dxa"/>
            <w:shd w:val="clear" w:color="auto" w:fill="EEF2F7"/>
          </w:tcPr>
          <w:p>
            <w:pPr>
              <w:pStyle w:val="Compact"/>
              <w:spacing w:after="20" w:before="20"/>
            </w:pPr>
            <w:r>
              <w:rPr>
                <w:sz w:val="17"/>
              </w:rPr>
              <w:t xml:space="preserve">Late month, 7:30 am</w:t>
            </w:r>
          </w:p>
        </w:tc>
        <w:tc>
          <w:tcPr>
            <w:tcW w:w="3528" w:type="dxa"/>
            <w:shd w:val="clear" w:color="auto" w:fill="EEF2F7"/>
          </w:tcPr>
          <w:p>
            <w:pPr>
              <w:pStyle w:val="Compact"/>
              <w:spacing w:after="20" w:before="20"/>
            </w:pPr>
            <w:r>
              <w:rPr>
                <w:sz w:val="17"/>
              </w:rPr>
              <w:t xml:space="preserve">Fed’s preferred inflation gauge</w:t>
            </w:r>
          </w:p>
        </w:tc>
        <w:tc>
          <w:tcPr>
            <w:tcW w:w="2469" w:type="dxa"/>
            <w:shd w:val="clear" w:color="auto" w:fill="EEF2F7"/>
          </w:tcPr>
          <w:p>
            <w:pPr>
              <w:pStyle w:val="Compact"/>
              <w:spacing w:after="20" w:before="20"/>
            </w:pPr>
            <w:hyperlink r:id="rId142">
              <w:r>
                <w:rPr>
                  <w:rStyle w:val="Hyperlink"/>
                  <w:sz w:val="17"/>
                </w:rPr>
                <w:t xml:space="preserve">bea.gov – release schedule</w:t>
              </w:r>
            </w:hyperlink>
          </w:p>
        </w:tc>
      </w:tr>
      <w:tr>
        <w:trPr>
          <w:cantSplit/>
        </w:trPr>
        <w:tc>
          <w:tcPr>
            <w:tcW w:w="2822" w:type="dxa"/>
          </w:tcPr>
          <w:p>
            <w:pPr>
              <w:pStyle w:val="Compact"/>
              <w:spacing w:after="20" w:before="20"/>
            </w:pPr>
            <w:r>
              <w:rPr>
                <w:sz w:val="17"/>
              </w:rPr>
              <w:t xml:space="preserve">ISM Manufacturing / Services PMI</w:t>
            </w:r>
          </w:p>
        </w:tc>
        <w:tc>
          <w:tcPr>
            <w:tcW w:w="2116" w:type="dxa"/>
          </w:tcPr>
          <w:p>
            <w:pPr>
              <w:pStyle w:val="Compact"/>
              <w:spacing w:after="20" w:before="20"/>
            </w:pPr>
            <w:r>
              <w:rPr>
                <w:sz w:val="17"/>
              </w:rPr>
              <w:t xml:space="preserve">ISM</w:t>
            </w:r>
          </w:p>
        </w:tc>
        <w:tc>
          <w:tcPr>
            <w:tcW w:w="3175" w:type="dxa"/>
          </w:tcPr>
          <w:p>
            <w:pPr>
              <w:pStyle w:val="Compact"/>
              <w:spacing w:after="20" w:before="20"/>
            </w:pPr>
            <w:r>
              <w:rPr>
                <w:sz w:val="17"/>
              </w:rPr>
              <w:t xml:space="preserve">1st / 3rd business day, 9:00 am</w:t>
            </w:r>
          </w:p>
        </w:tc>
        <w:tc>
          <w:tcPr>
            <w:tcW w:w="3528" w:type="dxa"/>
          </w:tcPr>
          <w:p>
            <w:pPr>
              <w:pStyle w:val="Compact"/>
              <w:spacing w:after="20" w:before="20"/>
            </w:pPr>
            <w:r>
              <w:rPr>
                <w:sz w:val="17"/>
              </w:rPr>
              <w:t xml:space="preserve">Growth momentum</w:t>
            </w:r>
          </w:p>
        </w:tc>
        <w:tc>
          <w:tcPr>
            <w:tcW w:w="2469" w:type="dxa"/>
          </w:tcPr>
          <w:p>
            <w:pPr>
              <w:pStyle w:val="Compact"/>
              <w:spacing w:after="20" w:before="20"/>
            </w:pPr>
            <w:hyperlink r:id="rId143">
              <w:r>
                <w:rPr>
                  <w:rStyle w:val="Hyperlink"/>
                  <w:sz w:val="17"/>
                </w:rPr>
                <w:t xml:space="preserve">ismworld.org</w:t>
              </w:r>
            </w:hyperlink>
          </w:p>
        </w:tc>
      </w:tr>
      <w:tr>
        <w:trPr>
          <w:cantSplit/>
        </w:trPr>
        <w:tc>
          <w:tcPr>
            <w:tcW w:w="2822" w:type="dxa"/>
            <w:shd w:val="clear" w:color="auto" w:fill="EEF2F7"/>
          </w:tcPr>
          <w:p>
            <w:pPr>
              <w:pStyle w:val="Compact"/>
              <w:spacing w:after="20" w:before="20"/>
            </w:pPr>
            <w:r>
              <w:rPr>
                <w:sz w:val="17"/>
              </w:rPr>
              <w:t xml:space="preserve">Consumer sentiment (prelim/final)</w:t>
            </w:r>
          </w:p>
        </w:tc>
        <w:tc>
          <w:tcPr>
            <w:tcW w:w="2116" w:type="dxa"/>
            <w:shd w:val="clear" w:color="auto" w:fill="EEF2F7"/>
          </w:tcPr>
          <w:p>
            <w:pPr>
              <w:pStyle w:val="Compact"/>
              <w:spacing w:after="20" w:before="20"/>
            </w:pPr>
            <w:r>
              <w:rPr>
                <w:sz w:val="17"/>
              </w:rPr>
              <w:t xml:space="preserve">Univ. of Michigan</w:t>
            </w:r>
          </w:p>
        </w:tc>
        <w:tc>
          <w:tcPr>
            <w:tcW w:w="3175" w:type="dxa"/>
            <w:shd w:val="clear" w:color="auto" w:fill="EEF2F7"/>
          </w:tcPr>
          <w:p>
            <w:pPr>
              <w:pStyle w:val="Compact"/>
              <w:spacing w:after="20" w:before="20"/>
            </w:pPr>
            <w:r>
              <w:rPr>
                <w:sz w:val="17"/>
              </w:rPr>
              <w:t xml:space="preserve">Fridays mid/late month, 9:00 am</w:t>
            </w:r>
          </w:p>
        </w:tc>
        <w:tc>
          <w:tcPr>
            <w:tcW w:w="3528" w:type="dxa"/>
            <w:shd w:val="clear" w:color="auto" w:fill="EEF2F7"/>
          </w:tcPr>
          <w:p>
            <w:pPr>
              <w:pStyle w:val="Compact"/>
              <w:spacing w:after="20" w:before="20"/>
            </w:pPr>
            <w:r>
              <w:rPr>
                <w:sz w:val="17"/>
              </w:rPr>
              <w:t xml:space="preserve">Inflation expectations</w:t>
            </w:r>
          </w:p>
        </w:tc>
        <w:tc>
          <w:tcPr>
            <w:tcW w:w="2469" w:type="dxa"/>
            <w:shd w:val="clear" w:color="auto" w:fill="EEF2F7"/>
          </w:tcPr>
          <w:p>
            <w:pPr>
              <w:pStyle w:val="Compact"/>
              <w:spacing w:after="20" w:before="20"/>
            </w:pPr>
            <w:hyperlink r:id="rId144">
              <w:r>
                <w:rPr>
                  <w:rStyle w:val="Hyperlink"/>
                  <w:sz w:val="17"/>
                </w:rPr>
                <w:t xml:space="preserve">sca.isr.umich.edu</w:t>
              </w:r>
            </w:hyperlink>
          </w:p>
        </w:tc>
      </w:tr>
      <w:tr>
        <w:trPr>
          <w:cantSplit/>
        </w:trPr>
        <w:tc>
          <w:tcPr>
            <w:tcW w:w="2822" w:type="dxa"/>
          </w:tcPr>
          <w:p>
            <w:pPr>
              <w:pStyle w:val="Compact"/>
              <w:spacing w:after="20" w:before="20"/>
            </w:pPr>
            <w:r>
              <w:rPr>
                <w:sz w:val="17"/>
              </w:rPr>
              <w:t xml:space="preserve">Consumer confidence</w:t>
            </w:r>
          </w:p>
        </w:tc>
        <w:tc>
          <w:tcPr>
            <w:tcW w:w="2116" w:type="dxa"/>
          </w:tcPr>
          <w:p>
            <w:pPr>
              <w:pStyle w:val="Compact"/>
              <w:spacing w:after="20" w:before="20"/>
            </w:pPr>
            <w:r>
              <w:rPr>
                <w:sz w:val="17"/>
              </w:rPr>
              <w:t xml:space="preserve">Conference Board</w:t>
            </w:r>
          </w:p>
        </w:tc>
        <w:tc>
          <w:tcPr>
            <w:tcW w:w="3175" w:type="dxa"/>
          </w:tcPr>
          <w:p>
            <w:pPr>
              <w:pStyle w:val="Compact"/>
              <w:spacing w:after="20" w:before="20"/>
            </w:pPr>
            <w:r>
              <w:rPr>
                <w:sz w:val="17"/>
              </w:rPr>
              <w:t xml:space="preserve">Last Tuesday, 9:00 am</w:t>
            </w:r>
          </w:p>
        </w:tc>
        <w:tc>
          <w:tcPr>
            <w:tcW w:w="3528" w:type="dxa"/>
          </w:tcPr>
          <w:p>
            <w:pPr>
              <w:pStyle w:val="Compact"/>
              <w:spacing w:after="20" w:before="20"/>
            </w:pPr>
            <w:r>
              <w:rPr>
                <w:sz w:val="17"/>
              </w:rPr>
              <w:t xml:space="preserve">Consumer health</w:t>
            </w:r>
          </w:p>
        </w:tc>
        <w:tc>
          <w:tcPr>
            <w:tcW w:w="2469" w:type="dxa"/>
          </w:tcPr>
          <w:p>
            <w:pPr>
              <w:pStyle w:val="Compact"/>
              <w:spacing w:after="20" w:before="20"/>
            </w:pPr>
            <w:hyperlink r:id="rId145">
              <w:r>
                <w:rPr>
                  <w:rStyle w:val="Hyperlink"/>
                  <w:sz w:val="17"/>
                </w:rPr>
                <w:t xml:space="preserve">conference-board.org – Consumer Confidence</w:t>
              </w:r>
            </w:hyperlink>
          </w:p>
        </w:tc>
      </w:tr>
      <w:tr>
        <w:trPr>
          <w:cantSplit/>
        </w:trPr>
        <w:tc>
          <w:tcPr>
            <w:tcW w:w="2822" w:type="dxa"/>
            <w:shd w:val="clear" w:color="auto" w:fill="EEF2F7"/>
          </w:tcPr>
          <w:p>
            <w:pPr>
              <w:pStyle w:val="Compact"/>
              <w:spacing w:after="20" w:before="20"/>
            </w:pPr>
            <w:r>
              <w:rPr>
                <w:sz w:val="17"/>
              </w:rPr>
              <w:t xml:space="preserve">FOMC decision / press conference</w:t>
            </w:r>
          </w:p>
        </w:tc>
        <w:tc>
          <w:tcPr>
            <w:tcW w:w="2116" w:type="dxa"/>
            <w:shd w:val="clear" w:color="auto" w:fill="EEF2F7"/>
          </w:tcPr>
          <w:p>
            <w:pPr>
              <w:pStyle w:val="Compact"/>
              <w:spacing w:after="20" w:before="20"/>
            </w:pPr>
            <w:r>
              <w:rPr>
                <w:sz w:val="17"/>
              </w:rPr>
              <w:t xml:space="preserve">Federal Reserve</w:t>
            </w:r>
          </w:p>
        </w:tc>
        <w:tc>
          <w:tcPr>
            <w:tcW w:w="3175" w:type="dxa"/>
            <w:shd w:val="clear" w:color="auto" w:fill="EEF2F7"/>
          </w:tcPr>
          <w:p>
            <w:pPr>
              <w:pStyle w:val="Compact"/>
              <w:spacing w:after="20" w:before="20"/>
            </w:pPr>
            <w:r>
              <w:rPr>
                <w:sz w:val="17"/>
              </w:rPr>
              <w:t xml:space="preserve">1:00 pm / 1:30 pm on decision day</w:t>
            </w:r>
          </w:p>
        </w:tc>
        <w:tc>
          <w:tcPr>
            <w:tcW w:w="3528" w:type="dxa"/>
            <w:shd w:val="clear" w:color="auto" w:fill="EEF2F7"/>
          </w:tcPr>
          <w:p>
            <w:pPr>
              <w:pStyle w:val="Compact"/>
              <w:spacing w:after="20" w:before="20"/>
            </w:pPr>
            <w:r>
              <w:rPr>
                <w:sz w:val="17"/>
              </w:rPr>
              <w:t xml:space="preserve">Front-end and curve</w:t>
            </w:r>
          </w:p>
        </w:tc>
        <w:tc>
          <w:tcPr>
            <w:tcW w:w="2469" w:type="dxa"/>
            <w:shd w:val="clear" w:color="auto" w:fill="EEF2F7"/>
          </w:tcPr>
          <w:p>
            <w:pPr>
              <w:pStyle w:val="Compact"/>
              <w:spacing w:after="20" w:before="20"/>
            </w:pPr>
            <w:hyperlink r:id="rId29">
              <w:r>
                <w:rPr>
                  <w:rStyle w:val="Hyperlink"/>
                  <w:sz w:val="17"/>
                </w:rPr>
                <w:t xml:space="preserve">federalreserve.gov – FOMC calendars</w:t>
              </w:r>
            </w:hyperlink>
          </w:p>
        </w:tc>
      </w:tr>
      <w:tr>
        <w:trPr>
          <w:cantSplit/>
        </w:trPr>
        <w:tc>
          <w:tcPr>
            <w:tcW w:w="2822" w:type="dxa"/>
          </w:tcPr>
          <w:p>
            <w:pPr>
              <w:pStyle w:val="Compact"/>
              <w:spacing w:after="20" w:before="20"/>
            </w:pPr>
            <w:r>
              <w:rPr>
                <w:sz w:val="17"/>
              </w:rPr>
              <w:t xml:space="preserve">Fed H.8 (bank assets incl. MBS holdings)</w:t>
            </w:r>
          </w:p>
        </w:tc>
        <w:tc>
          <w:tcPr>
            <w:tcW w:w="2116" w:type="dxa"/>
          </w:tcPr>
          <w:p>
            <w:pPr>
              <w:pStyle w:val="Compact"/>
              <w:spacing w:after="20" w:before="20"/>
            </w:pPr>
            <w:r>
              <w:rPr>
                <w:sz w:val="17"/>
              </w:rPr>
              <w:t xml:space="preserve">Federal Reserve</w:t>
            </w:r>
          </w:p>
        </w:tc>
        <w:tc>
          <w:tcPr>
            <w:tcW w:w="3175" w:type="dxa"/>
          </w:tcPr>
          <w:p>
            <w:pPr>
              <w:pStyle w:val="Compact"/>
              <w:spacing w:after="20" w:before="20"/>
            </w:pPr>
            <w:r>
              <w:rPr>
                <w:sz w:val="17"/>
              </w:rPr>
              <w:t xml:space="preserve">Fridays, 3:15 pm</w:t>
            </w:r>
          </w:p>
        </w:tc>
        <w:tc>
          <w:tcPr>
            <w:tcW w:w="3528" w:type="dxa"/>
          </w:tcPr>
          <w:p>
            <w:pPr>
              <w:pStyle w:val="Compact"/>
              <w:spacing w:after="20" w:before="20"/>
            </w:pPr>
            <w:r>
              <w:rPr>
                <w:sz w:val="17"/>
              </w:rPr>
              <w:t xml:space="preserve">Bank demand for MBS</w:t>
            </w:r>
          </w:p>
        </w:tc>
        <w:tc>
          <w:tcPr>
            <w:tcW w:w="2469" w:type="dxa"/>
          </w:tcPr>
          <w:p>
            <w:pPr>
              <w:pStyle w:val="Compact"/>
              <w:spacing w:after="20" w:before="20"/>
            </w:pPr>
            <w:hyperlink r:id="rId146">
              <w:r>
                <w:rPr>
                  <w:rStyle w:val="Hyperlink"/>
                  <w:sz w:val="17"/>
                </w:rPr>
                <w:t xml:space="preserve">federalreserve.gov – H.8</w:t>
              </w:r>
            </w:hyperlink>
          </w:p>
        </w:tc>
      </w:tr>
      <w:tr>
        <w:trPr>
          <w:cantSplit/>
        </w:trPr>
        <w:tc>
          <w:tcPr>
            <w:tcW w:w="2822" w:type="dxa"/>
            <w:shd w:val="clear" w:color="auto" w:fill="EEF2F7"/>
          </w:tcPr>
          <w:p>
            <w:pPr>
              <w:pStyle w:val="Compact"/>
              <w:spacing w:after="20" w:before="20"/>
            </w:pPr>
            <w:r>
              <w:rPr>
                <w:sz w:val="17"/>
              </w:rPr>
              <w:t xml:space="preserve">Treasury coupon auctions</w:t>
            </w:r>
          </w:p>
        </w:tc>
        <w:tc>
          <w:tcPr>
            <w:tcW w:w="2116" w:type="dxa"/>
            <w:shd w:val="clear" w:color="auto" w:fill="EEF2F7"/>
          </w:tcPr>
          <w:p>
            <w:pPr>
              <w:pStyle w:val="Compact"/>
              <w:spacing w:after="20" w:before="20"/>
            </w:pPr>
            <w:r>
              <w:rPr>
                <w:sz w:val="17"/>
              </w:rPr>
              <w:t xml:space="preserve">Treasury</w:t>
            </w:r>
          </w:p>
        </w:tc>
        <w:tc>
          <w:tcPr>
            <w:tcW w:w="3175" w:type="dxa"/>
            <w:shd w:val="clear" w:color="auto" w:fill="EEF2F7"/>
          </w:tcPr>
          <w:p>
            <w:pPr>
              <w:pStyle w:val="Compact"/>
              <w:spacing w:after="20" w:before="20"/>
            </w:pPr>
            <w:r>
              <w:rPr>
                <w:sz w:val="17"/>
              </w:rPr>
              <w:t xml:space="preserve">Results around 12:00 pm on auction days</w:t>
            </w:r>
          </w:p>
        </w:tc>
        <w:tc>
          <w:tcPr>
            <w:tcW w:w="3528" w:type="dxa"/>
            <w:shd w:val="clear" w:color="auto" w:fill="EEF2F7"/>
          </w:tcPr>
          <w:p>
            <w:pPr>
              <w:pStyle w:val="Compact"/>
              <w:spacing w:after="20" w:before="20"/>
            </w:pPr>
            <w:r>
              <w:rPr>
                <w:sz w:val="17"/>
              </w:rPr>
              <w:t xml:space="preserve">Supply; 10Y/30Y auctions move MBS</w:t>
            </w:r>
          </w:p>
        </w:tc>
        <w:tc>
          <w:tcPr>
            <w:tcW w:w="2469" w:type="dxa"/>
            <w:shd w:val="clear" w:color="auto" w:fill="EEF2F7"/>
          </w:tcPr>
          <w:p>
            <w:pPr>
              <w:pStyle w:val="Compact"/>
              <w:spacing w:after="20" w:before="20"/>
            </w:pPr>
            <w:hyperlink r:id="rId18">
              <w:r>
                <w:rPr>
                  <w:rStyle w:val="Hyperlink"/>
                  <w:sz w:val="17"/>
                </w:rPr>
                <w:t xml:space="preserve">treasurydirect.gov – Upcoming auctions</w:t>
              </w:r>
            </w:hyperlink>
          </w:p>
        </w:tc>
      </w:tr>
    </w:tbl>
    <w:bookmarkEnd w:id="147"/>
    <w:bookmarkEnd w:id="148"/>
    <w:bookmarkStart w:id="161" w:name="industry-news-and-market-color"/>
    <w:p>
      <w:pPr>
        <w:pStyle w:val="Heading1"/>
      </w:pPr>
      <w:r>
        <w:t xml:space="preserve">9. Industry news and market color</w:t>
      </w:r>
    </w:p>
    <w:p>
      <w:pPr>
        <w:pStyle w:val="TableCaption"/>
      </w:pPr>
      <w:r>
        <w:t xml:space="preserve">News, color and research sources.</w:t>
      </w:r>
    </w:p>
    <w:tbl>
      <w:tblPr>
        <w:tblStyle w:val="Table"/>
        <w:tblLayout w:type="fixed"/>
        <w:tblLook w:firstRow="1" w:lastRow="0" w:firstColumn="0" w:lastColumn="0" w:noHBand="0" w:noVBand="0" w:val="0020"/>
        <w:tblCaption w:val="News, color and research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HousingWire</w:t>
            </w:r>
          </w:p>
        </w:tc>
        <w:tc>
          <w:tcPr>
            <w:tcW w:w="3485" w:type="dxa"/>
          </w:tcPr>
          <w:p>
            <w:pPr>
              <w:pStyle w:val="Compact"/>
              <w:spacing w:after="20" w:before="20"/>
            </w:pPr>
            <w:r>
              <w:rPr>
                <w:sz w:val="17"/>
              </w:rPr>
              <w:t xml:space="preserve">Mortgage industry news, data stories (ICE, MBA, Freddie), lender and capital-markets coverage</w:t>
            </w:r>
          </w:p>
        </w:tc>
        <w:tc>
          <w:tcPr>
            <w:tcW w:w="1394" w:type="dxa"/>
          </w:tcPr>
          <w:p>
            <w:pPr>
              <w:pStyle w:val="Compact"/>
              <w:spacing w:after="20" w:before="20"/>
            </w:pPr>
            <w:r>
              <w:rPr>
                <w:sz w:val="17"/>
              </w:rPr>
              <w:t xml:space="preserve">Free (some premium)</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Fast industry news</w:t>
            </w:r>
          </w:p>
        </w:tc>
        <w:tc>
          <w:tcPr>
            <w:tcW w:w="2438" w:type="dxa"/>
          </w:tcPr>
          <w:p>
            <w:pPr>
              <w:pStyle w:val="Compact"/>
              <w:spacing w:after="20" w:before="20"/>
            </w:pPr>
            <w:hyperlink r:id="rId107">
              <w:r>
                <w:rPr>
                  <w:rStyle w:val="Hyperlink"/>
                  <w:sz w:val="17"/>
                </w:rPr>
                <w:t xml:space="preserve">housingwire.com</w:t>
              </w:r>
            </w:hyperlink>
          </w:p>
        </w:tc>
      </w:tr>
      <w:tr>
        <w:trPr>
          <w:cantSplit/>
        </w:trPr>
        <w:tc>
          <w:tcPr>
            <w:tcW w:w="2438" w:type="dxa"/>
            <w:shd w:val="clear" w:color="auto" w:fill="EEF2F7"/>
          </w:tcPr>
          <w:p>
            <w:pPr>
              <w:pStyle w:val="Compact"/>
              <w:spacing w:after="20" w:before="20"/>
            </w:pPr>
            <w:r>
              <w:rPr>
                <w:sz w:val="17"/>
              </w:rPr>
              <w:t xml:space="preserve">National Mortgage News (Arizent)</w:t>
            </w:r>
          </w:p>
        </w:tc>
        <w:tc>
          <w:tcPr>
            <w:tcW w:w="3485" w:type="dxa"/>
            <w:shd w:val="clear" w:color="auto" w:fill="EEF2F7"/>
          </w:tcPr>
          <w:p>
            <w:pPr>
              <w:pStyle w:val="Compact"/>
              <w:spacing w:after="20" w:before="20"/>
            </w:pPr>
            <w:r>
              <w:rPr>
                <w:sz w:val="17"/>
              </w:rPr>
              <w:t xml:space="preserve">Mortgage industry and secondary-market news</w:t>
            </w:r>
          </w:p>
        </w:tc>
        <w:tc>
          <w:tcPr>
            <w:tcW w:w="1394" w:type="dxa"/>
            <w:shd w:val="clear" w:color="auto" w:fill="EEF2F7"/>
          </w:tcPr>
          <w:p>
            <w:pPr>
              <w:pStyle w:val="Compact"/>
              <w:spacing w:after="20" w:before="20"/>
            </w:pPr>
            <w:r>
              <w:rPr>
                <w:sz w:val="17"/>
              </w:rPr>
              <w:t xml:space="preserve">Free headlines; Paid full</w:t>
            </w:r>
          </w:p>
        </w:tc>
        <w:tc>
          <w:tcPr>
            <w:tcW w:w="1916" w:type="dxa"/>
            <w:shd w:val="clear" w:color="auto" w:fill="EEF2F7"/>
          </w:tcPr>
          <w:p>
            <w:pPr>
              <w:pStyle w:val="Compact"/>
              <w:spacing w:after="20" w:before="20"/>
            </w:pPr>
            <w:r>
              <w:rPr>
                <w:sz w:val="17"/>
              </w:rPr>
              <w:t xml:space="preserve">Daily</w:t>
            </w:r>
          </w:p>
        </w:tc>
        <w:tc>
          <w:tcPr>
            <w:tcW w:w="2438" w:type="dxa"/>
            <w:shd w:val="clear" w:color="auto" w:fill="EEF2F7"/>
          </w:tcPr>
          <w:p>
            <w:pPr>
              <w:pStyle w:val="Compact"/>
              <w:spacing w:after="20" w:before="20"/>
            </w:pPr>
            <w:r>
              <w:rPr>
                <w:sz w:val="17"/>
              </w:rPr>
              <w:t xml:space="preserve">Secondary-market stories</w:t>
            </w:r>
          </w:p>
        </w:tc>
        <w:tc>
          <w:tcPr>
            <w:tcW w:w="2438" w:type="dxa"/>
            <w:shd w:val="clear" w:color="auto" w:fill="EEF2F7"/>
          </w:tcPr>
          <w:p>
            <w:pPr>
              <w:pStyle w:val="Compact"/>
              <w:spacing w:after="20" w:before="20"/>
            </w:pPr>
            <w:hyperlink r:id="rId149">
              <w:r>
                <w:rPr>
                  <w:rStyle w:val="Hyperlink"/>
                  <w:sz w:val="17"/>
                </w:rPr>
                <w:t xml:space="preserve">nationalmortgagenews.com</w:t>
              </w:r>
            </w:hyperlink>
          </w:p>
        </w:tc>
      </w:tr>
      <w:tr>
        <w:trPr>
          <w:cantSplit/>
        </w:trPr>
        <w:tc>
          <w:tcPr>
            <w:tcW w:w="2438" w:type="dxa"/>
          </w:tcPr>
          <w:p>
            <w:pPr>
              <w:pStyle w:val="Compact"/>
              <w:spacing w:after="20" w:before="20"/>
            </w:pPr>
            <w:r>
              <w:rPr>
                <w:sz w:val="17"/>
              </w:rPr>
              <w:t xml:space="preserve">National Mortgage Professional (NMP)</w:t>
            </w:r>
          </w:p>
        </w:tc>
        <w:tc>
          <w:tcPr>
            <w:tcW w:w="3485" w:type="dxa"/>
          </w:tcPr>
          <w:p>
            <w:pPr>
              <w:pStyle w:val="Compact"/>
              <w:spacing w:after="20" w:before="20"/>
            </w:pPr>
            <w:r>
              <w:rPr>
                <w:sz w:val="17"/>
              </w:rPr>
              <w:t xml:space="preserve">Originator-focused news, Non-QM product coverage</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Non-QM/DSCR product trends</w:t>
            </w:r>
          </w:p>
        </w:tc>
        <w:tc>
          <w:tcPr>
            <w:tcW w:w="2438" w:type="dxa"/>
          </w:tcPr>
          <w:p>
            <w:pPr>
              <w:pStyle w:val="Compact"/>
              <w:spacing w:after="20" w:before="20"/>
            </w:pPr>
            <w:hyperlink r:id="rId150">
              <w:r>
                <w:rPr>
                  <w:rStyle w:val="Hyperlink"/>
                  <w:sz w:val="17"/>
                </w:rPr>
                <w:t xml:space="preserve">nationalmortgageprofessional.com</w:t>
              </w:r>
            </w:hyperlink>
          </w:p>
        </w:tc>
      </w:tr>
      <w:tr>
        <w:trPr>
          <w:cantSplit/>
        </w:trPr>
        <w:tc>
          <w:tcPr>
            <w:tcW w:w="2438" w:type="dxa"/>
            <w:shd w:val="clear" w:color="auto" w:fill="EEF2F7"/>
          </w:tcPr>
          <w:p>
            <w:pPr>
              <w:pStyle w:val="Compact"/>
              <w:spacing w:after="20" w:before="20"/>
            </w:pPr>
            <w:r>
              <w:rPr>
                <w:sz w:val="17"/>
              </w:rPr>
              <w:t xml:space="preserve">Scotsman Guide</w:t>
            </w:r>
          </w:p>
        </w:tc>
        <w:tc>
          <w:tcPr>
            <w:tcW w:w="3485" w:type="dxa"/>
            <w:shd w:val="clear" w:color="auto" w:fill="EEF2F7"/>
          </w:tcPr>
          <w:p>
            <w:pPr>
              <w:pStyle w:val="Compact"/>
              <w:spacing w:after="20" w:before="20"/>
            </w:pPr>
            <w:r>
              <w:rPr>
                <w:sz w:val="17"/>
              </w:rPr>
              <w:t xml:space="preserve">Residential and commercial originator news and data features, Non-QM coverage</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Daily/monthly</w:t>
            </w:r>
          </w:p>
        </w:tc>
        <w:tc>
          <w:tcPr>
            <w:tcW w:w="2438" w:type="dxa"/>
            <w:shd w:val="clear" w:color="auto" w:fill="EEF2F7"/>
          </w:tcPr>
          <w:p>
            <w:pPr>
              <w:pStyle w:val="Compact"/>
              <w:spacing w:after="20" w:before="20"/>
            </w:pPr>
            <w:r>
              <w:rPr>
                <w:sz w:val="17"/>
              </w:rPr>
              <w:t xml:space="preserve">Non-QM lender landscape</w:t>
            </w:r>
          </w:p>
        </w:tc>
        <w:tc>
          <w:tcPr>
            <w:tcW w:w="2438" w:type="dxa"/>
            <w:shd w:val="clear" w:color="auto" w:fill="EEF2F7"/>
          </w:tcPr>
          <w:p>
            <w:pPr>
              <w:pStyle w:val="Compact"/>
              <w:spacing w:after="20" w:before="20"/>
            </w:pPr>
            <w:hyperlink r:id="rId106">
              <w:r>
                <w:rPr>
                  <w:rStyle w:val="Hyperlink"/>
                  <w:sz w:val="17"/>
                </w:rPr>
                <w:t xml:space="preserve">scotsmanguide.com</w:t>
              </w:r>
            </w:hyperlink>
          </w:p>
        </w:tc>
      </w:tr>
      <w:tr>
        <w:trPr>
          <w:cantSplit/>
        </w:trPr>
        <w:tc>
          <w:tcPr>
            <w:tcW w:w="2438" w:type="dxa"/>
          </w:tcPr>
          <w:p>
            <w:pPr>
              <w:pStyle w:val="Compact"/>
              <w:spacing w:after="20" w:before="20"/>
            </w:pPr>
            <w:r>
              <w:rPr>
                <w:sz w:val="17"/>
              </w:rPr>
              <w:t xml:space="preserve">Mortgage News Daily</w:t>
            </w:r>
          </w:p>
        </w:tc>
        <w:tc>
          <w:tcPr>
            <w:tcW w:w="3485" w:type="dxa"/>
          </w:tcPr>
          <w:p>
            <w:pPr>
              <w:pStyle w:val="Compact"/>
              <w:spacing w:after="20" w:before="20"/>
            </w:pPr>
            <w:r>
              <w:rPr>
                <w:sz w:val="17"/>
              </w:rPr>
              <w:t xml:space="preserve">Daily rate index, MBS commentary, market recaps</w:t>
            </w:r>
          </w:p>
        </w:tc>
        <w:tc>
          <w:tcPr>
            <w:tcW w:w="1394" w:type="dxa"/>
          </w:tcPr>
          <w:p>
            <w:pPr>
              <w:pStyle w:val="Compact"/>
              <w:spacing w:after="20" w:before="20"/>
            </w:pPr>
            <w:r>
              <w:rPr>
                <w:sz w:val="17"/>
              </w:rPr>
              <w:t xml:space="preserve">Free (MBS Live Paid)</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Daily rate/MBS narrative</w:t>
            </w:r>
          </w:p>
        </w:tc>
        <w:tc>
          <w:tcPr>
            <w:tcW w:w="2438" w:type="dxa"/>
          </w:tcPr>
          <w:p>
            <w:pPr>
              <w:pStyle w:val="Compact"/>
              <w:spacing w:after="20" w:before="20"/>
            </w:pPr>
            <w:hyperlink r:id="rId151">
              <w:r>
                <w:rPr>
                  <w:rStyle w:val="Hyperlink"/>
                  <w:sz w:val="17"/>
                </w:rPr>
                <w:t xml:space="preserve">mortgagenewsdaily.com</w:t>
              </w:r>
            </w:hyperlink>
          </w:p>
        </w:tc>
      </w:tr>
      <w:tr>
        <w:trPr>
          <w:cantSplit/>
        </w:trPr>
        <w:tc>
          <w:tcPr>
            <w:tcW w:w="2438" w:type="dxa"/>
            <w:shd w:val="clear" w:color="auto" w:fill="EEF2F7"/>
          </w:tcPr>
          <w:p>
            <w:pPr>
              <w:pStyle w:val="Compact"/>
              <w:spacing w:after="20" w:before="20"/>
            </w:pPr>
            <w:r>
              <w:rPr>
                <w:sz w:val="17"/>
              </w:rPr>
              <w:t xml:space="preserve">Inside Mortgage Finance</w:t>
            </w:r>
          </w:p>
        </w:tc>
        <w:tc>
          <w:tcPr>
            <w:tcW w:w="3485" w:type="dxa"/>
            <w:shd w:val="clear" w:color="auto" w:fill="EEF2F7"/>
          </w:tcPr>
          <w:p>
            <w:pPr>
              <w:pStyle w:val="Compact"/>
              <w:spacing w:after="20" w:before="20"/>
            </w:pPr>
            <w:r>
              <w:rPr>
                <w:sz w:val="17"/>
              </w:rPr>
              <w:t xml:space="preserve">Origination/servicing/MBS rankings; newsletters incl. Inside Nonconforming Markets and Inside MBS &amp; ABS</w:t>
            </w:r>
          </w:p>
        </w:tc>
        <w:tc>
          <w:tcPr>
            <w:tcW w:w="1394" w:type="dxa"/>
            <w:shd w:val="clear" w:color="auto" w:fill="EEF2F7"/>
          </w:tcPr>
          <w:p>
            <w:pPr>
              <w:pStyle w:val="Compact"/>
              <w:spacing w:after="20" w:before="20"/>
            </w:pPr>
            <w:r>
              <w:rPr>
                <w:sz w:val="17"/>
              </w:rPr>
              <w:t xml:space="preserve">Paid – Nice to have</w:t>
            </w:r>
          </w:p>
        </w:tc>
        <w:tc>
          <w:tcPr>
            <w:tcW w:w="1916" w:type="dxa"/>
            <w:shd w:val="clear" w:color="auto" w:fill="EEF2F7"/>
          </w:tcPr>
          <w:p>
            <w:pPr>
              <w:pStyle w:val="Compact"/>
              <w:spacing w:after="20" w:before="20"/>
            </w:pPr>
            <w:r>
              <w:rPr>
                <w:sz w:val="17"/>
              </w:rPr>
              <w:t xml:space="preserve">Weekly/biweekly</w:t>
            </w:r>
          </w:p>
        </w:tc>
        <w:tc>
          <w:tcPr>
            <w:tcW w:w="2438" w:type="dxa"/>
            <w:shd w:val="clear" w:color="auto" w:fill="EEF2F7"/>
          </w:tcPr>
          <w:p>
            <w:pPr>
              <w:pStyle w:val="Compact"/>
              <w:spacing w:after="20" w:before="20"/>
            </w:pPr>
            <w:r>
              <w:rPr>
                <w:sz w:val="17"/>
              </w:rPr>
              <w:t xml:space="preserve">Market-share and volume data</w:t>
            </w:r>
          </w:p>
        </w:tc>
        <w:tc>
          <w:tcPr>
            <w:tcW w:w="2438" w:type="dxa"/>
            <w:shd w:val="clear" w:color="auto" w:fill="EEF2F7"/>
          </w:tcPr>
          <w:p>
            <w:pPr>
              <w:pStyle w:val="Compact"/>
              <w:spacing w:after="20" w:before="20"/>
            </w:pPr>
            <w:hyperlink r:id="rId152">
              <w:r>
                <w:rPr>
                  <w:rStyle w:val="Hyperlink"/>
                  <w:sz w:val="17"/>
                </w:rPr>
                <w:t xml:space="preserve">insidemortgagefinance.com</w:t>
              </w:r>
            </w:hyperlink>
          </w:p>
        </w:tc>
      </w:tr>
      <w:tr>
        <w:trPr>
          <w:cantSplit/>
        </w:trPr>
        <w:tc>
          <w:tcPr>
            <w:tcW w:w="2438" w:type="dxa"/>
          </w:tcPr>
          <w:p>
            <w:pPr>
              <w:pStyle w:val="Compact"/>
              <w:spacing w:after="20" w:before="20"/>
            </w:pPr>
            <w:r>
              <w:rPr>
                <w:sz w:val="17"/>
              </w:rPr>
              <w:t xml:space="preserve">Asset Securitization Report</w:t>
            </w:r>
          </w:p>
        </w:tc>
        <w:tc>
          <w:tcPr>
            <w:tcW w:w="3485" w:type="dxa"/>
          </w:tcPr>
          <w:p>
            <w:pPr>
              <w:pStyle w:val="Compact"/>
              <w:spacing w:after="20" w:before="20"/>
            </w:pPr>
            <w:r>
              <w:rPr>
                <w:sz w:val="17"/>
              </w:rPr>
              <w:t xml:space="preserve">Securitization deals, issuance totals, league tables</w:t>
            </w:r>
          </w:p>
        </w:tc>
        <w:tc>
          <w:tcPr>
            <w:tcW w:w="1394" w:type="dxa"/>
          </w:tcPr>
          <w:p>
            <w:pPr>
              <w:pStyle w:val="Compact"/>
              <w:spacing w:after="20" w:before="20"/>
            </w:pPr>
            <w:r>
              <w:rPr>
                <w:sz w:val="17"/>
              </w:rPr>
              <w:t xml:space="preserve">Free headlines / Paid</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Deal recaps</w:t>
            </w:r>
          </w:p>
        </w:tc>
        <w:tc>
          <w:tcPr>
            <w:tcW w:w="2438" w:type="dxa"/>
          </w:tcPr>
          <w:p>
            <w:pPr>
              <w:pStyle w:val="Compact"/>
              <w:spacing w:after="20" w:before="20"/>
            </w:pPr>
            <w:hyperlink r:id="rId67">
              <w:r>
                <w:rPr>
                  <w:rStyle w:val="Hyperlink"/>
                  <w:sz w:val="17"/>
                </w:rPr>
                <w:t xml:space="preserve">asreport.americanbanker.com</w:t>
              </w:r>
            </w:hyperlink>
          </w:p>
        </w:tc>
      </w:tr>
      <w:tr>
        <w:trPr>
          <w:cantSplit/>
        </w:trPr>
        <w:tc>
          <w:tcPr>
            <w:tcW w:w="2438" w:type="dxa"/>
            <w:shd w:val="clear" w:color="auto" w:fill="EEF2F7"/>
          </w:tcPr>
          <w:p>
            <w:pPr>
              <w:pStyle w:val="Compact"/>
              <w:spacing w:after="20" w:before="20"/>
            </w:pPr>
            <w:r>
              <w:rPr>
                <w:sz w:val="17"/>
              </w:rPr>
              <w:t xml:space="preserve">American Banker</w:t>
            </w:r>
          </w:p>
        </w:tc>
        <w:tc>
          <w:tcPr>
            <w:tcW w:w="3485" w:type="dxa"/>
            <w:shd w:val="clear" w:color="auto" w:fill="EEF2F7"/>
          </w:tcPr>
          <w:p>
            <w:pPr>
              <w:pStyle w:val="Compact"/>
              <w:spacing w:after="20" w:before="20"/>
            </w:pPr>
            <w:r>
              <w:rPr>
                <w:sz w:val="17"/>
              </w:rPr>
              <w:t xml:space="preserve">Banking and policy news (bank mortgage appetite, regulation)</w:t>
            </w:r>
          </w:p>
        </w:tc>
        <w:tc>
          <w:tcPr>
            <w:tcW w:w="1394" w:type="dxa"/>
            <w:shd w:val="clear" w:color="auto" w:fill="EEF2F7"/>
          </w:tcPr>
          <w:p>
            <w:pPr>
              <w:pStyle w:val="Compact"/>
              <w:spacing w:after="20" w:before="20"/>
            </w:pPr>
            <w:r>
              <w:rPr>
                <w:sz w:val="17"/>
              </w:rPr>
              <w:t xml:space="preserve">Paid (limited free)</w:t>
            </w:r>
          </w:p>
        </w:tc>
        <w:tc>
          <w:tcPr>
            <w:tcW w:w="1916" w:type="dxa"/>
            <w:shd w:val="clear" w:color="auto" w:fill="EEF2F7"/>
          </w:tcPr>
          <w:p>
            <w:pPr>
              <w:pStyle w:val="Compact"/>
              <w:spacing w:after="20" w:before="20"/>
            </w:pPr>
            <w:r>
              <w:rPr>
                <w:sz w:val="17"/>
              </w:rPr>
              <w:t xml:space="preserve">Daily</w:t>
            </w:r>
          </w:p>
        </w:tc>
        <w:tc>
          <w:tcPr>
            <w:tcW w:w="2438" w:type="dxa"/>
            <w:shd w:val="clear" w:color="auto" w:fill="EEF2F7"/>
          </w:tcPr>
          <w:p>
            <w:pPr>
              <w:pStyle w:val="Compact"/>
              <w:spacing w:after="20" w:before="20"/>
            </w:pPr>
            <w:r>
              <w:rPr>
                <w:sz w:val="17"/>
              </w:rPr>
              <w:t xml:space="preserve">Bank/regulatory angle</w:t>
            </w:r>
          </w:p>
        </w:tc>
        <w:tc>
          <w:tcPr>
            <w:tcW w:w="2438" w:type="dxa"/>
            <w:shd w:val="clear" w:color="auto" w:fill="EEF2F7"/>
          </w:tcPr>
          <w:p>
            <w:pPr>
              <w:pStyle w:val="Compact"/>
              <w:spacing w:after="20" w:before="20"/>
            </w:pPr>
            <w:hyperlink r:id="rId153">
              <w:r>
                <w:rPr>
                  <w:rStyle w:val="Hyperlink"/>
                  <w:sz w:val="17"/>
                </w:rPr>
                <w:t xml:space="preserve">americanbanker.com</w:t>
              </w:r>
            </w:hyperlink>
          </w:p>
        </w:tc>
      </w:tr>
      <w:tr>
        <w:trPr>
          <w:cantSplit/>
        </w:trPr>
        <w:tc>
          <w:tcPr>
            <w:tcW w:w="2438" w:type="dxa"/>
          </w:tcPr>
          <w:p>
            <w:pPr>
              <w:pStyle w:val="Compact"/>
              <w:spacing w:after="20" w:before="20"/>
            </w:pPr>
            <w:r>
              <w:rPr>
                <w:sz w:val="17"/>
              </w:rPr>
              <w:t xml:space="preserve">Asset-Backed Alert (Green Street)</w:t>
            </w:r>
          </w:p>
        </w:tc>
        <w:tc>
          <w:tcPr>
            <w:tcW w:w="3485" w:type="dxa"/>
          </w:tcPr>
          <w:p>
            <w:pPr>
              <w:pStyle w:val="Compact"/>
              <w:spacing w:after="20" w:before="20"/>
            </w:pPr>
            <w:r>
              <w:rPr>
                <w:sz w:val="17"/>
              </w:rPr>
              <w:t xml:space="preserve">Structured-finance pipeline and market intel</w:t>
            </w:r>
          </w:p>
        </w:tc>
        <w:tc>
          <w:tcPr>
            <w:tcW w:w="1394" w:type="dxa"/>
          </w:tcPr>
          <w:p>
            <w:pPr>
              <w:pStyle w:val="Compact"/>
              <w:spacing w:after="20" w:before="20"/>
            </w:pPr>
            <w:r>
              <w:rPr>
                <w:sz w:val="17"/>
              </w:rPr>
              <w:t xml:space="preserve">Paid – Nice to have</w:t>
            </w:r>
          </w:p>
        </w:tc>
        <w:tc>
          <w:tcPr>
            <w:tcW w:w="1916" w:type="dxa"/>
          </w:tcPr>
          <w:p>
            <w:pPr>
              <w:pStyle w:val="Compact"/>
              <w:spacing w:after="20" w:before="20"/>
            </w:pPr>
            <w:r>
              <w:rPr>
                <w:sz w:val="17"/>
              </w:rPr>
              <w:t xml:space="preserve">Weekly</w:t>
            </w:r>
          </w:p>
        </w:tc>
        <w:tc>
          <w:tcPr>
            <w:tcW w:w="2438" w:type="dxa"/>
          </w:tcPr>
          <w:p>
            <w:pPr>
              <w:pStyle w:val="Compact"/>
              <w:spacing w:after="20" w:before="20"/>
            </w:pPr>
            <w:r>
              <w:rPr>
                <w:sz w:val="17"/>
              </w:rPr>
              <w:t xml:space="preserve">Pipeline intel</w:t>
            </w:r>
          </w:p>
        </w:tc>
        <w:tc>
          <w:tcPr>
            <w:tcW w:w="2438" w:type="dxa"/>
          </w:tcPr>
          <w:p>
            <w:pPr>
              <w:pStyle w:val="Compact"/>
              <w:spacing w:after="20" w:before="20"/>
            </w:pPr>
            <w:hyperlink r:id="rId66">
              <w:r>
                <w:rPr>
                  <w:rStyle w:val="Hyperlink"/>
                  <w:sz w:val="17"/>
                </w:rPr>
                <w:t xml:space="preserve">greenstreet.com</w:t>
              </w:r>
            </w:hyperlink>
          </w:p>
        </w:tc>
      </w:tr>
      <w:tr>
        <w:trPr>
          <w:cantSplit/>
        </w:trPr>
        <w:tc>
          <w:tcPr>
            <w:tcW w:w="2438" w:type="dxa"/>
            <w:shd w:val="clear" w:color="auto" w:fill="EEF2F7"/>
          </w:tcPr>
          <w:p>
            <w:pPr>
              <w:pStyle w:val="Compact"/>
              <w:spacing w:after="20" w:before="20"/>
            </w:pPr>
            <w:r>
              <w:rPr>
                <w:sz w:val="17"/>
              </w:rPr>
              <w:t xml:space="preserve">Bloomberg News</w:t>
            </w:r>
          </w:p>
        </w:tc>
        <w:tc>
          <w:tcPr>
            <w:tcW w:w="3485" w:type="dxa"/>
            <w:shd w:val="clear" w:color="auto" w:fill="EEF2F7"/>
          </w:tcPr>
          <w:p>
            <w:pPr>
              <w:pStyle w:val="Compact"/>
              <w:spacing w:after="20" w:before="20"/>
            </w:pPr>
            <w:r>
              <w:rPr>
                <w:sz w:val="17"/>
              </w:rPr>
              <w:t xml:space="preserve">Markets, Fed, securitization reporting</w:t>
            </w:r>
          </w:p>
        </w:tc>
        <w:tc>
          <w:tcPr>
            <w:tcW w:w="1394" w:type="dxa"/>
            <w:shd w:val="clear" w:color="auto" w:fill="EEF2F7"/>
          </w:tcPr>
          <w:p>
            <w:pPr>
              <w:pStyle w:val="Compact"/>
              <w:spacing w:after="20" w:before="20"/>
            </w:pPr>
            <w:r>
              <w:rPr>
                <w:sz w:val="17"/>
              </w:rPr>
              <w:t xml:space="preserve">Paid (terminal or bloomberg.com subscription)</w:t>
            </w:r>
          </w:p>
        </w:tc>
        <w:tc>
          <w:tcPr>
            <w:tcW w:w="1916" w:type="dxa"/>
            <w:shd w:val="clear" w:color="auto" w:fill="EEF2F7"/>
          </w:tcPr>
          <w:p>
            <w:pPr>
              <w:pStyle w:val="Compact"/>
              <w:spacing w:after="20" w:before="20"/>
            </w:pPr>
            <w:r>
              <w:rPr>
                <w:sz w:val="17"/>
              </w:rPr>
              <w:t xml:space="preserve">Real time</w:t>
            </w:r>
          </w:p>
        </w:tc>
        <w:tc>
          <w:tcPr>
            <w:tcW w:w="2438" w:type="dxa"/>
            <w:shd w:val="clear" w:color="auto" w:fill="EEF2F7"/>
          </w:tcPr>
          <w:p>
            <w:pPr>
              <w:pStyle w:val="Compact"/>
              <w:spacing w:after="20" w:before="20"/>
            </w:pPr>
            <w:r>
              <w:rPr>
                <w:sz w:val="17"/>
              </w:rPr>
              <w:t xml:space="preserve">Breaking market news</w:t>
            </w:r>
          </w:p>
        </w:tc>
        <w:tc>
          <w:tcPr>
            <w:tcW w:w="2438" w:type="dxa"/>
            <w:shd w:val="clear" w:color="auto" w:fill="EEF2F7"/>
          </w:tcPr>
          <w:p>
            <w:pPr>
              <w:pStyle w:val="Compact"/>
              <w:spacing w:after="20" w:before="20"/>
            </w:pPr>
            <w:hyperlink r:id="rId154">
              <w:r>
                <w:rPr>
                  <w:rStyle w:val="Hyperlink"/>
                  <w:sz w:val="17"/>
                </w:rPr>
                <w:t xml:space="preserve">bloomberg.com</w:t>
              </w:r>
            </w:hyperlink>
          </w:p>
        </w:tc>
      </w:tr>
      <w:tr>
        <w:trPr>
          <w:cantSplit/>
        </w:trPr>
        <w:tc>
          <w:tcPr>
            <w:tcW w:w="2438" w:type="dxa"/>
          </w:tcPr>
          <w:p>
            <w:pPr>
              <w:pStyle w:val="Compact"/>
              <w:spacing w:after="20" w:before="20"/>
            </w:pPr>
            <w:r>
              <w:rPr>
                <w:sz w:val="17"/>
              </w:rPr>
              <w:t xml:space="preserve">Wall Street Journal</w:t>
            </w:r>
          </w:p>
        </w:tc>
        <w:tc>
          <w:tcPr>
            <w:tcW w:w="3485" w:type="dxa"/>
          </w:tcPr>
          <w:p>
            <w:pPr>
              <w:pStyle w:val="Compact"/>
              <w:spacing w:after="20" w:before="20"/>
            </w:pPr>
            <w:r>
              <w:rPr>
                <w:sz w:val="17"/>
              </w:rPr>
              <w:t xml:space="preserve">Markets, economy; Nick Timiraos on the Fed</w:t>
            </w:r>
          </w:p>
        </w:tc>
        <w:tc>
          <w:tcPr>
            <w:tcW w:w="1394" w:type="dxa"/>
          </w:tcPr>
          <w:p>
            <w:pPr>
              <w:pStyle w:val="Compact"/>
              <w:spacing w:after="20" w:before="20"/>
            </w:pPr>
            <w:r>
              <w:rPr>
                <w:sz w:val="17"/>
              </w:rPr>
              <w:t xml:space="preserve">Paid</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Fed and macro narrative</w:t>
            </w:r>
          </w:p>
        </w:tc>
        <w:tc>
          <w:tcPr>
            <w:tcW w:w="2438" w:type="dxa"/>
          </w:tcPr>
          <w:p>
            <w:pPr>
              <w:pStyle w:val="Compact"/>
              <w:spacing w:after="20" w:before="20"/>
            </w:pPr>
            <w:hyperlink r:id="rId34">
              <w:r>
                <w:rPr>
                  <w:rStyle w:val="Hyperlink"/>
                  <w:sz w:val="17"/>
                </w:rPr>
                <w:t xml:space="preserve">wsj.com</w:t>
              </w:r>
            </w:hyperlink>
          </w:p>
        </w:tc>
      </w:tr>
      <w:tr>
        <w:trPr>
          <w:cantSplit/>
        </w:trPr>
        <w:tc>
          <w:tcPr>
            <w:tcW w:w="2438" w:type="dxa"/>
            <w:shd w:val="clear" w:color="auto" w:fill="EEF2F7"/>
          </w:tcPr>
          <w:p>
            <w:pPr>
              <w:pStyle w:val="Compact"/>
              <w:spacing w:after="20" w:before="20"/>
            </w:pPr>
            <w:r>
              <w:rPr>
                <w:sz w:val="17"/>
              </w:rPr>
              <w:t xml:space="preserve">Axios Markets</w:t>
            </w:r>
          </w:p>
        </w:tc>
        <w:tc>
          <w:tcPr>
            <w:tcW w:w="3485" w:type="dxa"/>
            <w:shd w:val="clear" w:color="auto" w:fill="EEF2F7"/>
          </w:tcPr>
          <w:p>
            <w:pPr>
              <w:pStyle w:val="Compact"/>
              <w:spacing w:after="20" w:before="20"/>
            </w:pPr>
            <w:r>
              <w:rPr>
                <w:sz w:val="17"/>
              </w:rPr>
              <w:t xml:space="preserve">Short daily markets newsletter</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Daily</w:t>
            </w:r>
          </w:p>
        </w:tc>
        <w:tc>
          <w:tcPr>
            <w:tcW w:w="2438" w:type="dxa"/>
            <w:shd w:val="clear" w:color="auto" w:fill="EEF2F7"/>
          </w:tcPr>
          <w:p>
            <w:pPr>
              <w:pStyle w:val="Compact"/>
              <w:spacing w:after="20" w:before="20"/>
            </w:pPr>
            <w:r>
              <w:rPr>
                <w:sz w:val="17"/>
              </w:rPr>
              <w:t xml:space="preserve">Quick morning context</w:t>
            </w:r>
          </w:p>
        </w:tc>
        <w:tc>
          <w:tcPr>
            <w:tcW w:w="2438" w:type="dxa"/>
            <w:shd w:val="clear" w:color="auto" w:fill="EEF2F7"/>
          </w:tcPr>
          <w:p>
            <w:pPr>
              <w:pStyle w:val="Compact"/>
              <w:spacing w:after="20" w:before="20"/>
            </w:pPr>
            <w:hyperlink r:id="rId155">
              <w:r>
                <w:rPr>
                  <w:rStyle w:val="Hyperlink"/>
                  <w:sz w:val="17"/>
                </w:rPr>
                <w:t xml:space="preserve">axios.com – Axios Markets</w:t>
              </w:r>
            </w:hyperlink>
          </w:p>
        </w:tc>
      </w:tr>
      <w:tr>
        <w:trPr>
          <w:cantSplit/>
        </w:trPr>
        <w:tc>
          <w:tcPr>
            <w:tcW w:w="2438" w:type="dxa"/>
          </w:tcPr>
          <w:p>
            <w:pPr>
              <w:pStyle w:val="Compact"/>
              <w:spacing w:after="20" w:before="20"/>
            </w:pPr>
            <w:r>
              <w:rPr>
                <w:sz w:val="17"/>
              </w:rPr>
              <w:t xml:space="preserve">The Daily Upside</w:t>
            </w:r>
          </w:p>
        </w:tc>
        <w:tc>
          <w:tcPr>
            <w:tcW w:w="3485" w:type="dxa"/>
          </w:tcPr>
          <w:p>
            <w:pPr>
              <w:pStyle w:val="Compact"/>
              <w:spacing w:after="20" w:before="20"/>
            </w:pPr>
            <w:r>
              <w:rPr>
                <w:sz w:val="17"/>
              </w:rPr>
              <w:t xml:space="preserve">Business/markets newsletter</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Light morning context</w:t>
            </w:r>
          </w:p>
        </w:tc>
        <w:tc>
          <w:tcPr>
            <w:tcW w:w="2438" w:type="dxa"/>
          </w:tcPr>
          <w:p>
            <w:pPr>
              <w:pStyle w:val="Compact"/>
              <w:spacing w:after="20" w:before="20"/>
            </w:pPr>
            <w:hyperlink r:id="rId156">
              <w:r>
                <w:rPr>
                  <w:rStyle w:val="Hyperlink"/>
                  <w:sz w:val="17"/>
                </w:rPr>
                <w:t xml:space="preserve">thedailyupside.com</w:t>
              </w:r>
            </w:hyperlink>
          </w:p>
        </w:tc>
      </w:tr>
      <w:tr>
        <w:trPr>
          <w:cantSplit/>
        </w:trPr>
        <w:tc>
          <w:tcPr>
            <w:tcW w:w="2438" w:type="dxa"/>
            <w:shd w:val="clear" w:color="auto" w:fill="EEF2F7"/>
          </w:tcPr>
          <w:p>
            <w:pPr>
              <w:pStyle w:val="Compact"/>
              <w:spacing w:after="20" w:before="20"/>
            </w:pPr>
            <w:r>
              <w:rPr>
                <w:sz w:val="17"/>
              </w:rPr>
              <w:t xml:space="preserve">Urban Institute – Housing Finance at a Glance</w:t>
            </w:r>
          </w:p>
        </w:tc>
        <w:tc>
          <w:tcPr>
            <w:tcW w:w="3485" w:type="dxa"/>
            <w:shd w:val="clear" w:color="auto" w:fill="EEF2F7"/>
          </w:tcPr>
          <w:p>
            <w:pPr>
              <w:pStyle w:val="Compact"/>
              <w:spacing w:after="20" w:before="20"/>
            </w:pPr>
            <w:r>
              <w:rPr>
                <w:sz w:val="17"/>
              </w:rPr>
              <w:t xml:space="preserve">Monthly chartbook: market size, originations, primary-secondary spread, credit availability, performance, GSE and Ginnie data</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Monthly (typically month-end)</w:t>
            </w:r>
          </w:p>
        </w:tc>
        <w:tc>
          <w:tcPr>
            <w:tcW w:w="2438" w:type="dxa"/>
            <w:shd w:val="clear" w:color="auto" w:fill="EEF2F7"/>
          </w:tcPr>
          <w:p>
            <w:pPr>
              <w:pStyle w:val="Compact"/>
              <w:spacing w:after="20" w:before="20"/>
            </w:pPr>
            <w:r>
              <w:rPr>
                <w:sz w:val="17"/>
              </w:rPr>
              <w:t xml:space="preserve">Best free chart pack for PM decks</w:t>
            </w:r>
          </w:p>
        </w:tc>
        <w:tc>
          <w:tcPr>
            <w:tcW w:w="2438" w:type="dxa"/>
            <w:shd w:val="clear" w:color="auto" w:fill="EEF2F7"/>
          </w:tcPr>
          <w:p>
            <w:pPr>
              <w:pStyle w:val="Compact"/>
              <w:spacing w:after="20" w:before="20"/>
            </w:pPr>
            <w:hyperlink r:id="rId62">
              <w:r>
                <w:rPr>
                  <w:rStyle w:val="Hyperlink"/>
                  <w:sz w:val="17"/>
                </w:rPr>
                <w:t xml:space="preserve">urban.org – chartbook series</w:t>
              </w:r>
            </w:hyperlink>
          </w:p>
        </w:tc>
      </w:tr>
      <w:tr>
        <w:trPr>
          <w:cantSplit/>
        </w:trPr>
        <w:tc>
          <w:tcPr>
            <w:tcW w:w="2438" w:type="dxa"/>
          </w:tcPr>
          <w:p>
            <w:pPr>
              <w:pStyle w:val="Compact"/>
              <w:spacing w:after="20" w:before="20"/>
            </w:pPr>
            <w:r>
              <w:rPr>
                <w:sz w:val="17"/>
              </w:rPr>
              <w:t xml:space="preserve">SIFMA Research – statistics</w:t>
            </w:r>
          </w:p>
        </w:tc>
        <w:tc>
          <w:tcPr>
            <w:tcW w:w="3485" w:type="dxa"/>
          </w:tcPr>
          <w:p>
            <w:pPr>
              <w:pStyle w:val="Compact"/>
              <w:spacing w:after="20" w:before="20"/>
            </w:pPr>
            <w:r>
              <w:rPr>
                <w:sz w:val="17"/>
              </w:rPr>
              <w:t xml:space="preserve">MBS and ABS issuance, trading volume, outstanding</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Monthly/quarterly</w:t>
            </w:r>
          </w:p>
        </w:tc>
        <w:tc>
          <w:tcPr>
            <w:tcW w:w="2438" w:type="dxa"/>
          </w:tcPr>
          <w:p>
            <w:pPr>
              <w:pStyle w:val="Compact"/>
              <w:spacing w:after="20" w:before="20"/>
            </w:pPr>
            <w:r>
              <w:rPr>
                <w:sz w:val="17"/>
              </w:rPr>
              <w:t xml:space="preserve">Issuance and volume citations</w:t>
            </w:r>
          </w:p>
        </w:tc>
        <w:tc>
          <w:tcPr>
            <w:tcW w:w="2438" w:type="dxa"/>
          </w:tcPr>
          <w:p>
            <w:pPr>
              <w:pStyle w:val="Compact"/>
              <w:spacing w:after="20" w:before="20"/>
            </w:pPr>
            <w:hyperlink r:id="rId157">
              <w:r>
                <w:rPr>
                  <w:rStyle w:val="Hyperlink"/>
                  <w:sz w:val="17"/>
                </w:rPr>
                <w:t xml:space="preserve">SIFMA – US MBS statistics</w:t>
              </w:r>
            </w:hyperlink>
            <w:r>
              <w:rPr>
                <w:sz w:val="17"/>
              </w:rPr>
              <w:t xml:space="preserve">;</w:t>
            </w:r>
            <w:r>
              <w:rPr>
                <w:sz w:val="17"/>
              </w:rPr>
              <w:t xml:space="preserve"> </w:t>
            </w:r>
            <w:hyperlink r:id="rId158">
              <w:r>
                <w:rPr>
                  <w:rStyle w:val="Hyperlink"/>
                  <w:sz w:val="17"/>
                </w:rPr>
                <w:t xml:space="preserve">SIFMA – US ABS statistics</w:t>
              </w:r>
            </w:hyperlink>
          </w:p>
        </w:tc>
      </w:tr>
      <w:tr>
        <w:trPr>
          <w:cantSplit/>
        </w:trPr>
        <w:tc>
          <w:tcPr>
            <w:tcW w:w="2438" w:type="dxa"/>
            <w:shd w:val="clear" w:color="auto" w:fill="EEF2F7"/>
          </w:tcPr>
          <w:p>
            <w:pPr>
              <w:pStyle w:val="Compact"/>
              <w:spacing w:after="20" w:before="20"/>
            </w:pPr>
            <w:r>
              <w:rPr>
                <w:sz w:val="17"/>
              </w:rPr>
              <w:t xml:space="preserve">Structured Finance Association</w:t>
            </w:r>
          </w:p>
        </w:tc>
        <w:tc>
          <w:tcPr>
            <w:tcW w:w="3485" w:type="dxa"/>
            <w:shd w:val="clear" w:color="auto" w:fill="EEF2F7"/>
          </w:tcPr>
          <w:p>
            <w:pPr>
              <w:pStyle w:val="Compact"/>
              <w:spacing w:after="20" w:before="20"/>
            </w:pPr>
            <w:r>
              <w:rPr>
                <w:sz w:val="17"/>
              </w:rPr>
              <w:t xml:space="preserve">Industry policy positions, conferences (e.g., SFVegas)</w:t>
            </w:r>
          </w:p>
        </w:tc>
        <w:tc>
          <w:tcPr>
            <w:tcW w:w="1394" w:type="dxa"/>
            <w:shd w:val="clear" w:color="auto" w:fill="EEF2F7"/>
          </w:tcPr>
          <w:p>
            <w:pPr>
              <w:pStyle w:val="Compact"/>
              <w:spacing w:after="20" w:before="20"/>
            </w:pPr>
            <w:r>
              <w:rPr>
                <w:sz w:val="17"/>
              </w:rPr>
              <w:t xml:space="preserve">Free (membership for some content)</w:t>
            </w:r>
          </w:p>
        </w:tc>
        <w:tc>
          <w:tcPr>
            <w:tcW w:w="1916" w:type="dxa"/>
            <w:shd w:val="clear" w:color="auto" w:fill="EEF2F7"/>
          </w:tcPr>
          <w:p>
            <w:pPr>
              <w:pStyle w:val="Compact"/>
              <w:spacing w:after="20" w:before="20"/>
            </w:pPr>
            <w:r>
              <w:rPr>
                <w:sz w:val="17"/>
              </w:rPr>
              <w:t xml:space="preserve">Periodic</w:t>
            </w:r>
          </w:p>
        </w:tc>
        <w:tc>
          <w:tcPr>
            <w:tcW w:w="2438" w:type="dxa"/>
            <w:shd w:val="clear" w:color="auto" w:fill="EEF2F7"/>
          </w:tcPr>
          <w:p>
            <w:pPr>
              <w:pStyle w:val="Compact"/>
              <w:spacing w:after="20" w:before="20"/>
            </w:pPr>
            <w:r>
              <w:rPr>
                <w:sz w:val="17"/>
              </w:rPr>
              <w:t xml:space="preserve">Policy and industry events</w:t>
            </w:r>
          </w:p>
        </w:tc>
        <w:tc>
          <w:tcPr>
            <w:tcW w:w="2438" w:type="dxa"/>
            <w:shd w:val="clear" w:color="auto" w:fill="EEF2F7"/>
          </w:tcPr>
          <w:p>
            <w:pPr>
              <w:pStyle w:val="Compact"/>
              <w:spacing w:after="20" w:before="20"/>
            </w:pPr>
            <w:hyperlink r:id="rId159">
              <w:r>
                <w:rPr>
                  <w:rStyle w:val="Hyperlink"/>
                  <w:sz w:val="17"/>
                </w:rPr>
                <w:t xml:space="preserve">structuredfinance.org</w:t>
              </w:r>
            </w:hyperlink>
          </w:p>
        </w:tc>
      </w:tr>
      <w:tr>
        <w:trPr>
          <w:cantSplit/>
        </w:trPr>
        <w:tc>
          <w:tcPr>
            <w:tcW w:w="2438" w:type="dxa"/>
          </w:tcPr>
          <w:p>
            <w:pPr>
              <w:pStyle w:val="Compact"/>
              <w:spacing w:after="20" w:before="20"/>
            </w:pPr>
            <w:r>
              <w:rPr>
                <w:sz w:val="17"/>
              </w:rPr>
              <w:t xml:space="preserve">Apollo – The Daily Spark (Torsten Slok)</w:t>
            </w:r>
          </w:p>
        </w:tc>
        <w:tc>
          <w:tcPr>
            <w:tcW w:w="3485" w:type="dxa"/>
          </w:tcPr>
          <w:p>
            <w:pPr>
              <w:pStyle w:val="Compact"/>
              <w:spacing w:after="20" w:before="20"/>
            </w:pPr>
            <w:r>
              <w:rPr>
                <w:sz w:val="17"/>
              </w:rPr>
              <w:t xml:space="preserve">Daily macro chart with commentary</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Daily</w:t>
            </w:r>
          </w:p>
        </w:tc>
        <w:tc>
          <w:tcPr>
            <w:tcW w:w="2438" w:type="dxa"/>
          </w:tcPr>
          <w:p>
            <w:pPr>
              <w:pStyle w:val="Compact"/>
              <w:spacing w:after="20" w:before="20"/>
            </w:pPr>
            <w:r>
              <w:rPr>
                <w:sz w:val="17"/>
              </w:rPr>
              <w:t xml:space="preserve">One-chart macro talking points</w:t>
            </w:r>
          </w:p>
        </w:tc>
        <w:tc>
          <w:tcPr>
            <w:tcW w:w="2438" w:type="dxa"/>
          </w:tcPr>
          <w:p>
            <w:pPr>
              <w:pStyle w:val="Compact"/>
              <w:spacing w:after="20" w:before="20"/>
            </w:pPr>
            <w:hyperlink r:id="rId160">
              <w:r>
                <w:rPr>
                  <w:rStyle w:val="Hyperlink"/>
                  <w:sz w:val="17"/>
                </w:rPr>
                <w:t xml:space="preserve">apollo.com – The Daily Spark</w:t>
              </w:r>
            </w:hyperlink>
          </w:p>
        </w:tc>
      </w:tr>
      <w:tr>
        <w:trPr>
          <w:cantSplit/>
        </w:trPr>
        <w:tc>
          <w:tcPr>
            <w:tcW w:w="2438" w:type="dxa"/>
            <w:shd w:val="clear" w:color="auto" w:fill="EEF2F7"/>
          </w:tcPr>
          <w:p>
            <w:pPr>
              <w:pStyle w:val="Compact"/>
              <w:spacing w:after="20" w:before="20"/>
            </w:pPr>
            <w:r>
              <w:rPr>
                <w:sz w:val="17"/>
              </w:rPr>
              <w:t xml:space="preserve">Dealer research (via brokers)</w:t>
            </w:r>
          </w:p>
        </w:tc>
        <w:tc>
          <w:tcPr>
            <w:tcW w:w="3485" w:type="dxa"/>
            <w:shd w:val="clear" w:color="auto" w:fill="EEF2F7"/>
          </w:tcPr>
          <w:p>
            <w:pPr>
              <w:pStyle w:val="Compact"/>
              <w:spacing w:after="20" w:before="20"/>
            </w:pPr>
            <w:r>
              <w:rPr>
                <w:sz w:val="17"/>
              </w:rPr>
              <w:t xml:space="preserve">Securitized products weeklies, MBS dailies, prepay and credit research, outlooks</w:t>
            </w:r>
          </w:p>
        </w:tc>
        <w:tc>
          <w:tcPr>
            <w:tcW w:w="1394" w:type="dxa"/>
            <w:shd w:val="clear" w:color="auto" w:fill="EEF2F7"/>
          </w:tcPr>
          <w:p>
            <w:pPr>
              <w:pStyle w:val="Compact"/>
              <w:spacing w:after="20" w:before="20"/>
            </w:pPr>
            <w:r>
              <w:rPr>
                <w:sz w:val="17"/>
              </w:rPr>
              <w:t xml:space="preserve">Free to clients</w:t>
            </w:r>
          </w:p>
        </w:tc>
        <w:tc>
          <w:tcPr>
            <w:tcW w:w="1916" w:type="dxa"/>
            <w:shd w:val="clear" w:color="auto" w:fill="EEF2F7"/>
          </w:tcPr>
          <w:p>
            <w:pPr>
              <w:pStyle w:val="Compact"/>
              <w:spacing w:after="20" w:before="20"/>
            </w:pPr>
            <w:r>
              <w:rPr>
                <w:sz w:val="17"/>
              </w:rPr>
              <w:t xml:space="preserve">Daily/weekly</w:t>
            </w:r>
          </w:p>
        </w:tc>
        <w:tc>
          <w:tcPr>
            <w:tcW w:w="2438" w:type="dxa"/>
            <w:shd w:val="clear" w:color="auto" w:fill="EEF2F7"/>
          </w:tcPr>
          <w:p>
            <w:pPr>
              <w:pStyle w:val="Compact"/>
              <w:spacing w:after="20" w:before="20"/>
            </w:pPr>
            <w:r>
              <w:rPr>
                <w:sz w:val="17"/>
              </w:rPr>
              <w:t xml:space="preserve">Levels, relative value, consensus</w:t>
            </w:r>
          </w:p>
        </w:tc>
        <w:tc>
          <w:tcPr>
            <w:tcW w:w="2438" w:type="dxa"/>
            <w:shd w:val="clear" w:color="auto" w:fill="EEF2F7"/>
          </w:tcPr>
          <w:p>
            <w:pPr>
              <w:pStyle w:val="Compact"/>
              <w:spacing w:after="20" w:before="20"/>
            </w:pPr>
            <w:r>
              <w:rPr>
                <w:sz w:val="17"/>
              </w:rPr>
              <w:t xml:space="preserve">Ask each broker-dealer coverage contact to add you to distribution</w:t>
            </w:r>
          </w:p>
        </w:tc>
      </w:tr>
    </w:tbl>
    <w:p>
      <w:pPr>
        <w:pStyle w:val="BodyText"/>
      </w:pPr>
      <w:r>
        <w:rPr>
          <w:b/>
          <w:bCs/>
        </w:rPr>
        <w:t xml:space="preserve">Getting dealer research while covering.</w:t>
      </w:r>
      <w:r>
        <w:t xml:space="preserve"> </w:t>
      </w:r>
      <w:r>
        <w:t xml:space="preserve">Ask each broker-dealer’s securitized-products salesperson to add you to (1) the daily MBS/rates commentary, (2) the weekly securitized-products or non-agency spreads report, (3) CPR-day and prepay research, and (4) new-issue alerts for Non-QM, jumbo, CES/HELOC, RTL and CRT. Also ask for access to their research portal. Firm compliance may require that research access be provisioned through approved channels, so check before signing up.</w:t>
      </w:r>
    </w:p>
    <w:bookmarkEnd w:id="161"/>
    <w:bookmarkStart w:id="173" w:name="regulatory-and-policy"/>
    <w:p>
      <w:pPr>
        <w:pStyle w:val="Heading1"/>
      </w:pPr>
      <w:r>
        <w:t xml:space="preserve">10. Regulatory and policy</w:t>
      </w:r>
    </w:p>
    <w:p>
      <w:pPr>
        <w:pStyle w:val="TableCaption"/>
      </w:pPr>
      <w:r>
        <w:t xml:space="preserve">Regulatory and policy sources.</w:t>
      </w:r>
    </w:p>
    <w:tbl>
      <w:tblPr>
        <w:tblStyle w:val="Table"/>
        <w:tblLayout w:type="fixed"/>
        <w:tblLook w:firstRow="1" w:lastRow="0" w:firstColumn="0" w:lastColumn="0" w:noHBand="0" w:noVBand="0" w:val="0020"/>
        <w:tblCaption w:val="Regulatory and policy source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438"/>
        <w:gridCol w:w="3485"/>
        <w:gridCol w:w="1394"/>
        <w:gridCol w:w="1916"/>
        <w:gridCol w:w="2438"/>
        <w:gridCol w:w="2438"/>
      </w:tblGrid>
      <w:tr>
        <w:trPr>
          <w:tblHeader w:val="on"/>
          <w:cantSplit/>
          <w:tblHeader/>
        </w:trPr>
        <w:tc>
          <w:tcPr>
            <w:tcW w:w="2438" w:type="dxa"/>
            <w:shd w:val="clear" w:color="auto" w:fill="1F3A5F"/>
          </w:tcPr>
          <w:p>
            <w:pPr>
              <w:pStyle w:val="Compact"/>
              <w:spacing w:after="20" w:before="20"/>
            </w:pPr>
            <w:r>
              <w:rPr>
                <w:b/>
                <w:color w:val="FFFFFF"/>
                <w:sz w:val="17"/>
              </w:rPr>
              <w:t xml:space="preserve">Source</w:t>
            </w:r>
          </w:p>
        </w:tc>
        <w:tc>
          <w:tcPr>
            <w:tcW w:w="3485" w:type="dxa"/>
            <w:shd w:val="clear" w:color="auto" w:fill="1F3A5F"/>
          </w:tcPr>
          <w:p>
            <w:pPr>
              <w:pStyle w:val="Compact"/>
              <w:spacing w:after="20" w:before="20"/>
            </w:pPr>
            <w:r>
              <w:rPr>
                <w:b/>
                <w:color w:val="FFFFFF"/>
                <w:sz w:val="17"/>
              </w:rPr>
              <w:t xml:space="preserve">What you get</w:t>
            </w:r>
          </w:p>
        </w:tc>
        <w:tc>
          <w:tcPr>
            <w:tcW w:w="1394" w:type="dxa"/>
            <w:shd w:val="clear" w:color="auto" w:fill="1F3A5F"/>
          </w:tcPr>
          <w:p>
            <w:pPr>
              <w:pStyle w:val="Compact"/>
              <w:spacing w:after="20" w:before="20"/>
            </w:pPr>
            <w:r>
              <w:rPr>
                <w:b/>
                <w:color w:val="FFFFFF"/>
                <w:sz w:val="17"/>
              </w:rPr>
              <w:t xml:space="preserve">Cost</w:t>
            </w:r>
          </w:p>
        </w:tc>
        <w:tc>
          <w:tcPr>
            <w:tcW w:w="1916" w:type="dxa"/>
            <w:shd w:val="clear" w:color="auto" w:fill="1F3A5F"/>
          </w:tcPr>
          <w:p>
            <w:pPr>
              <w:pStyle w:val="Compact"/>
              <w:spacing w:after="20" w:before="20"/>
            </w:pPr>
            <w:r>
              <w:rPr>
                <w:b/>
                <w:color w:val="FFFFFF"/>
                <w:sz w:val="17"/>
              </w:rPr>
              <w:t xml:space="preserve">When it updates</w:t>
            </w:r>
          </w:p>
        </w:tc>
        <w:tc>
          <w:tcPr>
            <w:tcW w:w="2438" w:type="dxa"/>
            <w:shd w:val="clear" w:color="auto" w:fill="1F3A5F"/>
          </w:tcPr>
          <w:p>
            <w:pPr>
              <w:pStyle w:val="Compact"/>
              <w:spacing w:after="20" w:before="20"/>
            </w:pPr>
            <w:r>
              <w:rPr>
                <w:b/>
                <w:color w:val="FFFFFF"/>
                <w:sz w:val="17"/>
              </w:rPr>
              <w:t xml:space="preserve">Best used for</w:t>
            </w:r>
          </w:p>
        </w:tc>
        <w:tc>
          <w:tcPr>
            <w:tcW w:w="2438" w:type="dxa"/>
            <w:shd w:val="clear" w:color="auto" w:fill="1F3A5F"/>
          </w:tcPr>
          <w:p>
            <w:pPr>
              <w:pStyle w:val="Compact"/>
              <w:spacing w:after="20" w:before="20"/>
            </w:pPr>
            <w:r>
              <w:rPr>
                <w:b/>
                <w:color w:val="FFFFFF"/>
                <w:sz w:val="17"/>
              </w:rPr>
              <w:t xml:space="preserve">Link</w:t>
            </w:r>
          </w:p>
        </w:tc>
      </w:tr>
      <w:tr>
        <w:trPr>
          <w:cantSplit/>
        </w:trPr>
        <w:tc>
          <w:tcPr>
            <w:tcW w:w="2438" w:type="dxa"/>
          </w:tcPr>
          <w:p>
            <w:pPr>
              <w:pStyle w:val="Compact"/>
              <w:spacing w:after="20" w:before="20"/>
            </w:pPr>
            <w:r>
              <w:rPr>
                <w:sz w:val="17"/>
              </w:rPr>
              <w:t xml:space="preserve">FHFA</w:t>
            </w:r>
          </w:p>
        </w:tc>
        <w:tc>
          <w:tcPr>
            <w:tcW w:w="3485" w:type="dxa"/>
          </w:tcPr>
          <w:p>
            <w:pPr>
              <w:pStyle w:val="Compact"/>
              <w:spacing w:after="20" w:before="20"/>
            </w:pPr>
            <w:r>
              <w:rPr>
                <w:sz w:val="17"/>
              </w:rPr>
              <w:t xml:space="preserve">GSE policy, conforming loan limits, HPI, g-fee and capital rules, news releases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Ongoing; loan limits announced annually (late in the year)</w:t>
            </w:r>
          </w:p>
        </w:tc>
        <w:tc>
          <w:tcPr>
            <w:tcW w:w="2438" w:type="dxa"/>
          </w:tcPr>
          <w:p>
            <w:pPr>
              <w:pStyle w:val="Compact"/>
              <w:spacing w:after="20" w:before="20"/>
            </w:pPr>
            <w:r>
              <w:rPr>
                <w:sz w:val="17"/>
              </w:rPr>
              <w:t xml:space="preserve">Anything touching the GSEs</w:t>
            </w:r>
          </w:p>
        </w:tc>
        <w:tc>
          <w:tcPr>
            <w:tcW w:w="2438" w:type="dxa"/>
          </w:tcPr>
          <w:p>
            <w:pPr>
              <w:pStyle w:val="Compact"/>
              <w:spacing w:after="20" w:before="20"/>
            </w:pPr>
            <w:hyperlink r:id="rId162">
              <w:r>
                <w:rPr>
                  <w:rStyle w:val="Hyperlink"/>
                  <w:sz w:val="17"/>
                </w:rPr>
                <w:t xml:space="preserve">fhfa.gov</w:t>
              </w:r>
            </w:hyperlink>
            <w:r>
              <w:rPr>
                <w:sz w:val="17"/>
              </w:rPr>
              <w:t xml:space="preserve">;</w:t>
            </w:r>
            <w:r>
              <w:rPr>
                <w:sz w:val="17"/>
              </w:rPr>
              <w:t xml:space="preserve"> </w:t>
            </w:r>
            <w:hyperlink r:id="rId163">
              <w:r>
                <w:rPr>
                  <w:rStyle w:val="Hyperlink"/>
                  <w:sz w:val="17"/>
                </w:rPr>
                <w:t xml:space="preserve">news</w:t>
              </w:r>
            </w:hyperlink>
          </w:p>
        </w:tc>
      </w:tr>
      <w:tr>
        <w:trPr>
          <w:cantSplit/>
        </w:trPr>
        <w:tc>
          <w:tcPr>
            <w:tcW w:w="2438" w:type="dxa"/>
            <w:shd w:val="clear" w:color="auto" w:fill="EEF2F7"/>
          </w:tcPr>
          <w:p>
            <w:pPr>
              <w:pStyle w:val="Compact"/>
              <w:spacing w:after="20" w:before="20"/>
            </w:pPr>
            <w:r>
              <w:rPr>
                <w:sz w:val="17"/>
              </w:rPr>
              <w:t xml:space="preserve">FHFA conforming loan limits</w:t>
            </w:r>
          </w:p>
        </w:tc>
        <w:tc>
          <w:tcPr>
            <w:tcW w:w="3485" w:type="dxa"/>
            <w:shd w:val="clear" w:color="auto" w:fill="EEF2F7"/>
          </w:tcPr>
          <w:p>
            <w:pPr>
              <w:pStyle w:val="Compact"/>
              <w:spacing w:after="20" w:before="20"/>
            </w:pPr>
            <w:r>
              <w:rPr>
                <w:sz w:val="17"/>
              </w:rPr>
              <w:t xml:space="preserve">Baseline and high-cost area limits by county</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Annually</w:t>
            </w:r>
          </w:p>
        </w:tc>
        <w:tc>
          <w:tcPr>
            <w:tcW w:w="2438" w:type="dxa"/>
            <w:shd w:val="clear" w:color="auto" w:fill="EEF2F7"/>
          </w:tcPr>
          <w:p>
            <w:pPr>
              <w:pStyle w:val="Compact"/>
              <w:spacing w:after="20" w:before="20"/>
            </w:pPr>
            <w:r>
              <w:rPr>
                <w:sz w:val="17"/>
              </w:rPr>
              <w:t xml:space="preserve">Jumbo vs conforming boundary</w:t>
            </w:r>
          </w:p>
        </w:tc>
        <w:tc>
          <w:tcPr>
            <w:tcW w:w="2438" w:type="dxa"/>
            <w:shd w:val="clear" w:color="auto" w:fill="EEF2F7"/>
          </w:tcPr>
          <w:p>
            <w:pPr>
              <w:pStyle w:val="Compact"/>
              <w:spacing w:after="20" w:before="20"/>
            </w:pPr>
            <w:hyperlink r:id="rId164">
              <w:r>
                <w:rPr>
                  <w:rStyle w:val="Hyperlink"/>
                  <w:sz w:val="17"/>
                </w:rPr>
                <w:t xml:space="preserve">fhfa.gov – Conforming Loan Limit</w:t>
              </w:r>
            </w:hyperlink>
          </w:p>
        </w:tc>
      </w:tr>
      <w:tr>
        <w:trPr>
          <w:cantSplit/>
        </w:trPr>
        <w:tc>
          <w:tcPr>
            <w:tcW w:w="2438" w:type="dxa"/>
          </w:tcPr>
          <w:p>
            <w:pPr>
              <w:pStyle w:val="Compact"/>
              <w:spacing w:after="20" w:before="20"/>
            </w:pPr>
            <w:r>
              <w:rPr>
                <w:sz w:val="17"/>
              </w:rPr>
              <w:t xml:space="preserve">CFPB – ATR/QM</w:t>
            </w:r>
          </w:p>
        </w:tc>
        <w:tc>
          <w:tcPr>
            <w:tcW w:w="3485" w:type="dxa"/>
          </w:tcPr>
          <w:p>
            <w:pPr>
              <w:pStyle w:val="Compact"/>
              <w:spacing w:after="20" w:before="20"/>
            </w:pPr>
            <w:r>
              <w:rPr>
                <w:sz w:val="17"/>
              </w:rPr>
              <w:t xml:space="preserve">Ability-to-Repay/Qualified Mortgage rule resources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As amended</w:t>
            </w:r>
          </w:p>
        </w:tc>
        <w:tc>
          <w:tcPr>
            <w:tcW w:w="2438" w:type="dxa"/>
          </w:tcPr>
          <w:p>
            <w:pPr>
              <w:pStyle w:val="Compact"/>
              <w:spacing w:after="20" w:before="20"/>
            </w:pPr>
            <w:r>
              <w:rPr>
                <w:sz w:val="17"/>
              </w:rPr>
              <w:t xml:space="preserve">The line between QM and Non-QM</w:t>
            </w:r>
          </w:p>
        </w:tc>
        <w:tc>
          <w:tcPr>
            <w:tcW w:w="2438" w:type="dxa"/>
          </w:tcPr>
          <w:p>
            <w:pPr>
              <w:pStyle w:val="Compact"/>
              <w:spacing w:after="20" w:before="20"/>
            </w:pPr>
            <w:hyperlink r:id="rId165">
              <w:r>
                <w:rPr>
                  <w:rStyle w:val="Hyperlink"/>
                  <w:sz w:val="17"/>
                </w:rPr>
                <w:t xml:space="preserve">consumerfinance.gov – ATR/QM</w:t>
              </w:r>
            </w:hyperlink>
          </w:p>
        </w:tc>
      </w:tr>
      <w:tr>
        <w:trPr>
          <w:cantSplit/>
        </w:trPr>
        <w:tc>
          <w:tcPr>
            <w:tcW w:w="2438" w:type="dxa"/>
            <w:shd w:val="clear" w:color="auto" w:fill="EEF2F7"/>
          </w:tcPr>
          <w:p>
            <w:pPr>
              <w:pStyle w:val="Compact"/>
              <w:spacing w:after="20" w:before="20"/>
            </w:pPr>
            <w:r>
              <w:rPr>
                <w:sz w:val="17"/>
              </w:rPr>
              <w:t xml:space="preserve">Regulation Z §1026.43</w:t>
            </w:r>
          </w:p>
        </w:tc>
        <w:tc>
          <w:tcPr>
            <w:tcW w:w="3485" w:type="dxa"/>
            <w:shd w:val="clear" w:color="auto" w:fill="EEF2F7"/>
          </w:tcPr>
          <w:p>
            <w:pPr>
              <w:pStyle w:val="Compact"/>
              <w:spacing w:after="20" w:before="20"/>
            </w:pPr>
            <w:r>
              <w:rPr>
                <w:sz w:val="17"/>
              </w:rPr>
              <w:t xml:space="preserve">Text of the ATR/QM requirements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As amended</w:t>
            </w:r>
          </w:p>
        </w:tc>
        <w:tc>
          <w:tcPr>
            <w:tcW w:w="2438" w:type="dxa"/>
            <w:shd w:val="clear" w:color="auto" w:fill="EEF2F7"/>
          </w:tcPr>
          <w:p>
            <w:pPr>
              <w:pStyle w:val="Compact"/>
              <w:spacing w:after="20" w:before="20"/>
            </w:pPr>
            <w:r>
              <w:rPr>
                <w:sz w:val="17"/>
              </w:rPr>
              <w:t xml:space="preserve">Citing the rule itself</w:t>
            </w:r>
          </w:p>
        </w:tc>
        <w:tc>
          <w:tcPr>
            <w:tcW w:w="2438" w:type="dxa"/>
            <w:shd w:val="clear" w:color="auto" w:fill="EEF2F7"/>
          </w:tcPr>
          <w:p>
            <w:pPr>
              <w:pStyle w:val="Compact"/>
              <w:spacing w:after="20" w:before="20"/>
            </w:pPr>
            <w:hyperlink r:id="rId166">
              <w:r>
                <w:rPr>
                  <w:rStyle w:val="Hyperlink"/>
                  <w:sz w:val="17"/>
                </w:rPr>
                <w:t xml:space="preserve">consumerfinance.gov – 12 CFR 1026.43</w:t>
              </w:r>
            </w:hyperlink>
          </w:p>
        </w:tc>
      </w:tr>
      <w:tr>
        <w:trPr>
          <w:cantSplit/>
        </w:trPr>
        <w:tc>
          <w:tcPr>
            <w:tcW w:w="2438" w:type="dxa"/>
          </w:tcPr>
          <w:p>
            <w:pPr>
              <w:pStyle w:val="Compact"/>
              <w:spacing w:after="20" w:before="20"/>
            </w:pPr>
            <w:r>
              <w:rPr>
                <w:sz w:val="17"/>
              </w:rPr>
              <w:t xml:space="preserve">HMDA data (CFPB/FFIEC)</w:t>
            </w:r>
          </w:p>
        </w:tc>
        <w:tc>
          <w:tcPr>
            <w:tcW w:w="3485" w:type="dxa"/>
          </w:tcPr>
          <w:p>
            <w:pPr>
              <w:pStyle w:val="Compact"/>
              <w:spacing w:after="20" w:before="20"/>
            </w:pPr>
            <w:r>
              <w:rPr>
                <w:sz w:val="17"/>
              </w:rPr>
              <w:t xml:space="preserve">Loan-level origination data (annual), incl. non-QM-type characteristics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Annually (plus quarterly for large filers)</w:t>
            </w:r>
          </w:p>
        </w:tc>
        <w:tc>
          <w:tcPr>
            <w:tcW w:w="2438" w:type="dxa"/>
          </w:tcPr>
          <w:p>
            <w:pPr>
              <w:pStyle w:val="Compact"/>
              <w:spacing w:after="20" w:before="20"/>
            </w:pPr>
            <w:r>
              <w:rPr>
                <w:sz w:val="17"/>
              </w:rPr>
              <w:t xml:space="preserve">Origination market share, lender landscape</w:t>
            </w:r>
          </w:p>
        </w:tc>
        <w:tc>
          <w:tcPr>
            <w:tcW w:w="2438" w:type="dxa"/>
          </w:tcPr>
          <w:p>
            <w:pPr>
              <w:pStyle w:val="Compact"/>
              <w:spacing w:after="20" w:before="20"/>
            </w:pPr>
            <w:hyperlink r:id="rId167">
              <w:r>
                <w:rPr>
                  <w:rStyle w:val="Hyperlink"/>
                  <w:sz w:val="17"/>
                </w:rPr>
                <w:t xml:space="preserve">consumerfinance.gov – HMDA</w:t>
              </w:r>
            </w:hyperlink>
            <w:r>
              <w:rPr>
                <w:sz w:val="17"/>
              </w:rPr>
              <w:t xml:space="preserve">;</w:t>
            </w:r>
            <w:r>
              <w:rPr>
                <w:sz w:val="17"/>
              </w:rPr>
              <w:t xml:space="preserve"> </w:t>
            </w:r>
            <w:hyperlink r:id="rId168">
              <w:r>
                <w:rPr>
                  <w:rStyle w:val="Hyperlink"/>
                  <w:sz w:val="17"/>
                </w:rPr>
                <w:t xml:space="preserve">ffiec.cfpb.gov</w:t>
              </w:r>
            </w:hyperlink>
          </w:p>
        </w:tc>
      </w:tr>
      <w:tr>
        <w:trPr>
          <w:cantSplit/>
        </w:trPr>
        <w:tc>
          <w:tcPr>
            <w:tcW w:w="2438" w:type="dxa"/>
            <w:shd w:val="clear" w:color="auto" w:fill="EEF2F7"/>
          </w:tcPr>
          <w:p>
            <w:pPr>
              <w:pStyle w:val="Compact"/>
              <w:spacing w:after="20" w:before="20"/>
            </w:pPr>
            <w:r>
              <w:rPr>
                <w:sz w:val="17"/>
              </w:rPr>
              <w:t xml:space="preserve">Fannie Mae seller communications</w:t>
            </w:r>
          </w:p>
        </w:tc>
        <w:tc>
          <w:tcPr>
            <w:tcW w:w="3485" w:type="dxa"/>
            <w:shd w:val="clear" w:color="auto" w:fill="EEF2F7"/>
          </w:tcPr>
          <w:p>
            <w:pPr>
              <w:pStyle w:val="Compact"/>
              <w:spacing w:after="20" w:before="20"/>
            </w:pPr>
            <w:r>
              <w:rPr>
                <w:sz w:val="17"/>
              </w:rPr>
              <w:t xml:space="preserve">Selling Guide announcements, lender letters</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Ongoing</w:t>
            </w:r>
          </w:p>
        </w:tc>
        <w:tc>
          <w:tcPr>
            <w:tcW w:w="2438" w:type="dxa"/>
            <w:shd w:val="clear" w:color="auto" w:fill="EEF2F7"/>
          </w:tcPr>
          <w:p>
            <w:pPr>
              <w:pStyle w:val="Compact"/>
              <w:spacing w:after="20" w:before="20"/>
            </w:pPr>
            <w:r>
              <w:rPr>
                <w:sz w:val="17"/>
              </w:rPr>
              <w:t xml:space="preserve">LLPA, eligibility and policy changes</w:t>
            </w:r>
          </w:p>
        </w:tc>
        <w:tc>
          <w:tcPr>
            <w:tcW w:w="2438" w:type="dxa"/>
            <w:shd w:val="clear" w:color="auto" w:fill="EEF2F7"/>
          </w:tcPr>
          <w:p>
            <w:pPr>
              <w:pStyle w:val="Compact"/>
              <w:spacing w:after="20" w:before="20"/>
            </w:pPr>
            <w:hyperlink r:id="rId169">
              <w:r>
                <w:rPr>
                  <w:rStyle w:val="Hyperlink"/>
                  <w:sz w:val="17"/>
                </w:rPr>
                <w:t xml:space="preserve">Fannie Mae – Selling Policy Communications</w:t>
              </w:r>
            </w:hyperlink>
            <w:r>
              <w:rPr>
                <w:sz w:val="17"/>
              </w:rPr>
              <w:t xml:space="preserve">;</w:t>
            </w:r>
            <w:r>
              <w:rPr>
                <w:sz w:val="17"/>
              </w:rPr>
              <w:t xml:space="preserve"> </w:t>
            </w:r>
            <w:hyperlink r:id="rId170">
              <w:r>
                <w:rPr>
                  <w:rStyle w:val="Hyperlink"/>
                  <w:sz w:val="17"/>
                </w:rPr>
                <w:t xml:space="preserve">Selling Guide</w:t>
              </w:r>
            </w:hyperlink>
          </w:p>
        </w:tc>
      </w:tr>
      <w:tr>
        <w:trPr>
          <w:cantSplit/>
        </w:trPr>
        <w:tc>
          <w:tcPr>
            <w:tcW w:w="2438" w:type="dxa"/>
          </w:tcPr>
          <w:p>
            <w:pPr>
              <w:pStyle w:val="Compact"/>
              <w:spacing w:after="20" w:before="20"/>
            </w:pPr>
            <w:r>
              <w:rPr>
                <w:sz w:val="17"/>
              </w:rPr>
              <w:t xml:space="preserve">Freddie Mac Single-Family Guide</w:t>
            </w:r>
          </w:p>
        </w:tc>
        <w:tc>
          <w:tcPr>
            <w:tcW w:w="3485" w:type="dxa"/>
          </w:tcPr>
          <w:p>
            <w:pPr>
              <w:pStyle w:val="Compact"/>
              <w:spacing w:after="20" w:before="20"/>
            </w:pPr>
            <w:r>
              <w:rPr>
                <w:sz w:val="17"/>
              </w:rPr>
              <w:t xml:space="preserve">Guide bulletins and seller/servicer updates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Ongoing</w:t>
            </w:r>
          </w:p>
        </w:tc>
        <w:tc>
          <w:tcPr>
            <w:tcW w:w="2438" w:type="dxa"/>
          </w:tcPr>
          <w:p>
            <w:pPr>
              <w:pStyle w:val="Compact"/>
              <w:spacing w:after="20" w:before="20"/>
            </w:pPr>
            <w:r>
              <w:rPr>
                <w:sz w:val="17"/>
              </w:rPr>
              <w:t xml:space="preserve">Freddie policy changes</w:t>
            </w:r>
          </w:p>
        </w:tc>
        <w:tc>
          <w:tcPr>
            <w:tcW w:w="2438" w:type="dxa"/>
          </w:tcPr>
          <w:p>
            <w:pPr>
              <w:pStyle w:val="Compact"/>
              <w:spacing w:after="20" w:before="20"/>
            </w:pPr>
            <w:hyperlink r:id="rId171">
              <w:r>
                <w:rPr>
                  <w:rStyle w:val="Hyperlink"/>
                  <w:sz w:val="17"/>
                </w:rPr>
                <w:t xml:space="preserve">guide.freddiemac.com</w:t>
              </w:r>
            </w:hyperlink>
            <w:r>
              <w:rPr>
                <w:sz w:val="17"/>
              </w:rPr>
              <w:t xml:space="preserve">;</w:t>
            </w:r>
            <w:r>
              <w:rPr>
                <w:sz w:val="17"/>
              </w:rPr>
              <w:t xml:space="preserve"> </w:t>
            </w:r>
            <w:hyperlink r:id="rId172">
              <w:r>
                <w:rPr>
                  <w:rStyle w:val="Hyperlink"/>
                  <w:sz w:val="17"/>
                </w:rPr>
                <w:t xml:space="preserve">sf.freddiemac.com</w:t>
              </w:r>
            </w:hyperlink>
          </w:p>
        </w:tc>
      </w:tr>
      <w:tr>
        <w:trPr>
          <w:cantSplit/>
        </w:trPr>
        <w:tc>
          <w:tcPr>
            <w:tcW w:w="2438" w:type="dxa"/>
            <w:shd w:val="clear" w:color="auto" w:fill="EEF2F7"/>
          </w:tcPr>
          <w:p>
            <w:pPr>
              <w:pStyle w:val="Compact"/>
              <w:spacing w:after="20" w:before="20"/>
            </w:pPr>
            <w:r>
              <w:rPr>
                <w:sz w:val="17"/>
              </w:rPr>
              <w:t xml:space="preserve">Ginnie Mae</w:t>
            </w:r>
          </w:p>
        </w:tc>
        <w:tc>
          <w:tcPr>
            <w:tcW w:w="3485" w:type="dxa"/>
            <w:shd w:val="clear" w:color="auto" w:fill="EEF2F7"/>
          </w:tcPr>
          <w:p>
            <w:pPr>
              <w:pStyle w:val="Compact"/>
              <w:spacing w:after="20" w:before="20"/>
            </w:pPr>
            <w:r>
              <w:rPr>
                <w:sz w:val="17"/>
              </w:rPr>
              <w:t xml:space="preserve">APMs (policy memos), MBS program data</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Ongoing</w:t>
            </w:r>
          </w:p>
        </w:tc>
        <w:tc>
          <w:tcPr>
            <w:tcW w:w="2438" w:type="dxa"/>
            <w:shd w:val="clear" w:color="auto" w:fill="EEF2F7"/>
          </w:tcPr>
          <w:p>
            <w:pPr>
              <w:pStyle w:val="Compact"/>
              <w:spacing w:after="20" w:before="20"/>
            </w:pPr>
            <w:r>
              <w:rPr>
                <w:sz w:val="17"/>
              </w:rPr>
              <w:t xml:space="preserve">Government-loan policy</w:t>
            </w:r>
          </w:p>
        </w:tc>
        <w:tc>
          <w:tcPr>
            <w:tcW w:w="2438" w:type="dxa"/>
            <w:shd w:val="clear" w:color="auto" w:fill="EEF2F7"/>
          </w:tcPr>
          <w:p>
            <w:pPr>
              <w:pStyle w:val="Compact"/>
              <w:spacing w:after="20" w:before="20"/>
            </w:pPr>
            <w:hyperlink r:id="rId114">
              <w:r>
                <w:rPr>
                  <w:rStyle w:val="Hyperlink"/>
                  <w:sz w:val="17"/>
                </w:rPr>
                <w:t xml:space="preserve">ginniemae.gov</w:t>
              </w:r>
            </w:hyperlink>
          </w:p>
        </w:tc>
      </w:tr>
      <w:tr>
        <w:trPr>
          <w:cantSplit/>
        </w:trPr>
        <w:tc>
          <w:tcPr>
            <w:tcW w:w="2438" w:type="dxa"/>
          </w:tcPr>
          <w:p>
            <w:pPr>
              <w:pStyle w:val="Compact"/>
              <w:spacing w:after="20" w:before="20"/>
            </w:pPr>
            <w:r>
              <w:rPr>
                <w:sz w:val="17"/>
              </w:rPr>
              <w:t xml:space="preserve">Federal Reserve H.15 / H.8</w:t>
            </w:r>
          </w:p>
        </w:tc>
        <w:tc>
          <w:tcPr>
            <w:tcW w:w="3485" w:type="dxa"/>
          </w:tcPr>
          <w:p>
            <w:pPr>
              <w:pStyle w:val="Compact"/>
              <w:spacing w:after="20" w:before="20"/>
            </w:pPr>
            <w:r>
              <w:rPr>
                <w:sz w:val="17"/>
              </w:rPr>
              <w:t xml:space="preserve">Selected interest rates; bank balance sheets including MBS</w:t>
            </w:r>
          </w:p>
        </w:tc>
        <w:tc>
          <w:tcPr>
            <w:tcW w:w="1394" w:type="dxa"/>
          </w:tcPr>
          <w:p>
            <w:pPr>
              <w:pStyle w:val="Compact"/>
              <w:spacing w:after="20" w:before="20"/>
            </w:pPr>
            <w:r>
              <w:rPr>
                <w:sz w:val="17"/>
              </w:rPr>
              <w:t xml:space="preserve">Free</w:t>
            </w:r>
          </w:p>
        </w:tc>
        <w:tc>
          <w:tcPr>
            <w:tcW w:w="1916" w:type="dxa"/>
          </w:tcPr>
          <w:p>
            <w:pPr>
              <w:pStyle w:val="Compact"/>
              <w:spacing w:after="20" w:before="20"/>
            </w:pPr>
            <w:r>
              <w:rPr>
                <w:sz w:val="17"/>
              </w:rPr>
              <w:t xml:space="preserve">H.15 daily; H.8 weekly (Fridays)</w:t>
            </w:r>
          </w:p>
        </w:tc>
        <w:tc>
          <w:tcPr>
            <w:tcW w:w="2438" w:type="dxa"/>
          </w:tcPr>
          <w:p>
            <w:pPr>
              <w:pStyle w:val="Compact"/>
              <w:spacing w:after="20" w:before="20"/>
            </w:pPr>
            <w:r>
              <w:rPr>
                <w:sz w:val="17"/>
              </w:rPr>
              <w:t xml:space="preserve">Official rates; bank MBS demand</w:t>
            </w:r>
          </w:p>
        </w:tc>
        <w:tc>
          <w:tcPr>
            <w:tcW w:w="2438" w:type="dxa"/>
          </w:tcPr>
          <w:p>
            <w:pPr>
              <w:pStyle w:val="Compact"/>
              <w:spacing w:after="20" w:before="20"/>
            </w:pPr>
            <w:hyperlink r:id="rId15">
              <w:r>
                <w:rPr>
                  <w:rStyle w:val="Hyperlink"/>
                  <w:sz w:val="17"/>
                </w:rPr>
                <w:t xml:space="preserve">H.15</w:t>
              </w:r>
            </w:hyperlink>
            <w:r>
              <w:rPr>
                <w:sz w:val="17"/>
              </w:rPr>
              <w:t xml:space="preserve">;</w:t>
            </w:r>
            <w:r>
              <w:rPr>
                <w:sz w:val="17"/>
              </w:rPr>
              <w:t xml:space="preserve"> </w:t>
            </w:r>
            <w:hyperlink r:id="rId146">
              <w:r>
                <w:rPr>
                  <w:rStyle w:val="Hyperlink"/>
                  <w:sz w:val="17"/>
                </w:rPr>
                <w:t xml:space="preserve">H.8</w:t>
              </w:r>
            </w:hyperlink>
          </w:p>
        </w:tc>
      </w:tr>
      <w:tr>
        <w:trPr>
          <w:cantSplit/>
        </w:trPr>
        <w:tc>
          <w:tcPr>
            <w:tcW w:w="2438" w:type="dxa"/>
            <w:shd w:val="clear" w:color="auto" w:fill="EEF2F7"/>
          </w:tcPr>
          <w:p>
            <w:pPr>
              <w:pStyle w:val="Compact"/>
              <w:spacing w:after="20" w:before="20"/>
            </w:pPr>
            <w:r>
              <w:rPr>
                <w:sz w:val="17"/>
              </w:rPr>
              <w:t xml:space="preserve">SEC EDGAR</w:t>
            </w:r>
          </w:p>
        </w:tc>
        <w:tc>
          <w:tcPr>
            <w:tcW w:w="3485" w:type="dxa"/>
            <w:shd w:val="clear" w:color="auto" w:fill="EEF2F7"/>
          </w:tcPr>
          <w:p>
            <w:pPr>
              <w:pStyle w:val="Compact"/>
              <w:spacing w:after="20" w:before="20"/>
            </w:pPr>
            <w:r>
              <w:rPr>
                <w:sz w:val="17"/>
              </w:rPr>
              <w:t xml:space="preserve">Shelf registrations, Reg AB filings, ABS-15G</w:t>
            </w:r>
          </w:p>
        </w:tc>
        <w:tc>
          <w:tcPr>
            <w:tcW w:w="1394" w:type="dxa"/>
            <w:shd w:val="clear" w:color="auto" w:fill="EEF2F7"/>
          </w:tcPr>
          <w:p>
            <w:pPr>
              <w:pStyle w:val="Compact"/>
              <w:spacing w:after="20" w:before="20"/>
            </w:pPr>
            <w:r>
              <w:rPr>
                <w:sz w:val="17"/>
              </w:rPr>
              <w:t xml:space="preserve">Free</w:t>
            </w:r>
          </w:p>
        </w:tc>
        <w:tc>
          <w:tcPr>
            <w:tcW w:w="1916" w:type="dxa"/>
            <w:shd w:val="clear" w:color="auto" w:fill="EEF2F7"/>
          </w:tcPr>
          <w:p>
            <w:pPr>
              <w:pStyle w:val="Compact"/>
              <w:spacing w:after="20" w:before="20"/>
            </w:pPr>
            <w:r>
              <w:rPr>
                <w:sz w:val="17"/>
              </w:rPr>
              <w:t xml:space="preserve">Continuous</w:t>
            </w:r>
          </w:p>
        </w:tc>
        <w:tc>
          <w:tcPr>
            <w:tcW w:w="2438" w:type="dxa"/>
            <w:shd w:val="clear" w:color="auto" w:fill="EEF2F7"/>
          </w:tcPr>
          <w:p>
            <w:pPr>
              <w:pStyle w:val="Compact"/>
              <w:spacing w:after="20" w:before="20"/>
            </w:pPr>
            <w:r>
              <w:rPr>
                <w:sz w:val="17"/>
              </w:rPr>
              <w:t xml:space="preserve">Securitization disclosure</w:t>
            </w:r>
          </w:p>
        </w:tc>
        <w:tc>
          <w:tcPr>
            <w:tcW w:w="2438" w:type="dxa"/>
            <w:shd w:val="clear" w:color="auto" w:fill="EEF2F7"/>
          </w:tcPr>
          <w:p>
            <w:pPr>
              <w:pStyle w:val="Compact"/>
              <w:spacing w:after="20" w:before="20"/>
            </w:pPr>
            <w:hyperlink r:id="rId85">
              <w:r>
                <w:rPr>
                  <w:rStyle w:val="Hyperlink"/>
                  <w:sz w:val="17"/>
                </w:rPr>
                <w:t xml:space="preserve">sec.gov/edgar/search</w:t>
              </w:r>
            </w:hyperlink>
          </w:p>
        </w:tc>
      </w:tr>
    </w:tbl>
    <w:bookmarkEnd w:id="173"/>
    <w:bookmarkStart w:id="176" w:name="X3c9cf2a79739197c3bae6f15ba15456417f2edf"/>
    <w:p>
      <w:pPr>
        <w:pStyle w:val="Heading1"/>
      </w:pPr>
      <w:r>
        <w:t xml:space="preserve">11. Paid access: what to request from the firm</w:t>
      </w:r>
    </w:p>
    <w:bookmarkStart w:id="174" w:name="ranked-shortlist"/>
    <w:p>
      <w:pPr>
        <w:pStyle w:val="Heading2"/>
      </w:pPr>
      <w:r>
        <w:t xml:space="preserve">11.1 Ranked shortlist</w:t>
      </w:r>
    </w:p>
    <w:p>
      <w:pPr>
        <w:pStyle w:val="FirstParagraph"/>
      </w:pPr>
      <w:r>
        <w:t xml:space="preserve">Ranked for someone temporarily covering a residential whole-loan/RMBS seat who must answer PM questions credibly. Many of these may already be licensed at the firm; the request may simply be for a seat or login.</w:t>
      </w:r>
    </w:p>
    <w:p>
      <w:pPr>
        <w:pStyle w:val="TableCaption"/>
      </w:pPr>
      <w:r>
        <w:t xml:space="preserve">Ranked paid-access requests.</w:t>
      </w:r>
    </w:p>
    <w:tbl>
      <w:tblPr>
        <w:tblStyle w:val="Table"/>
        <w:tblLayout w:type="fixed"/>
        <w:tblLook w:firstRow="1" w:lastRow="0" w:firstColumn="0" w:lastColumn="0" w:noHBand="0" w:noVBand="0" w:val="0020"/>
        <w:tblCaption w:val="Ranked paid-access request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983"/>
        <w:gridCol w:w="3281"/>
        <w:gridCol w:w="2297"/>
        <w:gridCol w:w="7549"/>
      </w:tblGrid>
      <w:tr>
        <w:trPr>
          <w:tblHeader w:val="on"/>
          <w:cantSplit/>
          <w:tblHeader/>
        </w:trPr>
        <w:tc>
          <w:tcPr>
            <w:tcW w:w="983" w:type="dxa"/>
            <w:shd w:val="clear" w:color="auto" w:fill="1F3A5F"/>
          </w:tcPr>
          <w:p>
            <w:pPr>
              <w:pStyle w:val="Compact"/>
              <w:spacing w:after="20" w:before="20"/>
            </w:pPr>
            <w:r>
              <w:rPr>
                <w:b/>
                <w:color w:val="FFFFFF"/>
                <w:sz w:val="17"/>
              </w:rPr>
              <w:t xml:space="preserve">Rank</w:t>
            </w:r>
          </w:p>
        </w:tc>
        <w:tc>
          <w:tcPr>
            <w:tcW w:w="3281" w:type="dxa"/>
            <w:shd w:val="clear" w:color="auto" w:fill="1F3A5F"/>
          </w:tcPr>
          <w:p>
            <w:pPr>
              <w:pStyle w:val="Compact"/>
              <w:spacing w:after="20" w:before="20"/>
            </w:pPr>
            <w:r>
              <w:rPr>
                <w:b/>
                <w:color w:val="FFFFFF"/>
                <w:sz w:val="17"/>
              </w:rPr>
              <w:t xml:space="preserve">Product</w:t>
            </w:r>
          </w:p>
        </w:tc>
        <w:tc>
          <w:tcPr>
            <w:tcW w:w="2297" w:type="dxa"/>
            <w:shd w:val="clear" w:color="auto" w:fill="1F3A5F"/>
          </w:tcPr>
          <w:p>
            <w:pPr>
              <w:pStyle w:val="Compact"/>
              <w:spacing w:after="20" w:before="20"/>
            </w:pPr>
            <w:r>
              <w:rPr>
                <w:b/>
                <w:color w:val="FFFFFF"/>
                <w:sz w:val="17"/>
              </w:rPr>
              <w:t xml:space="preserve">Tag</w:t>
            </w:r>
          </w:p>
        </w:tc>
        <w:tc>
          <w:tcPr>
            <w:tcW w:w="7549" w:type="dxa"/>
            <w:shd w:val="clear" w:color="auto" w:fill="1F3A5F"/>
          </w:tcPr>
          <w:p>
            <w:pPr>
              <w:pStyle w:val="Compact"/>
              <w:spacing w:after="20" w:before="20"/>
            </w:pPr>
            <w:r>
              <w:rPr>
                <w:b/>
                <w:color w:val="FFFFFF"/>
                <w:sz w:val="17"/>
              </w:rPr>
              <w:t xml:space="preserve">One-line justification</w:t>
            </w:r>
          </w:p>
        </w:tc>
      </w:tr>
      <w:tr>
        <w:trPr>
          <w:cantSplit/>
        </w:trPr>
        <w:tc>
          <w:tcPr>
            <w:tcW w:w="983" w:type="dxa"/>
          </w:tcPr>
          <w:p>
            <w:pPr>
              <w:pStyle w:val="Compact"/>
              <w:spacing w:after="20" w:before="20"/>
            </w:pPr>
            <w:r>
              <w:rPr>
                <w:sz w:val="17"/>
              </w:rPr>
              <w:t xml:space="preserve">1</w:t>
            </w:r>
          </w:p>
        </w:tc>
        <w:tc>
          <w:tcPr>
            <w:tcW w:w="3281" w:type="dxa"/>
          </w:tcPr>
          <w:p>
            <w:pPr>
              <w:pStyle w:val="Compact"/>
              <w:spacing w:after="20" w:before="20"/>
            </w:pPr>
            <w:r>
              <w:rPr>
                <w:sz w:val="17"/>
              </w:rPr>
              <w:t xml:space="preserve">Bloomberg Terminal (with mortgage/securitized functionality)</w:t>
            </w:r>
          </w:p>
        </w:tc>
        <w:tc>
          <w:tcPr>
            <w:tcW w:w="2297" w:type="dxa"/>
          </w:tcPr>
          <w:p>
            <w:pPr>
              <w:pStyle w:val="Compact"/>
              <w:spacing w:after="20" w:before="20"/>
            </w:pPr>
            <w:r>
              <w:rPr>
                <w:sz w:val="17"/>
              </w:rPr>
              <w:t xml:space="preserve">Must-request</w:t>
            </w:r>
          </w:p>
        </w:tc>
        <w:tc>
          <w:tcPr>
            <w:tcW w:w="7549" w:type="dxa"/>
          </w:tcPr>
          <w:p>
            <w:pPr>
              <w:pStyle w:val="Compact"/>
              <w:spacing w:after="20" w:before="20"/>
            </w:pPr>
            <w:r>
              <w:rPr>
                <w:sz w:val="17"/>
              </w:rPr>
              <w:t xml:space="preserve">Live Treasuries, swaps, TBA, current coupon, new-issue monitor, deal and bond analytics, dealer runs and news in one place; the reference source PMs expect.</w:t>
            </w:r>
          </w:p>
        </w:tc>
      </w:tr>
      <w:tr>
        <w:trPr>
          <w:cantSplit/>
        </w:trPr>
        <w:tc>
          <w:tcPr>
            <w:tcW w:w="983" w:type="dxa"/>
            <w:shd w:val="clear" w:color="auto" w:fill="EEF2F7"/>
          </w:tcPr>
          <w:p>
            <w:pPr>
              <w:pStyle w:val="Compact"/>
              <w:spacing w:after="20" w:before="20"/>
            </w:pPr>
            <w:r>
              <w:rPr>
                <w:sz w:val="17"/>
              </w:rPr>
              <w:t xml:space="preserve">2</w:t>
            </w:r>
          </w:p>
        </w:tc>
        <w:tc>
          <w:tcPr>
            <w:tcW w:w="3281" w:type="dxa"/>
            <w:shd w:val="clear" w:color="auto" w:fill="EEF2F7"/>
          </w:tcPr>
          <w:p>
            <w:pPr>
              <w:pStyle w:val="Compact"/>
              <w:spacing w:after="20" w:before="20"/>
            </w:pPr>
            <w:r>
              <w:rPr>
                <w:sz w:val="17"/>
              </w:rPr>
              <w:t xml:space="preserve">Dealer research portals and distribution lists (via broker coverage)</w:t>
            </w:r>
          </w:p>
        </w:tc>
        <w:tc>
          <w:tcPr>
            <w:tcW w:w="2297" w:type="dxa"/>
            <w:shd w:val="clear" w:color="auto" w:fill="EEF2F7"/>
          </w:tcPr>
          <w:p>
            <w:pPr>
              <w:pStyle w:val="Compact"/>
              <w:spacing w:after="20" w:before="20"/>
            </w:pPr>
            <w:r>
              <w:rPr>
                <w:sz w:val="17"/>
              </w:rPr>
              <w:t xml:space="preserve">Must-request (usually free to clients)</w:t>
            </w:r>
          </w:p>
        </w:tc>
        <w:tc>
          <w:tcPr>
            <w:tcW w:w="7549" w:type="dxa"/>
            <w:shd w:val="clear" w:color="auto" w:fill="EEF2F7"/>
          </w:tcPr>
          <w:p>
            <w:pPr>
              <w:pStyle w:val="Compact"/>
              <w:spacing w:after="20" w:before="20"/>
            </w:pPr>
            <w:r>
              <w:rPr>
                <w:sz w:val="17"/>
              </w:rPr>
              <w:t xml:space="preserve">The standard source for weekly Non-QM/jumbo/CES/CRT spread tables, CPR-day analysis, and new-issue recaps.</w:t>
            </w:r>
          </w:p>
        </w:tc>
      </w:tr>
      <w:tr>
        <w:trPr>
          <w:cantSplit/>
        </w:trPr>
        <w:tc>
          <w:tcPr>
            <w:tcW w:w="983" w:type="dxa"/>
          </w:tcPr>
          <w:p>
            <w:pPr>
              <w:pStyle w:val="Compact"/>
              <w:spacing w:after="20" w:before="20"/>
            </w:pPr>
            <w:r>
              <w:rPr>
                <w:sz w:val="17"/>
              </w:rPr>
              <w:t xml:space="preserve">3</w:t>
            </w:r>
          </w:p>
        </w:tc>
        <w:tc>
          <w:tcPr>
            <w:tcW w:w="3281" w:type="dxa"/>
          </w:tcPr>
          <w:p>
            <w:pPr>
              <w:pStyle w:val="Compact"/>
              <w:spacing w:after="20" w:before="20"/>
            </w:pPr>
            <w:r>
              <w:rPr>
                <w:sz w:val="17"/>
              </w:rPr>
              <w:t xml:space="preserve">dv01</w:t>
            </w:r>
          </w:p>
        </w:tc>
        <w:tc>
          <w:tcPr>
            <w:tcW w:w="2297" w:type="dxa"/>
          </w:tcPr>
          <w:p>
            <w:pPr>
              <w:pStyle w:val="Compact"/>
              <w:spacing w:after="20" w:before="20"/>
            </w:pPr>
            <w:r>
              <w:rPr>
                <w:sz w:val="17"/>
              </w:rPr>
              <w:t xml:space="preserve">Must-request</w:t>
            </w:r>
          </w:p>
        </w:tc>
        <w:tc>
          <w:tcPr>
            <w:tcW w:w="7549" w:type="dxa"/>
          </w:tcPr>
          <w:p>
            <w:pPr>
              <w:pStyle w:val="Compact"/>
              <w:spacing w:after="20" w:before="20"/>
            </w:pPr>
            <w:r>
              <w:rPr>
                <w:sz w:val="17"/>
              </w:rPr>
              <w:t xml:space="preserve">Standardized loan-level performance across Non-QM, DSCR, prime jumbo, CES and HELOC shelves, plus Fitch-dv01 benchmarks; answers</w:t>
            </w:r>
            <w:r>
              <w:rPr>
                <w:sz w:val="17"/>
              </w:rPr>
              <w:t xml:space="preserve"> </w:t>
            </w:r>
            <w:r>
              <w:rPr>
                <w:sz w:val="17"/>
              </w:rPr>
              <w:t xml:space="preserve">“how’s DSCR credit performing?”</w:t>
            </w:r>
            <w:r>
              <w:rPr>
                <w:sz w:val="17"/>
              </w:rPr>
              <w:t xml:space="preserve"> </w:t>
            </w:r>
            <w:r>
              <w:rPr>
                <w:sz w:val="17"/>
              </w:rPr>
              <w:t xml:space="preserve">directly.</w:t>
            </w:r>
          </w:p>
        </w:tc>
      </w:tr>
      <w:tr>
        <w:trPr>
          <w:cantSplit/>
        </w:trPr>
        <w:tc>
          <w:tcPr>
            <w:tcW w:w="983" w:type="dxa"/>
            <w:shd w:val="clear" w:color="auto" w:fill="EEF2F7"/>
          </w:tcPr>
          <w:p>
            <w:pPr>
              <w:pStyle w:val="Compact"/>
              <w:spacing w:after="20" w:before="20"/>
            </w:pPr>
            <w:r>
              <w:rPr>
                <w:sz w:val="17"/>
              </w:rPr>
              <w:t xml:space="preserve">4</w:t>
            </w:r>
          </w:p>
        </w:tc>
        <w:tc>
          <w:tcPr>
            <w:tcW w:w="3281" w:type="dxa"/>
            <w:shd w:val="clear" w:color="auto" w:fill="EEF2F7"/>
          </w:tcPr>
          <w:p>
            <w:pPr>
              <w:pStyle w:val="Compact"/>
              <w:spacing w:after="20" w:before="20"/>
            </w:pPr>
            <w:r>
              <w:rPr>
                <w:sz w:val="17"/>
              </w:rPr>
              <w:t xml:space="preserve">Intex</w:t>
            </w:r>
          </w:p>
        </w:tc>
        <w:tc>
          <w:tcPr>
            <w:tcW w:w="2297" w:type="dxa"/>
            <w:shd w:val="clear" w:color="auto" w:fill="EEF2F7"/>
          </w:tcPr>
          <w:p>
            <w:pPr>
              <w:pStyle w:val="Compact"/>
              <w:spacing w:after="20" w:before="20"/>
            </w:pPr>
            <w:r>
              <w:rPr>
                <w:sz w:val="17"/>
              </w:rPr>
              <w:t xml:space="preserve">Must-request</w:t>
            </w:r>
          </w:p>
        </w:tc>
        <w:tc>
          <w:tcPr>
            <w:tcW w:w="7549" w:type="dxa"/>
            <w:shd w:val="clear" w:color="auto" w:fill="EEF2F7"/>
          </w:tcPr>
          <w:p>
            <w:pPr>
              <w:pStyle w:val="Compact"/>
              <w:spacing w:after="20" w:before="20"/>
            </w:pPr>
            <w:r>
              <w:rPr>
                <w:sz w:val="17"/>
              </w:rPr>
              <w:t xml:space="preserve">Cash-flow models for RMBS and CRT; needed to compute yield/spread at a price and run loss and prepay scenarios on specific bonds.</w:t>
            </w:r>
          </w:p>
        </w:tc>
      </w:tr>
      <w:tr>
        <w:trPr>
          <w:cantSplit/>
        </w:trPr>
        <w:tc>
          <w:tcPr>
            <w:tcW w:w="983" w:type="dxa"/>
          </w:tcPr>
          <w:p>
            <w:pPr>
              <w:pStyle w:val="Compact"/>
              <w:spacing w:after="20" w:before="20"/>
            </w:pPr>
            <w:r>
              <w:rPr>
                <w:sz w:val="17"/>
              </w:rPr>
              <w:t xml:space="preserve">5</w:t>
            </w:r>
          </w:p>
        </w:tc>
        <w:tc>
          <w:tcPr>
            <w:tcW w:w="3281" w:type="dxa"/>
          </w:tcPr>
          <w:p>
            <w:pPr>
              <w:pStyle w:val="Compact"/>
              <w:spacing w:after="20" w:before="20"/>
            </w:pPr>
            <w:r>
              <w:rPr>
                <w:sz w:val="17"/>
              </w:rPr>
              <w:t xml:space="preserve">Finsight / CreditFlow (full access)</w:t>
            </w:r>
          </w:p>
        </w:tc>
        <w:tc>
          <w:tcPr>
            <w:tcW w:w="2297" w:type="dxa"/>
          </w:tcPr>
          <w:p>
            <w:pPr>
              <w:pStyle w:val="Compact"/>
              <w:spacing w:after="20" w:before="20"/>
            </w:pPr>
            <w:r>
              <w:rPr>
                <w:sz w:val="17"/>
              </w:rPr>
              <w:t xml:space="preserve">Must-request</w:t>
            </w:r>
          </w:p>
        </w:tc>
        <w:tc>
          <w:tcPr>
            <w:tcW w:w="7549" w:type="dxa"/>
          </w:tcPr>
          <w:p>
            <w:pPr>
              <w:pStyle w:val="Compact"/>
              <w:spacing w:after="20" w:before="20"/>
            </w:pPr>
            <w:r>
              <w:rPr>
                <w:sz w:val="17"/>
              </w:rPr>
              <w:t xml:space="preserve">Fastest structured new-issue calendar and pricing database; answers</w:t>
            </w:r>
            <w:r>
              <w:rPr>
                <w:sz w:val="17"/>
              </w:rPr>
              <w:t xml:space="preserve"> </w:t>
            </w:r>
            <w:r>
              <w:rPr>
                <w:sz w:val="17"/>
              </w:rPr>
              <w:t xml:space="preserve">“what did the last deal price at?”</w:t>
            </w:r>
          </w:p>
        </w:tc>
      </w:tr>
      <w:tr>
        <w:trPr>
          <w:cantSplit/>
        </w:trPr>
        <w:tc>
          <w:tcPr>
            <w:tcW w:w="983" w:type="dxa"/>
            <w:shd w:val="clear" w:color="auto" w:fill="EEF2F7"/>
          </w:tcPr>
          <w:p>
            <w:pPr>
              <w:pStyle w:val="Compact"/>
              <w:spacing w:after="20" w:before="20"/>
            </w:pPr>
            <w:r>
              <w:rPr>
                <w:sz w:val="17"/>
              </w:rPr>
              <w:t xml:space="preserve">6</w:t>
            </w:r>
          </w:p>
        </w:tc>
        <w:tc>
          <w:tcPr>
            <w:tcW w:w="3281" w:type="dxa"/>
            <w:shd w:val="clear" w:color="auto" w:fill="EEF2F7"/>
          </w:tcPr>
          <w:p>
            <w:pPr>
              <w:pStyle w:val="Compact"/>
              <w:spacing w:after="20" w:before="20"/>
            </w:pPr>
            <w:r>
              <w:rPr>
                <w:sz w:val="17"/>
              </w:rPr>
              <w:t xml:space="preserve">Tradeweb (if execution is in scope)</w:t>
            </w:r>
          </w:p>
        </w:tc>
        <w:tc>
          <w:tcPr>
            <w:tcW w:w="2297" w:type="dxa"/>
            <w:shd w:val="clear" w:color="auto" w:fill="EEF2F7"/>
          </w:tcPr>
          <w:p>
            <w:pPr>
              <w:pStyle w:val="Compact"/>
              <w:spacing w:after="20" w:before="20"/>
            </w:pPr>
            <w:r>
              <w:rPr>
                <w:sz w:val="17"/>
              </w:rPr>
              <w:t xml:space="preserve">Must-request if trading</w:t>
            </w:r>
          </w:p>
        </w:tc>
        <w:tc>
          <w:tcPr>
            <w:tcW w:w="7549" w:type="dxa"/>
            <w:shd w:val="clear" w:color="auto" w:fill="EEF2F7"/>
          </w:tcPr>
          <w:p>
            <w:pPr>
              <w:pStyle w:val="Compact"/>
              <w:spacing w:after="20" w:before="20"/>
            </w:pPr>
            <w:r>
              <w:rPr>
                <w:sz w:val="17"/>
              </w:rPr>
              <w:t xml:space="preserve">Live dealer quotes and execution for TBA, specified pools and Treasuries.</w:t>
            </w:r>
          </w:p>
        </w:tc>
      </w:tr>
      <w:tr>
        <w:trPr>
          <w:cantSplit/>
        </w:trPr>
        <w:tc>
          <w:tcPr>
            <w:tcW w:w="983" w:type="dxa"/>
          </w:tcPr>
          <w:p>
            <w:pPr>
              <w:pStyle w:val="Compact"/>
              <w:spacing w:after="20" w:before="20"/>
            </w:pPr>
            <w:r>
              <w:rPr>
                <w:sz w:val="17"/>
              </w:rPr>
              <w:t xml:space="preserve">7</w:t>
            </w:r>
          </w:p>
        </w:tc>
        <w:tc>
          <w:tcPr>
            <w:tcW w:w="3281" w:type="dxa"/>
          </w:tcPr>
          <w:p>
            <w:pPr>
              <w:pStyle w:val="Compact"/>
              <w:spacing w:after="20" w:before="20"/>
            </w:pPr>
            <w:r>
              <w:rPr>
                <w:sz w:val="17"/>
              </w:rPr>
              <w:t xml:space="preserve">Asset-Backed Alert (Green Street)</w:t>
            </w:r>
          </w:p>
        </w:tc>
        <w:tc>
          <w:tcPr>
            <w:tcW w:w="2297" w:type="dxa"/>
          </w:tcPr>
          <w:p>
            <w:pPr>
              <w:pStyle w:val="Compact"/>
              <w:spacing w:after="20" w:before="20"/>
            </w:pPr>
            <w:r>
              <w:rPr>
                <w:sz w:val="17"/>
              </w:rPr>
              <w:t xml:space="preserve">Nice to have</w:t>
            </w:r>
          </w:p>
        </w:tc>
        <w:tc>
          <w:tcPr>
            <w:tcW w:w="7549" w:type="dxa"/>
          </w:tcPr>
          <w:p>
            <w:pPr>
              <w:pStyle w:val="Compact"/>
              <w:spacing w:after="20" w:before="20"/>
            </w:pPr>
            <w:r>
              <w:rPr>
                <w:sz w:val="17"/>
              </w:rPr>
              <w:t xml:space="preserve">Weekly pipeline intelligence on who is coming to market and investor demand.</w:t>
            </w:r>
          </w:p>
        </w:tc>
      </w:tr>
      <w:tr>
        <w:trPr>
          <w:cantSplit/>
        </w:trPr>
        <w:tc>
          <w:tcPr>
            <w:tcW w:w="983" w:type="dxa"/>
            <w:shd w:val="clear" w:color="auto" w:fill="EEF2F7"/>
          </w:tcPr>
          <w:p>
            <w:pPr>
              <w:pStyle w:val="Compact"/>
              <w:spacing w:after="20" w:before="20"/>
            </w:pPr>
            <w:r>
              <w:rPr>
                <w:sz w:val="17"/>
              </w:rPr>
              <w:t xml:space="preserve">8</w:t>
            </w:r>
          </w:p>
        </w:tc>
        <w:tc>
          <w:tcPr>
            <w:tcW w:w="3281" w:type="dxa"/>
            <w:shd w:val="clear" w:color="auto" w:fill="EEF2F7"/>
          </w:tcPr>
          <w:p>
            <w:pPr>
              <w:pStyle w:val="Compact"/>
              <w:spacing w:after="20" w:before="20"/>
            </w:pPr>
            <w:r>
              <w:rPr>
                <w:sz w:val="17"/>
              </w:rPr>
              <w:t xml:space="preserve">Inside Mortgage Finance (Inside Nonconforming Markets; Inside MBS &amp; ABS)</w:t>
            </w:r>
          </w:p>
        </w:tc>
        <w:tc>
          <w:tcPr>
            <w:tcW w:w="2297" w:type="dxa"/>
            <w:shd w:val="clear" w:color="auto" w:fill="EEF2F7"/>
          </w:tcPr>
          <w:p>
            <w:pPr>
              <w:pStyle w:val="Compact"/>
              <w:spacing w:after="20" w:before="20"/>
            </w:pPr>
            <w:r>
              <w:rPr>
                <w:sz w:val="17"/>
              </w:rPr>
              <w:t xml:space="preserve">Nice to have</w:t>
            </w:r>
          </w:p>
        </w:tc>
        <w:tc>
          <w:tcPr>
            <w:tcW w:w="7549" w:type="dxa"/>
            <w:shd w:val="clear" w:color="auto" w:fill="EEF2F7"/>
          </w:tcPr>
          <w:p>
            <w:pPr>
              <w:pStyle w:val="Compact"/>
              <w:spacing w:after="20" w:before="20"/>
            </w:pPr>
            <w:r>
              <w:rPr>
                <w:sz w:val="17"/>
              </w:rPr>
              <w:t xml:space="preserve">Non-agency origination and securitization rankings and market-share data.</w:t>
            </w:r>
          </w:p>
        </w:tc>
      </w:tr>
      <w:tr>
        <w:trPr>
          <w:cantSplit/>
        </w:trPr>
        <w:tc>
          <w:tcPr>
            <w:tcW w:w="983" w:type="dxa"/>
          </w:tcPr>
          <w:p>
            <w:pPr>
              <w:pStyle w:val="Compact"/>
              <w:spacing w:after="20" w:before="20"/>
            </w:pPr>
            <w:r>
              <w:rPr>
                <w:sz w:val="17"/>
              </w:rPr>
              <w:t xml:space="preserve">9</w:t>
            </w:r>
          </w:p>
        </w:tc>
        <w:tc>
          <w:tcPr>
            <w:tcW w:w="3281" w:type="dxa"/>
          </w:tcPr>
          <w:p>
            <w:pPr>
              <w:pStyle w:val="Compact"/>
              <w:spacing w:after="20" w:before="20"/>
            </w:pPr>
            <w:r>
              <w:rPr>
                <w:sz w:val="17"/>
              </w:rPr>
              <w:t xml:space="preserve">ICE eMBS</w:t>
            </w:r>
          </w:p>
        </w:tc>
        <w:tc>
          <w:tcPr>
            <w:tcW w:w="2297" w:type="dxa"/>
          </w:tcPr>
          <w:p>
            <w:pPr>
              <w:pStyle w:val="Compact"/>
              <w:spacing w:after="20" w:before="20"/>
            </w:pPr>
            <w:r>
              <w:rPr>
                <w:sz w:val="17"/>
              </w:rPr>
              <w:t xml:space="preserve">Nice to have (Must-request if agency pools are a focus)</w:t>
            </w:r>
          </w:p>
        </w:tc>
        <w:tc>
          <w:tcPr>
            <w:tcW w:w="7549" w:type="dxa"/>
          </w:tcPr>
          <w:p>
            <w:pPr>
              <w:pStyle w:val="Compact"/>
              <w:spacing w:after="20" w:before="20"/>
            </w:pPr>
            <w:r>
              <w:rPr>
                <w:sz w:val="17"/>
              </w:rPr>
              <w:t xml:space="preserve">Standard agency prepayment database for cohort and pool speeds.</w:t>
            </w:r>
          </w:p>
        </w:tc>
      </w:tr>
      <w:tr>
        <w:trPr>
          <w:cantSplit/>
        </w:trPr>
        <w:tc>
          <w:tcPr>
            <w:tcW w:w="983" w:type="dxa"/>
            <w:shd w:val="clear" w:color="auto" w:fill="EEF2F7"/>
          </w:tcPr>
          <w:p>
            <w:pPr>
              <w:pStyle w:val="Compact"/>
              <w:spacing w:after="20" w:before="20"/>
            </w:pPr>
            <w:r>
              <w:rPr>
                <w:sz w:val="17"/>
              </w:rPr>
              <w:t xml:space="preserve">10</w:t>
            </w:r>
          </w:p>
        </w:tc>
        <w:tc>
          <w:tcPr>
            <w:tcW w:w="3281" w:type="dxa"/>
            <w:shd w:val="clear" w:color="auto" w:fill="EEF2F7"/>
          </w:tcPr>
          <w:p>
            <w:pPr>
              <w:pStyle w:val="Compact"/>
              <w:spacing w:after="20" w:before="20"/>
            </w:pPr>
            <w:r>
              <w:rPr>
                <w:sz w:val="17"/>
              </w:rPr>
              <w:t xml:space="preserve">Optimal Blue Market Data License</w:t>
            </w:r>
          </w:p>
        </w:tc>
        <w:tc>
          <w:tcPr>
            <w:tcW w:w="2297" w:type="dxa"/>
            <w:shd w:val="clear" w:color="auto" w:fill="EEF2F7"/>
          </w:tcPr>
          <w:p>
            <w:pPr>
              <w:pStyle w:val="Compact"/>
              <w:spacing w:after="20" w:before="20"/>
            </w:pPr>
            <w:r>
              <w:rPr>
                <w:sz w:val="17"/>
              </w:rPr>
              <w:t xml:space="preserve">Nice to have</w:t>
            </w:r>
          </w:p>
        </w:tc>
        <w:tc>
          <w:tcPr>
            <w:tcW w:w="7549" w:type="dxa"/>
            <w:shd w:val="clear" w:color="auto" w:fill="EEF2F7"/>
          </w:tcPr>
          <w:p>
            <w:pPr>
              <w:pStyle w:val="Compact"/>
              <w:spacing w:after="20" w:before="20"/>
            </w:pPr>
            <w:r>
              <w:rPr>
                <w:sz w:val="17"/>
              </w:rPr>
              <w:t xml:space="preserve">Daily lock-level data including Non-QM fields: the only systematic read on Non-QM/DSCR borrower rates and volumes.</w:t>
            </w:r>
          </w:p>
        </w:tc>
      </w:tr>
      <w:tr>
        <w:trPr>
          <w:cantSplit/>
        </w:trPr>
        <w:tc>
          <w:tcPr>
            <w:tcW w:w="983" w:type="dxa"/>
          </w:tcPr>
          <w:p>
            <w:pPr>
              <w:pStyle w:val="Compact"/>
              <w:spacing w:after="20" w:before="20"/>
            </w:pPr>
            <w:r>
              <w:rPr>
                <w:sz w:val="17"/>
              </w:rPr>
              <w:t xml:space="preserve">11</w:t>
            </w:r>
          </w:p>
        </w:tc>
        <w:tc>
          <w:tcPr>
            <w:tcW w:w="3281" w:type="dxa"/>
          </w:tcPr>
          <w:p>
            <w:pPr>
              <w:pStyle w:val="Compact"/>
              <w:spacing w:after="20" w:before="20"/>
            </w:pPr>
            <w:r>
              <w:rPr>
                <w:sz w:val="17"/>
              </w:rPr>
              <w:t xml:space="preserve">KBRA Premium (RMBS)</w:t>
            </w:r>
          </w:p>
        </w:tc>
        <w:tc>
          <w:tcPr>
            <w:tcW w:w="2297" w:type="dxa"/>
          </w:tcPr>
          <w:p>
            <w:pPr>
              <w:pStyle w:val="Compact"/>
              <w:spacing w:after="20" w:before="20"/>
            </w:pPr>
            <w:r>
              <w:rPr>
                <w:sz w:val="17"/>
              </w:rPr>
              <w:t xml:space="preserve">Nice to have</w:t>
            </w:r>
          </w:p>
        </w:tc>
        <w:tc>
          <w:tcPr>
            <w:tcW w:w="7549" w:type="dxa"/>
          </w:tcPr>
          <w:p>
            <w:pPr>
              <w:pStyle w:val="Compact"/>
              <w:spacing w:after="20" w:before="20"/>
            </w:pPr>
            <w:r>
              <w:rPr>
                <w:sz w:val="17"/>
              </w:rPr>
              <w:t xml:space="preserve">Monthly RMBS credit indices (DQ, mods, prepays) and deal analytics from a Non-QM-heavy rater.</w:t>
            </w:r>
          </w:p>
        </w:tc>
      </w:tr>
      <w:tr>
        <w:trPr>
          <w:cantSplit/>
        </w:trPr>
        <w:tc>
          <w:tcPr>
            <w:tcW w:w="983" w:type="dxa"/>
            <w:shd w:val="clear" w:color="auto" w:fill="EEF2F7"/>
          </w:tcPr>
          <w:p>
            <w:pPr>
              <w:pStyle w:val="Compact"/>
              <w:spacing w:after="20" w:before="20"/>
            </w:pPr>
            <w:r>
              <w:rPr>
                <w:sz w:val="17"/>
              </w:rPr>
              <w:t xml:space="preserve">12</w:t>
            </w:r>
          </w:p>
        </w:tc>
        <w:tc>
          <w:tcPr>
            <w:tcW w:w="3281" w:type="dxa"/>
            <w:shd w:val="clear" w:color="auto" w:fill="EEF2F7"/>
          </w:tcPr>
          <w:p>
            <w:pPr>
              <w:pStyle w:val="Compact"/>
              <w:spacing w:after="20" w:before="20"/>
            </w:pPr>
            <w:r>
              <w:rPr>
                <w:sz w:val="17"/>
              </w:rPr>
              <w:t xml:space="preserve">Asset Securitization Report full access</w:t>
            </w:r>
          </w:p>
        </w:tc>
        <w:tc>
          <w:tcPr>
            <w:tcW w:w="2297" w:type="dxa"/>
            <w:shd w:val="clear" w:color="auto" w:fill="EEF2F7"/>
          </w:tcPr>
          <w:p>
            <w:pPr>
              <w:pStyle w:val="Compact"/>
              <w:spacing w:after="20" w:before="20"/>
            </w:pPr>
            <w:r>
              <w:rPr>
                <w:sz w:val="17"/>
              </w:rPr>
              <w:t xml:space="preserve">Nice to have</w:t>
            </w:r>
          </w:p>
        </w:tc>
        <w:tc>
          <w:tcPr>
            <w:tcW w:w="7549" w:type="dxa"/>
            <w:shd w:val="clear" w:color="auto" w:fill="EEF2F7"/>
          </w:tcPr>
          <w:p>
            <w:pPr>
              <w:pStyle w:val="Compact"/>
              <w:spacing w:after="20" w:before="20"/>
            </w:pPr>
            <w:r>
              <w:rPr>
                <w:sz w:val="17"/>
              </w:rPr>
              <w:t xml:space="preserve">Paywalled deal stories and deal database.</w:t>
            </w:r>
          </w:p>
        </w:tc>
      </w:tr>
      <w:tr>
        <w:trPr>
          <w:cantSplit/>
        </w:trPr>
        <w:tc>
          <w:tcPr>
            <w:tcW w:w="983" w:type="dxa"/>
          </w:tcPr>
          <w:p>
            <w:pPr>
              <w:pStyle w:val="Compact"/>
              <w:spacing w:after="20" w:before="20"/>
            </w:pPr>
            <w:r>
              <w:rPr>
                <w:sz w:val="17"/>
              </w:rPr>
              <w:t xml:space="preserve">—</w:t>
            </w:r>
          </w:p>
        </w:tc>
        <w:tc>
          <w:tcPr>
            <w:tcW w:w="3281" w:type="dxa"/>
          </w:tcPr>
          <w:p>
            <w:pPr>
              <w:pStyle w:val="Compact"/>
              <w:spacing w:after="20" w:before="20"/>
            </w:pPr>
            <w:r>
              <w:rPr>
                <w:sz w:val="17"/>
              </w:rPr>
              <w:t xml:space="preserve">Cotality PLS data, ICE McDash, Recursion, Moody’s/S&amp;P research subscriptions, MarketAxess, 1010data</w:t>
            </w:r>
          </w:p>
        </w:tc>
        <w:tc>
          <w:tcPr>
            <w:tcW w:w="2297" w:type="dxa"/>
          </w:tcPr>
          <w:p>
            <w:pPr>
              <w:pStyle w:val="Compact"/>
              <w:spacing w:after="20" w:before="20"/>
            </w:pPr>
            <w:r>
              <w:rPr>
                <w:sz w:val="17"/>
              </w:rPr>
              <w:t xml:space="preserve">Skip for a temporary role</w:t>
            </w:r>
          </w:p>
        </w:tc>
        <w:tc>
          <w:tcPr>
            <w:tcW w:w="7549" w:type="dxa"/>
          </w:tcPr>
          <w:p>
            <w:pPr>
              <w:pStyle w:val="Compact"/>
              <w:spacing w:after="20" w:before="20"/>
            </w:pPr>
            <w:r>
              <w:rPr>
                <w:sz w:val="17"/>
              </w:rPr>
              <w:t xml:space="preserve">Enterprise-scale data licenses or overlap with the above; use them if the firm already has them.</w:t>
            </w:r>
          </w:p>
        </w:tc>
      </w:tr>
    </w:tbl>
    <w:bookmarkEnd w:id="174"/>
    <w:bookmarkStart w:id="175" w:name="X1e6888dfd1c078c47904c2cba591ecc7b48ceba"/>
    <w:p>
      <w:pPr>
        <w:pStyle w:val="Heading2"/>
      </w:pPr>
      <w:r>
        <w:t xml:space="preserve">11.2 Bloomberg functions and tickers useful to a mortgage trader</w:t>
      </w:r>
    </w:p>
    <w:p>
      <w:pPr>
        <w:pStyle w:val="FirstParagraph"/>
      </w:pPr>
      <w:r>
        <w:t xml:space="preserve">Functions marked</w:t>
      </w:r>
      <w:r>
        <w:t xml:space="preserve"> </w:t>
      </w:r>
      <w:r>
        <w:rPr>
          <w:b/>
          <w:bCs/>
        </w:rPr>
        <w:t xml:space="preserve">Confident</w:t>
      </w:r>
      <w:r>
        <w:t xml:space="preserve"> </w:t>
      </w:r>
      <w:r>
        <w:t xml:space="preserve">are standard, widely documented Bloomberg functions. Items marked</w:t>
      </w:r>
      <w:r>
        <w:t xml:space="preserve"> </w:t>
      </w:r>
      <w:r>
        <w:rPr>
          <w:b/>
          <w:bCs/>
        </w:rPr>
        <w:t xml:space="preserve">Confirm with desk</w:t>
      </w:r>
      <w:r>
        <w:t xml:space="preserve"> </w:t>
      </w:r>
      <w:r>
        <w:t xml:space="preserve">are ones commonly referenced for mortgages but that you should verify on the terminal (type the mnemonic and use HELP HELP or the function search if needed).</w:t>
      </w:r>
    </w:p>
    <w:p>
      <w:pPr>
        <w:pStyle w:val="TableCaption"/>
      </w:pPr>
      <w:r>
        <w:t xml:space="preserve">Bloomberg functions and tickers.</w:t>
      </w:r>
    </w:p>
    <w:tbl>
      <w:tblPr>
        <w:tblStyle w:val="Table"/>
        <w:tblLayout w:type="fixed"/>
        <w:tblLook w:firstRow="1" w:lastRow="0" w:firstColumn="0" w:lastColumn="0" w:noHBand="0" w:noVBand="0" w:val="0020"/>
        <w:tblCaption w:val="Bloomberg functions and tickers."/>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894"/>
        <w:gridCol w:w="9046"/>
        <w:gridCol w:w="2170"/>
      </w:tblGrid>
      <w:tr>
        <w:trPr>
          <w:tblHeader w:val="on"/>
          <w:cantSplit/>
          <w:tblHeader/>
        </w:trPr>
        <w:tc>
          <w:tcPr>
            <w:tcW w:w="2894" w:type="dxa"/>
            <w:shd w:val="clear" w:color="auto" w:fill="1F3A5F"/>
          </w:tcPr>
          <w:p>
            <w:pPr>
              <w:pStyle w:val="Compact"/>
              <w:spacing w:after="20" w:before="20"/>
            </w:pPr>
            <w:r>
              <w:rPr>
                <w:b/>
                <w:color w:val="FFFFFF"/>
                <w:sz w:val="17"/>
              </w:rPr>
              <w:t xml:space="preserve">Function / ticker</w:t>
            </w:r>
          </w:p>
        </w:tc>
        <w:tc>
          <w:tcPr>
            <w:tcW w:w="9046" w:type="dxa"/>
            <w:shd w:val="clear" w:color="auto" w:fill="1F3A5F"/>
          </w:tcPr>
          <w:p>
            <w:pPr>
              <w:pStyle w:val="Compact"/>
              <w:spacing w:after="20" w:before="20"/>
            </w:pPr>
            <w:r>
              <w:rPr>
                <w:b/>
                <w:color w:val="FFFFFF"/>
                <w:sz w:val="17"/>
              </w:rPr>
              <w:t xml:space="preserve">What it does</w:t>
            </w:r>
          </w:p>
        </w:tc>
        <w:tc>
          <w:tcPr>
            <w:tcW w:w="2170" w:type="dxa"/>
            <w:shd w:val="clear" w:color="auto" w:fill="1F3A5F"/>
          </w:tcPr>
          <w:p>
            <w:pPr>
              <w:pStyle w:val="Compact"/>
              <w:spacing w:after="20" w:before="20"/>
            </w:pPr>
            <w:r>
              <w:rPr>
                <w:b/>
                <w:color w:val="FFFFFF"/>
                <w:sz w:val="17"/>
              </w:rPr>
              <w:t xml:space="preserve">Status</w:t>
            </w:r>
          </w:p>
        </w:tc>
      </w:tr>
      <w:tr>
        <w:trPr>
          <w:cantSplit/>
        </w:trPr>
        <w:tc>
          <w:tcPr>
            <w:tcW w:w="2894" w:type="dxa"/>
          </w:tcPr>
          <w:p>
            <w:pPr>
              <w:pStyle w:val="Compact"/>
              <w:spacing w:after="20" w:before="20"/>
            </w:pPr>
            <w:r>
              <w:rPr>
                <w:sz w:val="17"/>
              </w:rPr>
              <w:t xml:space="preserve">YAS</w:t>
            </w:r>
          </w:p>
        </w:tc>
        <w:tc>
          <w:tcPr>
            <w:tcW w:w="9046" w:type="dxa"/>
          </w:tcPr>
          <w:p>
            <w:pPr>
              <w:pStyle w:val="Compact"/>
              <w:spacing w:after="20" w:before="20"/>
            </w:pPr>
            <w:r>
              <w:rPr>
                <w:sz w:val="17"/>
              </w:rPr>
              <w:t xml:space="preserve">Yield and spread analysis for a bond (price ↔ yield/spread, prepay/default assumptions for MBS/ABS)</w:t>
            </w:r>
          </w:p>
        </w:tc>
        <w:tc>
          <w:tcPr>
            <w:tcW w:w="2170" w:type="dxa"/>
          </w:tcPr>
          <w:p>
            <w:pPr>
              <w:pStyle w:val="Compact"/>
              <w:spacing w:after="20" w:before="20"/>
            </w:pPr>
            <w:r>
              <w:rPr>
                <w:sz w:val="17"/>
              </w:rPr>
              <w:t xml:space="preserve">Confident</w:t>
            </w:r>
          </w:p>
        </w:tc>
      </w:tr>
      <w:tr>
        <w:trPr>
          <w:cantSplit/>
        </w:trPr>
        <w:tc>
          <w:tcPr>
            <w:tcW w:w="2894" w:type="dxa"/>
            <w:shd w:val="clear" w:color="auto" w:fill="EEF2F7"/>
          </w:tcPr>
          <w:p>
            <w:pPr>
              <w:pStyle w:val="Compact"/>
              <w:spacing w:after="20" w:before="20"/>
            </w:pPr>
            <w:r>
              <w:rPr>
                <w:sz w:val="17"/>
              </w:rPr>
              <w:t xml:space="preserve">ALLQ</w:t>
            </w:r>
          </w:p>
        </w:tc>
        <w:tc>
          <w:tcPr>
            <w:tcW w:w="9046" w:type="dxa"/>
            <w:shd w:val="clear" w:color="auto" w:fill="EEF2F7"/>
          </w:tcPr>
          <w:p>
            <w:pPr>
              <w:pStyle w:val="Compact"/>
              <w:spacing w:after="20" w:before="20"/>
            </w:pPr>
            <w:r>
              <w:rPr>
                <w:sz w:val="17"/>
              </w:rPr>
              <w:t xml:space="preserve">All dealer quotes for a security</w:t>
            </w:r>
          </w:p>
        </w:tc>
        <w:tc>
          <w:tcPr>
            <w:tcW w:w="2170" w:type="dxa"/>
            <w:shd w:val="clear" w:color="auto" w:fill="EEF2F7"/>
          </w:tcPr>
          <w:p>
            <w:pPr>
              <w:pStyle w:val="Compact"/>
              <w:spacing w:after="20" w:before="20"/>
            </w:pPr>
            <w:r>
              <w:rPr>
                <w:sz w:val="17"/>
              </w:rPr>
              <w:t xml:space="preserve">Confident</w:t>
            </w:r>
          </w:p>
        </w:tc>
      </w:tr>
      <w:tr>
        <w:trPr>
          <w:cantSplit/>
        </w:trPr>
        <w:tc>
          <w:tcPr>
            <w:tcW w:w="2894" w:type="dxa"/>
          </w:tcPr>
          <w:p>
            <w:pPr>
              <w:pStyle w:val="Compact"/>
              <w:spacing w:after="20" w:before="20"/>
            </w:pPr>
            <w:r>
              <w:rPr>
                <w:sz w:val="17"/>
              </w:rPr>
              <w:t xml:space="preserve">DES</w:t>
            </w:r>
          </w:p>
        </w:tc>
        <w:tc>
          <w:tcPr>
            <w:tcW w:w="9046" w:type="dxa"/>
          </w:tcPr>
          <w:p>
            <w:pPr>
              <w:pStyle w:val="Compact"/>
              <w:spacing w:after="20" w:before="20"/>
            </w:pPr>
            <w:r>
              <w:rPr>
                <w:sz w:val="17"/>
              </w:rPr>
              <w:t xml:space="preserve">Security description (deal and tranche terms)</w:t>
            </w:r>
          </w:p>
        </w:tc>
        <w:tc>
          <w:tcPr>
            <w:tcW w:w="2170" w:type="dxa"/>
          </w:tcPr>
          <w:p>
            <w:pPr>
              <w:pStyle w:val="Compact"/>
              <w:spacing w:after="20" w:before="20"/>
            </w:pPr>
            <w:r>
              <w:rPr>
                <w:sz w:val="17"/>
              </w:rPr>
              <w:t xml:space="preserve">Confident</w:t>
            </w:r>
          </w:p>
        </w:tc>
      </w:tr>
      <w:tr>
        <w:trPr>
          <w:cantSplit/>
        </w:trPr>
        <w:tc>
          <w:tcPr>
            <w:tcW w:w="2894" w:type="dxa"/>
            <w:shd w:val="clear" w:color="auto" w:fill="EEF2F7"/>
          </w:tcPr>
          <w:p>
            <w:pPr>
              <w:pStyle w:val="Compact"/>
              <w:spacing w:after="20" w:before="20"/>
            </w:pPr>
            <w:r>
              <w:rPr>
                <w:sz w:val="17"/>
              </w:rPr>
              <w:t xml:space="preserve">CFLO</w:t>
            </w:r>
          </w:p>
        </w:tc>
        <w:tc>
          <w:tcPr>
            <w:tcW w:w="9046" w:type="dxa"/>
            <w:shd w:val="clear" w:color="auto" w:fill="EEF2F7"/>
          </w:tcPr>
          <w:p>
            <w:pPr>
              <w:pStyle w:val="Compact"/>
              <w:spacing w:after="20" w:before="20"/>
            </w:pPr>
            <w:r>
              <w:rPr>
                <w:sz w:val="17"/>
              </w:rPr>
              <w:t xml:space="preserve">Projected cash flows for a bond</w:t>
            </w:r>
          </w:p>
        </w:tc>
        <w:tc>
          <w:tcPr>
            <w:tcW w:w="2170" w:type="dxa"/>
            <w:shd w:val="clear" w:color="auto" w:fill="EEF2F7"/>
          </w:tcPr>
          <w:p>
            <w:pPr>
              <w:pStyle w:val="Compact"/>
              <w:spacing w:after="20" w:before="20"/>
            </w:pPr>
            <w:r>
              <w:rPr>
                <w:sz w:val="17"/>
              </w:rPr>
              <w:t xml:space="preserve">Confident</w:t>
            </w:r>
          </w:p>
        </w:tc>
      </w:tr>
      <w:tr>
        <w:trPr>
          <w:cantSplit/>
        </w:trPr>
        <w:tc>
          <w:tcPr>
            <w:tcW w:w="2894" w:type="dxa"/>
          </w:tcPr>
          <w:p>
            <w:pPr>
              <w:pStyle w:val="Compact"/>
              <w:spacing w:after="20" w:before="20"/>
            </w:pPr>
            <w:r>
              <w:rPr>
                <w:sz w:val="17"/>
              </w:rPr>
              <w:t xml:space="preserve">NIM</w:t>
            </w:r>
          </w:p>
        </w:tc>
        <w:tc>
          <w:tcPr>
            <w:tcW w:w="9046" w:type="dxa"/>
          </w:tcPr>
          <w:p>
            <w:pPr>
              <w:pStyle w:val="Compact"/>
              <w:spacing w:after="20" w:before="20"/>
            </w:pPr>
            <w:r>
              <w:rPr>
                <w:sz w:val="17"/>
              </w:rPr>
              <w:t xml:space="preserve">New Issue Monitor (live new-issue pipeline, filterable by asset class)</w:t>
            </w:r>
          </w:p>
        </w:tc>
        <w:tc>
          <w:tcPr>
            <w:tcW w:w="2170" w:type="dxa"/>
          </w:tcPr>
          <w:p>
            <w:pPr>
              <w:pStyle w:val="Compact"/>
              <w:spacing w:after="20" w:before="20"/>
            </w:pPr>
            <w:r>
              <w:rPr>
                <w:sz w:val="17"/>
              </w:rPr>
              <w:t xml:space="preserve">Confident</w:t>
            </w:r>
          </w:p>
        </w:tc>
      </w:tr>
      <w:tr>
        <w:trPr>
          <w:cantSplit/>
        </w:trPr>
        <w:tc>
          <w:tcPr>
            <w:tcW w:w="2894" w:type="dxa"/>
            <w:shd w:val="clear" w:color="auto" w:fill="EEF2F7"/>
          </w:tcPr>
          <w:p>
            <w:pPr>
              <w:pStyle w:val="Compact"/>
              <w:spacing w:after="20" w:before="20"/>
            </w:pPr>
            <w:r>
              <w:rPr>
                <w:sz w:val="17"/>
              </w:rPr>
              <w:t xml:space="preserve">SRCH</w:t>
            </w:r>
          </w:p>
        </w:tc>
        <w:tc>
          <w:tcPr>
            <w:tcW w:w="9046" w:type="dxa"/>
            <w:shd w:val="clear" w:color="auto" w:fill="EEF2F7"/>
          </w:tcPr>
          <w:p>
            <w:pPr>
              <w:pStyle w:val="Compact"/>
              <w:spacing w:after="20" w:before="20"/>
            </w:pPr>
            <w:r>
              <w:rPr>
                <w:sz w:val="17"/>
              </w:rPr>
              <w:t xml:space="preserve">Fixed income security search</w:t>
            </w:r>
          </w:p>
        </w:tc>
        <w:tc>
          <w:tcPr>
            <w:tcW w:w="2170" w:type="dxa"/>
            <w:shd w:val="clear" w:color="auto" w:fill="EEF2F7"/>
          </w:tcPr>
          <w:p>
            <w:pPr>
              <w:pStyle w:val="Compact"/>
              <w:spacing w:after="20" w:before="20"/>
            </w:pPr>
            <w:r>
              <w:rPr>
                <w:sz w:val="17"/>
              </w:rPr>
              <w:t xml:space="preserve">Confident</w:t>
            </w:r>
          </w:p>
        </w:tc>
      </w:tr>
      <w:tr>
        <w:trPr>
          <w:cantSplit/>
        </w:trPr>
        <w:tc>
          <w:tcPr>
            <w:tcW w:w="2894" w:type="dxa"/>
          </w:tcPr>
          <w:p>
            <w:pPr>
              <w:pStyle w:val="Compact"/>
              <w:spacing w:after="20" w:before="20"/>
            </w:pPr>
            <w:r>
              <w:rPr>
                <w:sz w:val="17"/>
              </w:rPr>
              <w:t xml:space="preserve">LEAG</w:t>
            </w:r>
          </w:p>
        </w:tc>
        <w:tc>
          <w:tcPr>
            <w:tcW w:w="9046" w:type="dxa"/>
          </w:tcPr>
          <w:p>
            <w:pPr>
              <w:pStyle w:val="Compact"/>
              <w:spacing w:after="20" w:before="20"/>
            </w:pPr>
            <w:r>
              <w:rPr>
                <w:sz w:val="17"/>
              </w:rPr>
              <w:t xml:space="preserve">League tables</w:t>
            </w:r>
          </w:p>
        </w:tc>
        <w:tc>
          <w:tcPr>
            <w:tcW w:w="2170" w:type="dxa"/>
          </w:tcPr>
          <w:p>
            <w:pPr>
              <w:pStyle w:val="Compact"/>
              <w:spacing w:after="20" w:before="20"/>
            </w:pPr>
            <w:r>
              <w:rPr>
                <w:sz w:val="17"/>
              </w:rPr>
              <w:t xml:space="preserve">Confident</w:t>
            </w:r>
          </w:p>
        </w:tc>
      </w:tr>
      <w:tr>
        <w:trPr>
          <w:cantSplit/>
        </w:trPr>
        <w:tc>
          <w:tcPr>
            <w:tcW w:w="2894" w:type="dxa"/>
            <w:shd w:val="clear" w:color="auto" w:fill="EEF2F7"/>
          </w:tcPr>
          <w:p>
            <w:pPr>
              <w:pStyle w:val="Compact"/>
              <w:spacing w:after="20" w:before="20"/>
            </w:pPr>
            <w:r>
              <w:rPr>
                <w:sz w:val="17"/>
              </w:rPr>
              <w:t xml:space="preserve">BTMM</w:t>
            </w:r>
          </w:p>
        </w:tc>
        <w:tc>
          <w:tcPr>
            <w:tcW w:w="9046" w:type="dxa"/>
            <w:shd w:val="clear" w:color="auto" w:fill="EEF2F7"/>
          </w:tcPr>
          <w:p>
            <w:pPr>
              <w:pStyle w:val="Compact"/>
              <w:spacing w:after="20" w:before="20"/>
            </w:pPr>
            <w:r>
              <w:rPr>
                <w:sz w:val="17"/>
              </w:rPr>
              <w:t xml:space="preserve">US Treasury and money-market monitor</w:t>
            </w:r>
          </w:p>
        </w:tc>
        <w:tc>
          <w:tcPr>
            <w:tcW w:w="2170" w:type="dxa"/>
            <w:shd w:val="clear" w:color="auto" w:fill="EEF2F7"/>
          </w:tcPr>
          <w:p>
            <w:pPr>
              <w:pStyle w:val="Compact"/>
              <w:spacing w:after="20" w:before="20"/>
            </w:pPr>
            <w:r>
              <w:rPr>
                <w:sz w:val="17"/>
              </w:rPr>
              <w:t xml:space="preserve">Confident</w:t>
            </w:r>
          </w:p>
        </w:tc>
      </w:tr>
      <w:tr>
        <w:trPr>
          <w:cantSplit/>
        </w:trPr>
        <w:tc>
          <w:tcPr>
            <w:tcW w:w="2894" w:type="dxa"/>
          </w:tcPr>
          <w:p>
            <w:pPr>
              <w:pStyle w:val="Compact"/>
              <w:spacing w:after="20" w:before="20"/>
            </w:pPr>
            <w:r>
              <w:rPr>
                <w:sz w:val="17"/>
              </w:rPr>
              <w:t xml:space="preserve">CRVF</w:t>
            </w:r>
          </w:p>
        </w:tc>
        <w:tc>
          <w:tcPr>
            <w:tcW w:w="9046" w:type="dxa"/>
          </w:tcPr>
          <w:p>
            <w:pPr>
              <w:pStyle w:val="Compact"/>
              <w:spacing w:after="20" w:before="20"/>
            </w:pPr>
            <w:r>
              <w:rPr>
                <w:sz w:val="17"/>
              </w:rPr>
              <w:t xml:space="preserve">Curve finder (locate curves such as Treasury, swaps, MBS)</w:t>
            </w:r>
          </w:p>
        </w:tc>
        <w:tc>
          <w:tcPr>
            <w:tcW w:w="2170" w:type="dxa"/>
          </w:tcPr>
          <w:p>
            <w:pPr>
              <w:pStyle w:val="Compact"/>
              <w:spacing w:after="20" w:before="20"/>
            </w:pPr>
            <w:r>
              <w:rPr>
                <w:sz w:val="17"/>
              </w:rPr>
              <w:t xml:space="preserve">Confident</w:t>
            </w:r>
          </w:p>
        </w:tc>
      </w:tr>
      <w:tr>
        <w:trPr>
          <w:cantSplit/>
        </w:trPr>
        <w:tc>
          <w:tcPr>
            <w:tcW w:w="2894" w:type="dxa"/>
            <w:shd w:val="clear" w:color="auto" w:fill="EEF2F7"/>
          </w:tcPr>
          <w:p>
            <w:pPr>
              <w:pStyle w:val="Compact"/>
              <w:spacing w:after="20" w:before="20"/>
            </w:pPr>
            <w:r>
              <w:rPr>
                <w:sz w:val="17"/>
              </w:rPr>
              <w:t xml:space="preserve">SWPM</w:t>
            </w:r>
          </w:p>
        </w:tc>
        <w:tc>
          <w:tcPr>
            <w:tcW w:w="9046" w:type="dxa"/>
            <w:shd w:val="clear" w:color="auto" w:fill="EEF2F7"/>
          </w:tcPr>
          <w:p>
            <w:pPr>
              <w:pStyle w:val="Compact"/>
              <w:spacing w:after="20" w:before="20"/>
            </w:pPr>
            <w:r>
              <w:rPr>
                <w:sz w:val="17"/>
              </w:rPr>
              <w:t xml:space="preserve">Swap manager (swap pricing and curve)</w:t>
            </w:r>
          </w:p>
        </w:tc>
        <w:tc>
          <w:tcPr>
            <w:tcW w:w="2170" w:type="dxa"/>
            <w:shd w:val="clear" w:color="auto" w:fill="EEF2F7"/>
          </w:tcPr>
          <w:p>
            <w:pPr>
              <w:pStyle w:val="Compact"/>
              <w:spacing w:after="20" w:before="20"/>
            </w:pPr>
            <w:r>
              <w:rPr>
                <w:sz w:val="17"/>
              </w:rPr>
              <w:t xml:space="preserve">Confident</w:t>
            </w:r>
          </w:p>
        </w:tc>
      </w:tr>
      <w:tr>
        <w:trPr>
          <w:cantSplit/>
        </w:trPr>
        <w:tc>
          <w:tcPr>
            <w:tcW w:w="2894" w:type="dxa"/>
          </w:tcPr>
          <w:p>
            <w:pPr>
              <w:pStyle w:val="Compact"/>
              <w:spacing w:after="20" w:before="20"/>
            </w:pPr>
            <w:r>
              <w:rPr>
                <w:sz w:val="17"/>
              </w:rPr>
              <w:t xml:space="preserve">WIRP</w:t>
            </w:r>
          </w:p>
        </w:tc>
        <w:tc>
          <w:tcPr>
            <w:tcW w:w="9046" w:type="dxa"/>
          </w:tcPr>
          <w:p>
            <w:pPr>
              <w:pStyle w:val="Compact"/>
              <w:spacing w:after="20" w:before="20"/>
            </w:pPr>
            <w:r>
              <w:rPr>
                <w:sz w:val="17"/>
              </w:rPr>
              <w:t xml:space="preserve">World interest rate probability (market-implied Fed path)</w:t>
            </w:r>
          </w:p>
        </w:tc>
        <w:tc>
          <w:tcPr>
            <w:tcW w:w="2170" w:type="dxa"/>
          </w:tcPr>
          <w:p>
            <w:pPr>
              <w:pStyle w:val="Compact"/>
              <w:spacing w:after="20" w:before="20"/>
            </w:pPr>
            <w:r>
              <w:rPr>
                <w:sz w:val="17"/>
              </w:rPr>
              <w:t xml:space="preserve">Confident</w:t>
            </w:r>
          </w:p>
        </w:tc>
      </w:tr>
      <w:tr>
        <w:trPr>
          <w:cantSplit/>
        </w:trPr>
        <w:tc>
          <w:tcPr>
            <w:tcW w:w="2894" w:type="dxa"/>
            <w:shd w:val="clear" w:color="auto" w:fill="EEF2F7"/>
          </w:tcPr>
          <w:p>
            <w:pPr>
              <w:pStyle w:val="Compact"/>
              <w:spacing w:after="20" w:before="20"/>
            </w:pPr>
            <w:r>
              <w:rPr>
                <w:sz w:val="17"/>
              </w:rPr>
              <w:t xml:space="preserve">ECO</w:t>
            </w:r>
          </w:p>
        </w:tc>
        <w:tc>
          <w:tcPr>
            <w:tcW w:w="9046" w:type="dxa"/>
            <w:shd w:val="clear" w:color="auto" w:fill="EEF2F7"/>
          </w:tcPr>
          <w:p>
            <w:pPr>
              <w:pStyle w:val="Compact"/>
              <w:spacing w:after="20" w:before="20"/>
            </w:pPr>
            <w:r>
              <w:rPr>
                <w:sz w:val="17"/>
              </w:rPr>
              <w:t xml:space="preserve">Economic calendar with consensus</w:t>
            </w:r>
          </w:p>
        </w:tc>
        <w:tc>
          <w:tcPr>
            <w:tcW w:w="2170" w:type="dxa"/>
            <w:shd w:val="clear" w:color="auto" w:fill="EEF2F7"/>
          </w:tcPr>
          <w:p>
            <w:pPr>
              <w:pStyle w:val="Compact"/>
              <w:spacing w:after="20" w:before="20"/>
            </w:pPr>
            <w:r>
              <w:rPr>
                <w:sz w:val="17"/>
              </w:rPr>
              <w:t xml:space="preserve">Confident</w:t>
            </w:r>
          </w:p>
        </w:tc>
      </w:tr>
      <w:tr>
        <w:trPr>
          <w:cantSplit/>
        </w:trPr>
        <w:tc>
          <w:tcPr>
            <w:tcW w:w="2894" w:type="dxa"/>
          </w:tcPr>
          <w:p>
            <w:pPr>
              <w:pStyle w:val="Compact"/>
              <w:spacing w:after="20" w:before="20"/>
            </w:pPr>
            <w:r>
              <w:rPr>
                <w:sz w:val="17"/>
              </w:rPr>
              <w:t xml:space="preserve">GP / HP</w:t>
            </w:r>
          </w:p>
        </w:tc>
        <w:tc>
          <w:tcPr>
            <w:tcW w:w="9046" w:type="dxa"/>
          </w:tcPr>
          <w:p>
            <w:pPr>
              <w:pStyle w:val="Compact"/>
              <w:spacing w:after="20" w:before="20"/>
            </w:pPr>
            <w:r>
              <w:rPr>
                <w:sz w:val="17"/>
              </w:rPr>
              <w:t xml:space="preserve">Price graph / historical prices for any ticker</w:t>
            </w:r>
          </w:p>
        </w:tc>
        <w:tc>
          <w:tcPr>
            <w:tcW w:w="2170" w:type="dxa"/>
          </w:tcPr>
          <w:p>
            <w:pPr>
              <w:pStyle w:val="Compact"/>
              <w:spacing w:after="20" w:before="20"/>
            </w:pPr>
            <w:r>
              <w:rPr>
                <w:sz w:val="17"/>
              </w:rPr>
              <w:t xml:space="preserve">Confident</w:t>
            </w:r>
          </w:p>
        </w:tc>
      </w:tr>
      <w:tr>
        <w:trPr>
          <w:cantSplit/>
        </w:trPr>
        <w:tc>
          <w:tcPr>
            <w:tcW w:w="2894" w:type="dxa"/>
            <w:shd w:val="clear" w:color="auto" w:fill="EEF2F7"/>
          </w:tcPr>
          <w:p>
            <w:pPr>
              <w:pStyle w:val="Compact"/>
              <w:spacing w:after="20" w:before="20"/>
            </w:pPr>
            <w:r>
              <w:rPr>
                <w:sz w:val="17"/>
              </w:rPr>
              <w:t xml:space="preserve">TOP / N</w:t>
            </w:r>
          </w:p>
        </w:tc>
        <w:tc>
          <w:tcPr>
            <w:tcW w:w="9046" w:type="dxa"/>
            <w:shd w:val="clear" w:color="auto" w:fill="EEF2F7"/>
          </w:tcPr>
          <w:p>
            <w:pPr>
              <w:pStyle w:val="Compact"/>
              <w:spacing w:after="20" w:before="20"/>
            </w:pPr>
            <w:r>
              <w:rPr>
                <w:sz w:val="17"/>
              </w:rPr>
              <w:t xml:space="preserve">Top news; news main menu</w:t>
            </w:r>
          </w:p>
        </w:tc>
        <w:tc>
          <w:tcPr>
            <w:tcW w:w="2170" w:type="dxa"/>
            <w:shd w:val="clear" w:color="auto" w:fill="EEF2F7"/>
          </w:tcPr>
          <w:p>
            <w:pPr>
              <w:pStyle w:val="Compact"/>
              <w:spacing w:after="20" w:before="20"/>
            </w:pPr>
            <w:r>
              <w:rPr>
                <w:sz w:val="17"/>
              </w:rPr>
              <w:t xml:space="preserve">Confident</w:t>
            </w:r>
          </w:p>
        </w:tc>
      </w:tr>
      <w:tr>
        <w:trPr>
          <w:cantSplit/>
        </w:trPr>
        <w:tc>
          <w:tcPr>
            <w:tcW w:w="2894" w:type="dxa"/>
          </w:tcPr>
          <w:p>
            <w:pPr>
              <w:pStyle w:val="Compact"/>
              <w:spacing w:after="20" w:before="20"/>
            </w:pPr>
            <w:r>
              <w:rPr>
                <w:sz w:val="17"/>
              </w:rPr>
              <w:t xml:space="preserve">USGG2YR / USGG10YR / USGG30YR Index</w:t>
            </w:r>
          </w:p>
        </w:tc>
        <w:tc>
          <w:tcPr>
            <w:tcW w:w="9046" w:type="dxa"/>
          </w:tcPr>
          <w:p>
            <w:pPr>
              <w:pStyle w:val="Compact"/>
              <w:spacing w:after="20" w:before="20"/>
            </w:pPr>
            <w:r>
              <w:rPr>
                <w:sz w:val="17"/>
              </w:rPr>
              <w:t xml:space="preserve">Generic Treasury yields</w:t>
            </w:r>
          </w:p>
        </w:tc>
        <w:tc>
          <w:tcPr>
            <w:tcW w:w="2170" w:type="dxa"/>
          </w:tcPr>
          <w:p>
            <w:pPr>
              <w:pStyle w:val="Compact"/>
              <w:spacing w:after="20" w:before="20"/>
            </w:pPr>
            <w:r>
              <w:rPr>
                <w:sz w:val="17"/>
              </w:rPr>
              <w:t xml:space="preserve">Confident</w:t>
            </w:r>
          </w:p>
        </w:tc>
      </w:tr>
      <w:tr>
        <w:trPr>
          <w:cantSplit/>
        </w:trPr>
        <w:tc>
          <w:tcPr>
            <w:tcW w:w="2894" w:type="dxa"/>
            <w:shd w:val="clear" w:color="auto" w:fill="EEF2F7"/>
          </w:tcPr>
          <w:p>
            <w:pPr>
              <w:pStyle w:val="Compact"/>
              <w:spacing w:after="20" w:before="20"/>
            </w:pPr>
            <w:r>
              <w:rPr>
                <w:sz w:val="17"/>
              </w:rPr>
              <w:t xml:space="preserve">SOFRRATE Index</w:t>
            </w:r>
          </w:p>
        </w:tc>
        <w:tc>
          <w:tcPr>
            <w:tcW w:w="9046" w:type="dxa"/>
            <w:shd w:val="clear" w:color="auto" w:fill="EEF2F7"/>
          </w:tcPr>
          <w:p>
            <w:pPr>
              <w:pStyle w:val="Compact"/>
              <w:spacing w:after="20" w:before="20"/>
            </w:pPr>
            <w:r>
              <w:rPr>
                <w:sz w:val="17"/>
              </w:rPr>
              <w:t xml:space="preserve">SOFR</w:t>
            </w:r>
          </w:p>
        </w:tc>
        <w:tc>
          <w:tcPr>
            <w:tcW w:w="2170" w:type="dxa"/>
            <w:shd w:val="clear" w:color="auto" w:fill="EEF2F7"/>
          </w:tcPr>
          <w:p>
            <w:pPr>
              <w:pStyle w:val="Compact"/>
              <w:spacing w:after="20" w:before="20"/>
            </w:pPr>
            <w:r>
              <w:rPr>
                <w:sz w:val="17"/>
              </w:rPr>
              <w:t xml:space="preserve">Confident</w:t>
            </w:r>
          </w:p>
        </w:tc>
      </w:tr>
      <w:tr>
        <w:trPr>
          <w:cantSplit/>
        </w:trPr>
        <w:tc>
          <w:tcPr>
            <w:tcW w:w="2894" w:type="dxa"/>
          </w:tcPr>
          <w:p>
            <w:pPr>
              <w:pStyle w:val="Compact"/>
              <w:spacing w:after="20" w:before="20"/>
            </w:pPr>
            <w:r>
              <w:rPr>
                <w:sz w:val="17"/>
              </w:rPr>
              <w:t xml:space="preserve">MOVE Index / VIX Index</w:t>
            </w:r>
          </w:p>
        </w:tc>
        <w:tc>
          <w:tcPr>
            <w:tcW w:w="9046" w:type="dxa"/>
          </w:tcPr>
          <w:p>
            <w:pPr>
              <w:pStyle w:val="Compact"/>
              <w:spacing w:after="20" w:before="20"/>
            </w:pPr>
            <w:r>
              <w:rPr>
                <w:sz w:val="17"/>
              </w:rPr>
              <w:t xml:space="preserve">Rates and equity implied volatility</w:t>
            </w:r>
          </w:p>
        </w:tc>
        <w:tc>
          <w:tcPr>
            <w:tcW w:w="2170" w:type="dxa"/>
          </w:tcPr>
          <w:p>
            <w:pPr>
              <w:pStyle w:val="Compact"/>
              <w:spacing w:after="20" w:before="20"/>
            </w:pPr>
            <w:r>
              <w:rPr>
                <w:sz w:val="17"/>
              </w:rPr>
              <w:t xml:space="preserve">Confident</w:t>
            </w:r>
          </w:p>
        </w:tc>
      </w:tr>
      <w:tr>
        <w:trPr>
          <w:cantSplit/>
        </w:trPr>
        <w:tc>
          <w:tcPr>
            <w:tcW w:w="2894" w:type="dxa"/>
            <w:shd w:val="clear" w:color="auto" w:fill="EEF2F7"/>
          </w:tcPr>
          <w:p>
            <w:pPr>
              <w:pStyle w:val="Compact"/>
              <w:spacing w:after="20" w:before="20"/>
            </w:pPr>
            <w:r>
              <w:rPr>
                <w:sz w:val="17"/>
              </w:rPr>
              <w:t xml:space="preserve">MTGE</w:t>
            </w:r>
          </w:p>
        </w:tc>
        <w:tc>
          <w:tcPr>
            <w:tcW w:w="9046" w:type="dxa"/>
            <w:shd w:val="clear" w:color="auto" w:fill="EEF2F7"/>
          </w:tcPr>
          <w:p>
            <w:pPr>
              <w:pStyle w:val="Compact"/>
              <w:spacing w:after="20" w:before="20"/>
            </w:pPr>
            <w:r>
              <w:rPr>
                <w:sz w:val="17"/>
              </w:rPr>
              <w:t xml:space="preserve">Mortgage/securitized products menu</w:t>
            </w:r>
          </w:p>
        </w:tc>
        <w:tc>
          <w:tcPr>
            <w:tcW w:w="2170" w:type="dxa"/>
            <w:shd w:val="clear" w:color="auto" w:fill="EEF2F7"/>
          </w:tcPr>
          <w:p>
            <w:pPr>
              <w:pStyle w:val="Compact"/>
              <w:spacing w:after="20" w:before="20"/>
            </w:pPr>
            <w:r>
              <w:rPr>
                <w:sz w:val="17"/>
              </w:rPr>
              <w:t xml:space="preserve">Confirm with desk</w:t>
            </w:r>
          </w:p>
        </w:tc>
      </w:tr>
      <w:tr>
        <w:trPr>
          <w:cantSplit/>
        </w:trPr>
        <w:tc>
          <w:tcPr>
            <w:tcW w:w="2894" w:type="dxa"/>
          </w:tcPr>
          <w:p>
            <w:pPr>
              <w:pStyle w:val="Compact"/>
              <w:spacing w:after="20" w:before="20"/>
            </w:pPr>
            <w:r>
              <w:rPr>
                <w:sz w:val="17"/>
              </w:rPr>
              <w:t xml:space="preserve">MTGEFNCL Index</w:t>
            </w:r>
          </w:p>
        </w:tc>
        <w:tc>
          <w:tcPr>
            <w:tcW w:w="9046" w:type="dxa"/>
          </w:tcPr>
          <w:p>
            <w:pPr>
              <w:pStyle w:val="Compact"/>
              <w:spacing w:after="20" w:before="20"/>
            </w:pPr>
            <w:r>
              <w:rPr>
                <w:sz w:val="17"/>
              </w:rPr>
              <w:t xml:space="preserve">Fannie Mae 30-year current-coupon yield</w:t>
            </w:r>
          </w:p>
        </w:tc>
        <w:tc>
          <w:tcPr>
            <w:tcW w:w="2170" w:type="dxa"/>
          </w:tcPr>
          <w:p>
            <w:pPr>
              <w:pStyle w:val="Compact"/>
              <w:spacing w:after="20" w:before="20"/>
            </w:pPr>
            <w:r>
              <w:rPr>
                <w:sz w:val="17"/>
              </w:rPr>
              <w:t xml:space="preserve">Confirm with desk</w:t>
            </w:r>
          </w:p>
        </w:tc>
      </w:tr>
      <w:tr>
        <w:trPr>
          <w:cantSplit/>
        </w:trPr>
        <w:tc>
          <w:tcPr>
            <w:tcW w:w="2894" w:type="dxa"/>
            <w:shd w:val="clear" w:color="auto" w:fill="EEF2F7"/>
          </w:tcPr>
          <w:p>
            <w:pPr>
              <w:pStyle w:val="Compact"/>
              <w:spacing w:after="20" w:before="20"/>
            </w:pPr>
            <w:r>
              <w:rPr>
                <w:sz w:val="17"/>
              </w:rPr>
              <w:t xml:space="preserve">TRACE-based trade screens for securitized products</w:t>
            </w:r>
          </w:p>
        </w:tc>
        <w:tc>
          <w:tcPr>
            <w:tcW w:w="9046" w:type="dxa"/>
            <w:shd w:val="clear" w:color="auto" w:fill="EEF2F7"/>
          </w:tcPr>
          <w:p>
            <w:pPr>
              <w:pStyle w:val="Compact"/>
              <w:spacing w:after="20" w:before="20"/>
            </w:pPr>
            <w:r>
              <w:rPr>
                <w:sz w:val="17"/>
              </w:rPr>
              <w:t xml:space="preserve">Disseminated TRACE prints within Bloomberg</w:t>
            </w:r>
          </w:p>
        </w:tc>
        <w:tc>
          <w:tcPr>
            <w:tcW w:w="2170" w:type="dxa"/>
            <w:shd w:val="clear" w:color="auto" w:fill="EEF2F7"/>
          </w:tcPr>
          <w:p>
            <w:pPr>
              <w:pStyle w:val="Compact"/>
              <w:spacing w:after="20" w:before="20"/>
            </w:pPr>
            <w:r>
              <w:rPr>
                <w:sz w:val="17"/>
              </w:rPr>
              <w:t xml:space="preserve">Confirm with desk</w:t>
            </w:r>
          </w:p>
        </w:tc>
      </w:tr>
      <w:tr>
        <w:trPr>
          <w:cantSplit/>
        </w:trPr>
        <w:tc>
          <w:tcPr>
            <w:tcW w:w="2894" w:type="dxa"/>
          </w:tcPr>
          <w:p>
            <w:pPr>
              <w:pStyle w:val="Compact"/>
              <w:spacing w:after="20" w:before="20"/>
            </w:pPr>
            <w:r>
              <w:rPr>
                <w:sz w:val="17"/>
              </w:rPr>
              <w:t xml:space="preserve">Cohort prepayment screens</w:t>
            </w:r>
          </w:p>
        </w:tc>
        <w:tc>
          <w:tcPr>
            <w:tcW w:w="9046" w:type="dxa"/>
          </w:tcPr>
          <w:p>
            <w:pPr>
              <w:pStyle w:val="Compact"/>
              <w:spacing w:after="20" w:before="20"/>
            </w:pPr>
            <w:r>
              <w:rPr>
                <w:sz w:val="17"/>
              </w:rPr>
              <w:t xml:space="preserve">Agency cohort CPR history and projections</w:t>
            </w:r>
          </w:p>
        </w:tc>
        <w:tc>
          <w:tcPr>
            <w:tcW w:w="2170" w:type="dxa"/>
          </w:tcPr>
          <w:p>
            <w:pPr>
              <w:pStyle w:val="Compact"/>
              <w:spacing w:after="20" w:before="20"/>
            </w:pPr>
            <w:r>
              <w:rPr>
                <w:sz w:val="17"/>
              </w:rPr>
              <w:t xml:space="preserve">Confirm with desk</w:t>
            </w:r>
          </w:p>
        </w:tc>
      </w:tr>
    </w:tbl>
    <w:bookmarkEnd w:id="175"/>
    <w:bookmarkEnd w:id="176"/>
    <w:bookmarkStart w:id="180" w:name="Xbe4348b046ce9864c13f7eb944030944c26d61e"/>
    <w:p>
      <w:pPr>
        <w:pStyle w:val="Heading1"/>
      </w:pPr>
      <w:r>
        <w:t xml:space="preserve">12. Daily, weekly and monthly calendar (Central Time)</w:t>
      </w:r>
    </w:p>
    <w:bookmarkStart w:id="177" w:name="daily-routine"/>
    <w:p>
      <w:pPr>
        <w:pStyle w:val="Heading2"/>
      </w:pPr>
      <w:r>
        <w:t xml:space="preserve">12.1 Daily routine</w:t>
      </w:r>
    </w:p>
    <w:p>
      <w:pPr>
        <w:pStyle w:val="TableCaption"/>
      </w:pPr>
      <w:r>
        <w:t xml:space="preserve">Daily routine.</w:t>
      </w:r>
    </w:p>
    <w:tbl>
      <w:tblPr>
        <w:tblStyle w:val="Table"/>
        <w:tblLayout w:type="fixed"/>
        <w:tblLook w:firstRow="1" w:lastRow="0" w:firstColumn="0" w:lastColumn="0" w:noHBand="0" w:noVBand="0" w:val="0020"/>
        <w:tblCaption w:val="Daily routine."/>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1801"/>
        <w:gridCol w:w="7206"/>
        <w:gridCol w:w="5103"/>
      </w:tblGrid>
      <w:tr>
        <w:trPr>
          <w:tblHeader w:val="on"/>
          <w:cantSplit/>
          <w:tblHeader/>
        </w:trPr>
        <w:tc>
          <w:tcPr>
            <w:tcW w:w="1801" w:type="dxa"/>
            <w:shd w:val="clear" w:color="auto" w:fill="1F3A5F"/>
          </w:tcPr>
          <w:p>
            <w:pPr>
              <w:pStyle w:val="Compact"/>
              <w:spacing w:after="20" w:before="20"/>
            </w:pPr>
            <w:r>
              <w:rPr>
                <w:b/>
                <w:color w:val="FFFFFF"/>
                <w:sz w:val="17"/>
              </w:rPr>
              <w:t xml:space="preserve">Time (CT)</w:t>
            </w:r>
          </w:p>
        </w:tc>
        <w:tc>
          <w:tcPr>
            <w:tcW w:w="7206" w:type="dxa"/>
            <w:shd w:val="clear" w:color="auto" w:fill="1F3A5F"/>
          </w:tcPr>
          <w:p>
            <w:pPr>
              <w:pStyle w:val="Compact"/>
              <w:spacing w:after="20" w:before="20"/>
            </w:pPr>
            <w:r>
              <w:rPr>
                <w:b/>
                <w:color w:val="FFFFFF"/>
                <w:sz w:val="17"/>
              </w:rPr>
              <w:t xml:space="preserve">What to check</w:t>
            </w:r>
          </w:p>
        </w:tc>
        <w:tc>
          <w:tcPr>
            <w:tcW w:w="5103" w:type="dxa"/>
            <w:shd w:val="clear" w:color="auto" w:fill="1F3A5F"/>
          </w:tcPr>
          <w:p>
            <w:pPr>
              <w:pStyle w:val="Compact"/>
              <w:spacing w:after="20" w:before="20"/>
            </w:pPr>
            <w:r>
              <w:rPr>
                <w:b/>
                <w:color w:val="FFFFFF"/>
                <w:sz w:val="17"/>
              </w:rPr>
              <w:t xml:space="preserve">Source</w:t>
            </w:r>
          </w:p>
        </w:tc>
      </w:tr>
      <w:tr>
        <w:trPr>
          <w:cantSplit/>
        </w:trPr>
        <w:tc>
          <w:tcPr>
            <w:tcW w:w="1801" w:type="dxa"/>
          </w:tcPr>
          <w:p>
            <w:pPr>
              <w:pStyle w:val="Compact"/>
              <w:spacing w:after="20" w:before="20"/>
            </w:pPr>
            <w:r>
              <w:rPr>
                <w:sz w:val="17"/>
              </w:rPr>
              <w:t xml:space="preserve">6:30–7:30 am</w:t>
            </w:r>
          </w:p>
        </w:tc>
        <w:tc>
          <w:tcPr>
            <w:tcW w:w="7206" w:type="dxa"/>
          </w:tcPr>
          <w:p>
            <w:pPr>
              <w:pStyle w:val="Compact"/>
              <w:spacing w:after="20" w:before="20"/>
            </w:pPr>
            <w:r>
              <w:rPr>
                <w:sz w:val="17"/>
              </w:rPr>
              <w:t xml:space="preserve">Overnight rates move; today’s data calendar and Fed speakers; SOFR (7:00 am)</w:t>
            </w:r>
          </w:p>
        </w:tc>
        <w:tc>
          <w:tcPr>
            <w:tcW w:w="5103" w:type="dxa"/>
          </w:tcPr>
          <w:p>
            <w:pPr>
              <w:pStyle w:val="Compact"/>
              <w:spacing w:after="20" w:before="20"/>
            </w:pPr>
            <w:r>
              <w:rPr>
                <w:sz w:val="17"/>
              </w:rPr>
              <w:t xml:space="preserve">CNBC/Bloomberg; BLS/BEA/Census calendars; Fed calendar; NY Fed</w:t>
            </w:r>
          </w:p>
        </w:tc>
      </w:tr>
      <w:tr>
        <w:trPr>
          <w:cantSplit/>
        </w:trPr>
        <w:tc>
          <w:tcPr>
            <w:tcW w:w="1801" w:type="dxa"/>
            <w:shd w:val="clear" w:color="auto" w:fill="EEF2F7"/>
          </w:tcPr>
          <w:p>
            <w:pPr>
              <w:pStyle w:val="Compact"/>
              <w:spacing w:after="20" w:before="20"/>
            </w:pPr>
            <w:r>
              <w:rPr>
                <w:sz w:val="17"/>
              </w:rPr>
              <w:t xml:space="preserve">7:30 am</w:t>
            </w:r>
          </w:p>
        </w:tc>
        <w:tc>
          <w:tcPr>
            <w:tcW w:w="7206" w:type="dxa"/>
            <w:shd w:val="clear" w:color="auto" w:fill="EEF2F7"/>
          </w:tcPr>
          <w:p>
            <w:pPr>
              <w:pStyle w:val="Compact"/>
              <w:spacing w:after="20" w:before="20"/>
            </w:pPr>
            <w:r>
              <w:rPr>
                <w:sz w:val="17"/>
              </w:rPr>
              <w:t xml:space="preserve">Data releases (payrolls, CPI, claims, GDP/PCE, starts) and the market reaction</w:t>
            </w:r>
          </w:p>
        </w:tc>
        <w:tc>
          <w:tcPr>
            <w:tcW w:w="5103" w:type="dxa"/>
            <w:shd w:val="clear" w:color="auto" w:fill="EEF2F7"/>
          </w:tcPr>
          <w:p>
            <w:pPr>
              <w:pStyle w:val="Compact"/>
              <w:spacing w:after="20" w:before="20"/>
            </w:pPr>
            <w:r>
              <w:rPr>
                <w:sz w:val="17"/>
              </w:rPr>
              <w:t xml:space="preserve">Agency release page; CNBC/Bloomberg</w:t>
            </w:r>
          </w:p>
        </w:tc>
      </w:tr>
      <w:tr>
        <w:trPr>
          <w:cantSplit/>
        </w:trPr>
        <w:tc>
          <w:tcPr>
            <w:tcW w:w="1801" w:type="dxa"/>
          </w:tcPr>
          <w:p>
            <w:pPr>
              <w:pStyle w:val="Compact"/>
              <w:spacing w:after="20" w:before="20"/>
            </w:pPr>
            <w:r>
              <w:rPr>
                <w:sz w:val="17"/>
              </w:rPr>
              <w:t xml:space="preserve">8:00–9:00 am</w:t>
            </w:r>
          </w:p>
        </w:tc>
        <w:tc>
          <w:tcPr>
            <w:tcW w:w="7206" w:type="dxa"/>
          </w:tcPr>
          <w:p>
            <w:pPr>
              <w:pStyle w:val="Compact"/>
              <w:spacing w:after="20" w:before="20"/>
            </w:pPr>
            <w:r>
              <w:rPr>
                <w:sz w:val="17"/>
              </w:rPr>
              <w:t xml:space="preserve">Morning dealer commentary; new-issue announcements and presales; rating-agency press releases</w:t>
            </w:r>
          </w:p>
        </w:tc>
        <w:tc>
          <w:tcPr>
            <w:tcW w:w="5103" w:type="dxa"/>
          </w:tcPr>
          <w:p>
            <w:pPr>
              <w:pStyle w:val="Compact"/>
              <w:spacing w:after="20" w:before="20"/>
            </w:pPr>
            <w:r>
              <w:rPr>
                <w:sz w:val="17"/>
              </w:rPr>
              <w:t xml:space="preserve">Dealer emails; KBRA/Fitch/DBRS; Business Wire; Finsight</w:t>
            </w:r>
          </w:p>
        </w:tc>
      </w:tr>
      <w:tr>
        <w:trPr>
          <w:cantSplit/>
        </w:trPr>
        <w:tc>
          <w:tcPr>
            <w:tcW w:w="1801" w:type="dxa"/>
            <w:shd w:val="clear" w:color="auto" w:fill="EEF2F7"/>
          </w:tcPr>
          <w:p>
            <w:pPr>
              <w:pStyle w:val="Compact"/>
              <w:spacing w:after="20" w:before="20"/>
            </w:pPr>
            <w:r>
              <w:rPr>
                <w:sz w:val="17"/>
              </w:rPr>
              <w:t xml:space="preserve">9:00 am</w:t>
            </w:r>
          </w:p>
        </w:tc>
        <w:tc>
          <w:tcPr>
            <w:tcW w:w="7206" w:type="dxa"/>
            <w:shd w:val="clear" w:color="auto" w:fill="EEF2F7"/>
          </w:tcPr>
          <w:p>
            <w:pPr>
              <w:pStyle w:val="Compact"/>
              <w:spacing w:after="20" w:before="20"/>
            </w:pPr>
            <w:r>
              <w:rPr>
                <w:sz w:val="17"/>
              </w:rPr>
              <w:t xml:space="preserve">Housing data (existing/new/pending sales, HMI, Case-Shiller/FHFA at 8:00 on release days)</w:t>
            </w:r>
          </w:p>
        </w:tc>
        <w:tc>
          <w:tcPr>
            <w:tcW w:w="5103" w:type="dxa"/>
            <w:shd w:val="clear" w:color="auto" w:fill="EEF2F7"/>
          </w:tcPr>
          <w:p>
            <w:pPr>
              <w:pStyle w:val="Compact"/>
              <w:spacing w:after="20" w:before="20"/>
            </w:pPr>
            <w:r>
              <w:rPr>
                <w:sz w:val="17"/>
              </w:rPr>
              <w:t xml:space="preserve">NAR, Census, NAHB, S&amp;P, FHFA</w:t>
            </w:r>
          </w:p>
        </w:tc>
      </w:tr>
      <w:tr>
        <w:trPr>
          <w:cantSplit/>
        </w:trPr>
        <w:tc>
          <w:tcPr>
            <w:tcW w:w="1801" w:type="dxa"/>
          </w:tcPr>
          <w:p>
            <w:pPr>
              <w:pStyle w:val="Compact"/>
              <w:spacing w:after="20" w:before="20"/>
            </w:pPr>
            <w:r>
              <w:rPr>
                <w:sz w:val="17"/>
              </w:rPr>
              <w:t xml:space="preserve">Midday</w:t>
            </w:r>
          </w:p>
        </w:tc>
        <w:tc>
          <w:tcPr>
            <w:tcW w:w="7206" w:type="dxa"/>
          </w:tcPr>
          <w:p>
            <w:pPr>
              <w:pStyle w:val="Compact"/>
              <w:spacing w:after="20" w:before="20"/>
            </w:pPr>
            <w:r>
              <w:rPr>
                <w:sz w:val="17"/>
              </w:rPr>
              <w:t xml:space="preserve">Curve and MBS check; deal pricing talk; Treasury auction results (~12:00 pm on auction days)</w:t>
            </w:r>
          </w:p>
        </w:tc>
        <w:tc>
          <w:tcPr>
            <w:tcW w:w="5103" w:type="dxa"/>
          </w:tcPr>
          <w:p>
            <w:pPr>
              <w:pStyle w:val="Compact"/>
              <w:spacing w:after="20" w:before="20"/>
            </w:pPr>
            <w:r>
              <w:rPr>
                <w:sz w:val="17"/>
              </w:rPr>
              <w:t xml:space="preserve">Bloomberg/Tradeweb; dealer color; TreasuryDirect</w:t>
            </w:r>
          </w:p>
        </w:tc>
      </w:tr>
      <w:tr>
        <w:trPr>
          <w:cantSplit/>
        </w:trPr>
        <w:tc>
          <w:tcPr>
            <w:tcW w:w="1801" w:type="dxa"/>
            <w:shd w:val="clear" w:color="auto" w:fill="EEF2F7"/>
          </w:tcPr>
          <w:p>
            <w:pPr>
              <w:pStyle w:val="Compact"/>
              <w:spacing w:after="20" w:before="20"/>
            </w:pPr>
            <w:r>
              <w:rPr>
                <w:sz w:val="17"/>
              </w:rPr>
              <w:t xml:space="preserve">~3:00 pm</w:t>
            </w:r>
          </w:p>
        </w:tc>
        <w:tc>
          <w:tcPr>
            <w:tcW w:w="7206" w:type="dxa"/>
            <w:shd w:val="clear" w:color="auto" w:fill="EEF2F7"/>
          </w:tcPr>
          <w:p>
            <w:pPr>
              <w:pStyle w:val="Compact"/>
              <w:spacing w:after="20" w:before="20"/>
            </w:pPr>
            <w:r>
              <w:rPr>
                <w:sz w:val="17"/>
              </w:rPr>
              <w:t xml:space="preserve">MND daily rate index; mortgage-to-10Y spread update</w:t>
            </w:r>
          </w:p>
        </w:tc>
        <w:tc>
          <w:tcPr>
            <w:tcW w:w="5103" w:type="dxa"/>
            <w:shd w:val="clear" w:color="auto" w:fill="EEF2F7"/>
          </w:tcPr>
          <w:p>
            <w:pPr>
              <w:pStyle w:val="Compact"/>
              <w:spacing w:after="20" w:before="20"/>
            </w:pPr>
            <w:r>
              <w:rPr>
                <w:sz w:val="17"/>
              </w:rPr>
              <w:t xml:space="preserve">MND; CNBC or Treasury curve</w:t>
            </w:r>
          </w:p>
        </w:tc>
      </w:tr>
      <w:tr>
        <w:trPr>
          <w:cantSplit/>
        </w:trPr>
        <w:tc>
          <w:tcPr>
            <w:tcW w:w="1801" w:type="dxa"/>
          </w:tcPr>
          <w:p>
            <w:pPr>
              <w:pStyle w:val="Compact"/>
              <w:spacing w:after="20" w:before="20"/>
            </w:pPr>
            <w:r>
              <w:rPr>
                <w:sz w:val="17"/>
              </w:rPr>
              <w:t xml:space="preserve">Late afternoon</w:t>
            </w:r>
          </w:p>
        </w:tc>
        <w:tc>
          <w:tcPr>
            <w:tcW w:w="7206" w:type="dxa"/>
          </w:tcPr>
          <w:p>
            <w:pPr>
              <w:pStyle w:val="Compact"/>
              <w:spacing w:after="20" w:before="20"/>
            </w:pPr>
            <w:r>
              <w:rPr>
                <w:sz w:val="17"/>
              </w:rPr>
              <w:t xml:space="preserve">Treasury par curve (official close); priced-deal recaps; ASR/HousingWire</w:t>
            </w:r>
          </w:p>
        </w:tc>
        <w:tc>
          <w:tcPr>
            <w:tcW w:w="5103" w:type="dxa"/>
          </w:tcPr>
          <w:p>
            <w:pPr>
              <w:pStyle w:val="Compact"/>
              <w:spacing w:after="20" w:before="20"/>
            </w:pPr>
            <w:r>
              <w:rPr>
                <w:sz w:val="17"/>
              </w:rPr>
              <w:t xml:space="preserve">Treasury; trade press</w:t>
            </w:r>
          </w:p>
        </w:tc>
      </w:tr>
      <w:tr>
        <w:trPr>
          <w:cantSplit/>
        </w:trPr>
        <w:tc>
          <w:tcPr>
            <w:tcW w:w="1801" w:type="dxa"/>
            <w:shd w:val="clear" w:color="auto" w:fill="EEF2F7"/>
          </w:tcPr>
          <w:p>
            <w:pPr>
              <w:pStyle w:val="Compact"/>
              <w:spacing w:after="20" w:before="20"/>
            </w:pPr>
            <w:r>
              <w:rPr>
                <w:sz w:val="17"/>
              </w:rPr>
              <w:t xml:space="preserve">Next morning</w:t>
            </w:r>
          </w:p>
        </w:tc>
        <w:tc>
          <w:tcPr>
            <w:tcW w:w="7206" w:type="dxa"/>
            <w:shd w:val="clear" w:color="auto" w:fill="EEF2F7"/>
          </w:tcPr>
          <w:p>
            <w:pPr>
              <w:pStyle w:val="Compact"/>
              <w:spacing w:after="20" w:before="20"/>
            </w:pPr>
            <w:r>
              <w:rPr>
                <w:sz w:val="17"/>
              </w:rPr>
              <w:t xml:space="preserve">FRED updates prior day (DGS series, OBMMI, ICE BofA OAS)</w:t>
            </w:r>
          </w:p>
        </w:tc>
        <w:tc>
          <w:tcPr>
            <w:tcW w:w="5103" w:type="dxa"/>
            <w:shd w:val="clear" w:color="auto" w:fill="EEF2F7"/>
          </w:tcPr>
          <w:p>
            <w:pPr>
              <w:pStyle w:val="Compact"/>
              <w:spacing w:after="20" w:before="20"/>
            </w:pPr>
            <w:r>
              <w:rPr>
                <w:sz w:val="17"/>
              </w:rPr>
              <w:t xml:space="preserve">FRED</w:t>
            </w:r>
          </w:p>
        </w:tc>
      </w:tr>
    </w:tbl>
    <w:bookmarkEnd w:id="177"/>
    <w:bookmarkStart w:id="178" w:name="weekly"/>
    <w:p>
      <w:pPr>
        <w:pStyle w:val="Heading2"/>
      </w:pPr>
      <w:r>
        <w:t xml:space="preserve">12.2 Weekly</w:t>
      </w:r>
    </w:p>
    <w:p>
      <w:pPr>
        <w:pStyle w:val="TableCaption"/>
      </w:pPr>
      <w:r>
        <w:t xml:space="preserve">Weekly calendar.</w:t>
      </w:r>
    </w:p>
    <w:tbl>
      <w:tblPr>
        <w:tblStyle w:val="Table"/>
        <w:tblLayout w:type="fixed"/>
        <w:tblLook w:firstRow="1" w:lastRow="0" w:firstColumn="0" w:lastColumn="0" w:noHBand="0" w:noVBand="0" w:val="0020"/>
        <w:tblCaption w:val="Weekly calendar."/>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2015"/>
        <w:gridCol w:w="2015"/>
        <w:gridCol w:w="6049"/>
        <w:gridCol w:w="4031"/>
      </w:tblGrid>
      <w:tr>
        <w:trPr>
          <w:tblHeader w:val="on"/>
          <w:cantSplit/>
          <w:tblHeader/>
        </w:trPr>
        <w:tc>
          <w:tcPr>
            <w:tcW w:w="2015" w:type="dxa"/>
            <w:shd w:val="clear" w:color="auto" w:fill="1F3A5F"/>
          </w:tcPr>
          <w:p>
            <w:pPr>
              <w:pStyle w:val="Compact"/>
              <w:spacing w:after="20" w:before="20"/>
            </w:pPr>
            <w:r>
              <w:rPr>
                <w:b/>
                <w:color w:val="FFFFFF"/>
                <w:sz w:val="17"/>
              </w:rPr>
              <w:t xml:space="preserve">Day</w:t>
            </w:r>
          </w:p>
        </w:tc>
        <w:tc>
          <w:tcPr>
            <w:tcW w:w="2015" w:type="dxa"/>
            <w:shd w:val="clear" w:color="auto" w:fill="1F3A5F"/>
          </w:tcPr>
          <w:p>
            <w:pPr>
              <w:pStyle w:val="Compact"/>
              <w:spacing w:after="20" w:before="20"/>
            </w:pPr>
            <w:r>
              <w:rPr>
                <w:b/>
                <w:color w:val="FFFFFF"/>
                <w:sz w:val="17"/>
              </w:rPr>
              <w:t xml:space="preserve">Time (CT)</w:t>
            </w:r>
          </w:p>
        </w:tc>
        <w:tc>
          <w:tcPr>
            <w:tcW w:w="6049" w:type="dxa"/>
            <w:shd w:val="clear" w:color="auto" w:fill="1F3A5F"/>
          </w:tcPr>
          <w:p>
            <w:pPr>
              <w:pStyle w:val="Compact"/>
              <w:spacing w:after="20" w:before="20"/>
            </w:pPr>
            <w:r>
              <w:rPr>
                <w:b/>
                <w:color w:val="FFFFFF"/>
                <w:sz w:val="17"/>
              </w:rPr>
              <w:t xml:space="preserve">Item</w:t>
            </w:r>
          </w:p>
        </w:tc>
        <w:tc>
          <w:tcPr>
            <w:tcW w:w="4031" w:type="dxa"/>
            <w:shd w:val="clear" w:color="auto" w:fill="1F3A5F"/>
          </w:tcPr>
          <w:p>
            <w:pPr>
              <w:pStyle w:val="Compact"/>
              <w:spacing w:after="20" w:before="20"/>
            </w:pPr>
            <w:r>
              <w:rPr>
                <w:b/>
                <w:color w:val="FFFFFF"/>
                <w:sz w:val="17"/>
              </w:rPr>
              <w:t xml:space="preserve">Source</w:t>
            </w:r>
          </w:p>
        </w:tc>
      </w:tr>
      <w:tr>
        <w:trPr>
          <w:cantSplit/>
        </w:trPr>
        <w:tc>
          <w:tcPr>
            <w:tcW w:w="2015" w:type="dxa"/>
          </w:tcPr>
          <w:p>
            <w:pPr>
              <w:pStyle w:val="Compact"/>
              <w:spacing w:after="20" w:before="20"/>
            </w:pPr>
            <w:r>
              <w:rPr>
                <w:sz w:val="17"/>
              </w:rPr>
              <w:t xml:space="preserve">Monday</w:t>
            </w:r>
          </w:p>
        </w:tc>
        <w:tc>
          <w:tcPr>
            <w:tcW w:w="2015" w:type="dxa"/>
          </w:tcPr>
          <w:p>
            <w:pPr>
              <w:pStyle w:val="Compact"/>
              <w:spacing w:after="20" w:before="20"/>
            </w:pPr>
            <w:r>
              <w:rPr>
                <w:sz w:val="17"/>
              </w:rPr>
              <w:t xml:space="preserve">—</w:t>
            </w:r>
          </w:p>
        </w:tc>
        <w:tc>
          <w:tcPr>
            <w:tcW w:w="6049" w:type="dxa"/>
          </w:tcPr>
          <w:p>
            <w:pPr>
              <w:pStyle w:val="Compact"/>
              <w:spacing w:after="20" w:before="20"/>
            </w:pPr>
            <w:r>
              <w:rPr>
                <w:sz w:val="17"/>
              </w:rPr>
              <w:t xml:space="preserve">Plan the week: data calendar, FOMC blackout/speakers, expected new-issue deals</w:t>
            </w:r>
          </w:p>
        </w:tc>
        <w:tc>
          <w:tcPr>
            <w:tcW w:w="4031" w:type="dxa"/>
          </w:tcPr>
          <w:p>
            <w:pPr>
              <w:pStyle w:val="Compact"/>
              <w:spacing w:after="20" w:before="20"/>
            </w:pPr>
            <w:r>
              <w:rPr>
                <w:sz w:val="17"/>
              </w:rPr>
              <w:t xml:space="preserve">BLS/BEA/Census; Fed; dealer calendars</w:t>
            </w:r>
          </w:p>
        </w:tc>
      </w:tr>
      <w:tr>
        <w:trPr>
          <w:cantSplit/>
        </w:trPr>
        <w:tc>
          <w:tcPr>
            <w:tcW w:w="2015" w:type="dxa"/>
            <w:shd w:val="clear" w:color="auto" w:fill="EEF2F7"/>
          </w:tcPr>
          <w:p>
            <w:pPr>
              <w:pStyle w:val="Compact"/>
              <w:spacing w:after="20" w:before="20"/>
            </w:pPr>
            <w:r>
              <w:rPr>
                <w:sz w:val="17"/>
              </w:rPr>
              <w:t xml:space="preserve">Wednesday</w:t>
            </w:r>
          </w:p>
        </w:tc>
        <w:tc>
          <w:tcPr>
            <w:tcW w:w="2015" w:type="dxa"/>
            <w:shd w:val="clear" w:color="auto" w:fill="EEF2F7"/>
          </w:tcPr>
          <w:p>
            <w:pPr>
              <w:pStyle w:val="Compact"/>
              <w:spacing w:after="20" w:before="20"/>
            </w:pPr>
            <w:r>
              <w:rPr>
                <w:sz w:val="17"/>
              </w:rPr>
              <w:t xml:space="preserve">6:00 am</w:t>
            </w:r>
          </w:p>
        </w:tc>
        <w:tc>
          <w:tcPr>
            <w:tcW w:w="6049" w:type="dxa"/>
            <w:shd w:val="clear" w:color="auto" w:fill="EEF2F7"/>
          </w:tcPr>
          <w:p>
            <w:pPr>
              <w:pStyle w:val="Compact"/>
              <w:spacing w:after="20" w:before="20"/>
            </w:pPr>
            <w:r>
              <w:rPr>
                <w:sz w:val="17"/>
              </w:rPr>
              <w:t xml:space="preserve">MBA Weekly Applications (purchase, refi, contract rates incl. jumbo)</w:t>
            </w:r>
          </w:p>
        </w:tc>
        <w:tc>
          <w:tcPr>
            <w:tcW w:w="4031" w:type="dxa"/>
            <w:shd w:val="clear" w:color="auto" w:fill="EEF2F7"/>
          </w:tcPr>
          <w:p>
            <w:pPr>
              <w:pStyle w:val="Compact"/>
              <w:spacing w:after="20" w:before="20"/>
            </w:pPr>
            <w:r>
              <w:rPr>
                <w:sz w:val="17"/>
              </w:rPr>
              <w:t xml:space="preserve">MBA</w:t>
            </w:r>
          </w:p>
        </w:tc>
      </w:tr>
      <w:tr>
        <w:trPr>
          <w:cantSplit/>
        </w:trPr>
        <w:tc>
          <w:tcPr>
            <w:tcW w:w="2015" w:type="dxa"/>
          </w:tcPr>
          <w:p>
            <w:pPr>
              <w:pStyle w:val="Compact"/>
              <w:spacing w:after="20" w:before="20"/>
            </w:pPr>
            <w:r>
              <w:rPr>
                <w:sz w:val="17"/>
              </w:rPr>
              <w:t xml:space="preserve">Wednesday</w:t>
            </w:r>
          </w:p>
        </w:tc>
        <w:tc>
          <w:tcPr>
            <w:tcW w:w="2015" w:type="dxa"/>
          </w:tcPr>
          <w:p>
            <w:pPr>
              <w:pStyle w:val="Compact"/>
              <w:spacing w:after="20" w:before="20"/>
            </w:pPr>
            <w:r>
              <w:rPr>
                <w:sz w:val="17"/>
              </w:rPr>
              <w:t xml:space="preserve">~3:30 pm</w:t>
            </w:r>
          </w:p>
        </w:tc>
        <w:tc>
          <w:tcPr>
            <w:tcW w:w="6049" w:type="dxa"/>
          </w:tcPr>
          <w:p>
            <w:pPr>
              <w:pStyle w:val="Compact"/>
              <w:spacing w:after="20" w:before="20"/>
            </w:pPr>
            <w:r>
              <w:rPr>
                <w:sz w:val="17"/>
              </w:rPr>
              <w:t xml:space="preserve">Fannie Mae intra-month (daily) prepayment report update</w:t>
            </w:r>
          </w:p>
        </w:tc>
        <w:tc>
          <w:tcPr>
            <w:tcW w:w="4031" w:type="dxa"/>
          </w:tcPr>
          <w:p>
            <w:pPr>
              <w:pStyle w:val="Compact"/>
              <w:spacing w:after="20" w:before="20"/>
            </w:pPr>
            <w:r>
              <w:rPr>
                <w:sz w:val="17"/>
              </w:rPr>
              <w:t xml:space="preserve">Fannie Mae PoolTalk</w:t>
            </w:r>
          </w:p>
        </w:tc>
      </w:tr>
      <w:tr>
        <w:trPr>
          <w:cantSplit/>
        </w:trPr>
        <w:tc>
          <w:tcPr>
            <w:tcW w:w="2015" w:type="dxa"/>
            <w:shd w:val="clear" w:color="auto" w:fill="EEF2F7"/>
          </w:tcPr>
          <w:p>
            <w:pPr>
              <w:pStyle w:val="Compact"/>
              <w:spacing w:after="20" w:before="20"/>
            </w:pPr>
            <w:r>
              <w:rPr>
                <w:sz w:val="17"/>
              </w:rPr>
              <w:t xml:space="preserve">Thursday</w:t>
            </w:r>
          </w:p>
        </w:tc>
        <w:tc>
          <w:tcPr>
            <w:tcW w:w="2015" w:type="dxa"/>
            <w:shd w:val="clear" w:color="auto" w:fill="EEF2F7"/>
          </w:tcPr>
          <w:p>
            <w:pPr>
              <w:pStyle w:val="Compact"/>
              <w:spacing w:after="20" w:before="20"/>
            </w:pPr>
            <w:r>
              <w:rPr>
                <w:sz w:val="17"/>
              </w:rPr>
              <w:t xml:space="preserve">7:30 am</w:t>
            </w:r>
          </w:p>
        </w:tc>
        <w:tc>
          <w:tcPr>
            <w:tcW w:w="6049" w:type="dxa"/>
            <w:shd w:val="clear" w:color="auto" w:fill="EEF2F7"/>
          </w:tcPr>
          <w:p>
            <w:pPr>
              <w:pStyle w:val="Compact"/>
              <w:spacing w:after="20" w:before="20"/>
            </w:pPr>
            <w:r>
              <w:rPr>
                <w:sz w:val="17"/>
              </w:rPr>
              <w:t xml:space="preserve">Initial jobless claims</w:t>
            </w:r>
          </w:p>
        </w:tc>
        <w:tc>
          <w:tcPr>
            <w:tcW w:w="4031" w:type="dxa"/>
            <w:shd w:val="clear" w:color="auto" w:fill="EEF2F7"/>
          </w:tcPr>
          <w:p>
            <w:pPr>
              <w:pStyle w:val="Compact"/>
              <w:spacing w:after="20" w:before="20"/>
            </w:pPr>
            <w:r>
              <w:rPr>
                <w:sz w:val="17"/>
              </w:rPr>
              <w:t xml:space="preserve">DOL</w:t>
            </w:r>
          </w:p>
        </w:tc>
      </w:tr>
      <w:tr>
        <w:trPr>
          <w:cantSplit/>
        </w:trPr>
        <w:tc>
          <w:tcPr>
            <w:tcW w:w="2015" w:type="dxa"/>
          </w:tcPr>
          <w:p>
            <w:pPr>
              <w:pStyle w:val="Compact"/>
              <w:spacing w:after="20" w:before="20"/>
            </w:pPr>
            <w:r>
              <w:rPr>
                <w:sz w:val="17"/>
              </w:rPr>
              <w:t xml:space="preserve">Thursday</w:t>
            </w:r>
          </w:p>
        </w:tc>
        <w:tc>
          <w:tcPr>
            <w:tcW w:w="2015" w:type="dxa"/>
          </w:tcPr>
          <w:p>
            <w:pPr>
              <w:pStyle w:val="Compact"/>
              <w:spacing w:after="20" w:before="20"/>
            </w:pPr>
            <w:r>
              <w:rPr>
                <w:sz w:val="17"/>
              </w:rPr>
              <w:t xml:space="preserve">11:00 am</w:t>
            </w:r>
          </w:p>
        </w:tc>
        <w:tc>
          <w:tcPr>
            <w:tcW w:w="6049" w:type="dxa"/>
          </w:tcPr>
          <w:p>
            <w:pPr>
              <w:pStyle w:val="Compact"/>
              <w:spacing w:after="20" w:before="20"/>
            </w:pPr>
            <w:r>
              <w:rPr>
                <w:sz w:val="17"/>
              </w:rPr>
              <w:t xml:space="preserve">Freddie Mac PMMS</w:t>
            </w:r>
          </w:p>
        </w:tc>
        <w:tc>
          <w:tcPr>
            <w:tcW w:w="4031" w:type="dxa"/>
          </w:tcPr>
          <w:p>
            <w:pPr>
              <w:pStyle w:val="Compact"/>
              <w:spacing w:after="20" w:before="20"/>
            </w:pPr>
            <w:r>
              <w:rPr>
                <w:sz w:val="17"/>
              </w:rPr>
              <w:t xml:space="preserve">Freddie Mac</w:t>
            </w:r>
          </w:p>
        </w:tc>
      </w:tr>
      <w:tr>
        <w:trPr>
          <w:cantSplit/>
        </w:trPr>
        <w:tc>
          <w:tcPr>
            <w:tcW w:w="2015" w:type="dxa"/>
            <w:shd w:val="clear" w:color="auto" w:fill="EEF2F7"/>
          </w:tcPr>
          <w:p>
            <w:pPr>
              <w:pStyle w:val="Compact"/>
              <w:spacing w:after="20" w:before="20"/>
            </w:pPr>
            <w:r>
              <w:rPr>
                <w:sz w:val="17"/>
              </w:rPr>
              <w:t xml:space="preserve">Friday</w:t>
            </w:r>
          </w:p>
        </w:tc>
        <w:tc>
          <w:tcPr>
            <w:tcW w:w="2015" w:type="dxa"/>
            <w:shd w:val="clear" w:color="auto" w:fill="EEF2F7"/>
          </w:tcPr>
          <w:p>
            <w:pPr>
              <w:pStyle w:val="Compact"/>
              <w:spacing w:after="20" w:before="20"/>
            </w:pPr>
            <w:r>
              <w:rPr>
                <w:sz w:val="17"/>
              </w:rPr>
              <w:t xml:space="preserve">Varies</w:t>
            </w:r>
          </w:p>
        </w:tc>
        <w:tc>
          <w:tcPr>
            <w:tcW w:w="6049" w:type="dxa"/>
            <w:shd w:val="clear" w:color="auto" w:fill="EEF2F7"/>
          </w:tcPr>
          <w:p>
            <w:pPr>
              <w:pStyle w:val="Compact"/>
              <w:spacing w:after="20" w:before="20"/>
            </w:pPr>
            <w:r>
              <w:rPr>
                <w:sz w:val="17"/>
              </w:rPr>
              <w:t xml:space="preserve">Dealer weekly spread tables; Fed H.8 (3:15 pm); ASR deal database refresh</w:t>
            </w:r>
          </w:p>
        </w:tc>
        <w:tc>
          <w:tcPr>
            <w:tcW w:w="4031" w:type="dxa"/>
            <w:shd w:val="clear" w:color="auto" w:fill="EEF2F7"/>
          </w:tcPr>
          <w:p>
            <w:pPr>
              <w:pStyle w:val="Compact"/>
              <w:spacing w:after="20" w:before="20"/>
            </w:pPr>
            <w:r>
              <w:rPr>
                <w:sz w:val="17"/>
              </w:rPr>
              <w:t xml:space="preserve">Dealers; Fed; ASR</w:t>
            </w:r>
          </w:p>
        </w:tc>
      </w:tr>
      <w:tr>
        <w:trPr>
          <w:cantSplit/>
        </w:trPr>
        <w:tc>
          <w:tcPr>
            <w:tcW w:w="2015" w:type="dxa"/>
          </w:tcPr>
          <w:p>
            <w:pPr>
              <w:pStyle w:val="Compact"/>
              <w:spacing w:after="20" w:before="20"/>
            </w:pPr>
            <w:r>
              <w:rPr>
                <w:sz w:val="17"/>
              </w:rPr>
              <w:t xml:space="preserve">Weekly</w:t>
            </w:r>
          </w:p>
        </w:tc>
        <w:tc>
          <w:tcPr>
            <w:tcW w:w="2015" w:type="dxa"/>
          </w:tcPr>
          <w:p>
            <w:pPr>
              <w:pStyle w:val="Compact"/>
              <w:spacing w:after="20" w:before="20"/>
            </w:pPr>
            <w:r>
              <w:rPr>
                <w:sz w:val="17"/>
              </w:rPr>
              <w:t xml:space="preserve">Varies</w:t>
            </w:r>
          </w:p>
        </w:tc>
        <w:tc>
          <w:tcPr>
            <w:tcW w:w="6049" w:type="dxa"/>
          </w:tcPr>
          <w:p>
            <w:pPr>
              <w:pStyle w:val="Compact"/>
              <w:spacing w:after="20" w:before="20"/>
            </w:pPr>
            <w:r>
              <w:rPr>
                <w:sz w:val="17"/>
              </w:rPr>
              <w:t xml:space="preserve">Freddie Mac daily prepayment report update; Realtor.com/Redfin weekly housing data</w:t>
            </w:r>
          </w:p>
        </w:tc>
        <w:tc>
          <w:tcPr>
            <w:tcW w:w="4031" w:type="dxa"/>
          </w:tcPr>
          <w:p>
            <w:pPr>
              <w:pStyle w:val="Compact"/>
              <w:spacing w:after="20" w:before="20"/>
            </w:pPr>
            <w:r>
              <w:rPr>
                <w:sz w:val="17"/>
              </w:rPr>
              <w:t xml:space="preserve">Freddie Mac; Realtor.com; Redfin</w:t>
            </w:r>
          </w:p>
        </w:tc>
      </w:tr>
    </w:tbl>
    <w:bookmarkEnd w:id="178"/>
    <w:bookmarkStart w:id="179" w:name="monthly-and-quarterly"/>
    <w:p>
      <w:pPr>
        <w:pStyle w:val="Heading2"/>
      </w:pPr>
      <w:r>
        <w:t xml:space="preserve">12.3 Monthly and quarterly</w:t>
      </w:r>
    </w:p>
    <w:p>
      <w:pPr>
        <w:pStyle w:val="TableCaption"/>
      </w:pPr>
      <w:r>
        <w:t xml:space="preserve">Monthly and quarterly calendar.</w:t>
      </w:r>
    </w:p>
    <w:tbl>
      <w:tblPr>
        <w:tblStyle w:val="Table"/>
        <w:tblLayout w:type="fixed"/>
        <w:tblLook w:firstRow="1" w:lastRow="0" w:firstColumn="0" w:lastColumn="0" w:noHBand="0" w:noVBand="0" w:val="0020"/>
        <w:tblCaption w:val="Monthly and quarterly calendar."/>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CellMar>
          <w:top w:w="40" w:type="dxa"/>
          <w:bottom w:w="40" w:type="dxa"/>
          <w:left w:w="70" w:type="dxa"/>
          <w:right w:w="70" w:type="dxa"/>
        </w:tblCellMar>
        <w:tblW w:w="14112" w:type="dxa"/>
        <w:tblLayout w:type="fixed"/>
      </w:tblPr>
      <w:tblGrid>
        <w:gridCol w:w="3449"/>
        <w:gridCol w:w="6899"/>
        <w:gridCol w:w="3763"/>
      </w:tblGrid>
      <w:tr>
        <w:trPr>
          <w:tblHeader w:val="on"/>
          <w:cantSplit/>
          <w:tblHeader/>
        </w:trPr>
        <w:tc>
          <w:tcPr>
            <w:tcW w:w="3449" w:type="dxa"/>
            <w:shd w:val="clear" w:color="auto" w:fill="1F3A5F"/>
          </w:tcPr>
          <w:p>
            <w:pPr>
              <w:pStyle w:val="Compact"/>
              <w:spacing w:after="20" w:before="20"/>
            </w:pPr>
            <w:r>
              <w:rPr>
                <w:b/>
                <w:color w:val="FFFFFF"/>
                <w:sz w:val="17"/>
              </w:rPr>
              <w:t xml:space="preserve">When</w:t>
            </w:r>
          </w:p>
        </w:tc>
        <w:tc>
          <w:tcPr>
            <w:tcW w:w="6899" w:type="dxa"/>
            <w:shd w:val="clear" w:color="auto" w:fill="1F3A5F"/>
          </w:tcPr>
          <w:p>
            <w:pPr>
              <w:pStyle w:val="Compact"/>
              <w:spacing w:after="20" w:before="20"/>
            </w:pPr>
            <w:r>
              <w:rPr>
                <w:b/>
                <w:color w:val="FFFFFF"/>
                <w:sz w:val="17"/>
              </w:rPr>
              <w:t xml:space="preserve">Item</w:t>
            </w:r>
          </w:p>
        </w:tc>
        <w:tc>
          <w:tcPr>
            <w:tcW w:w="3763" w:type="dxa"/>
            <w:shd w:val="clear" w:color="auto" w:fill="1F3A5F"/>
          </w:tcPr>
          <w:p>
            <w:pPr>
              <w:pStyle w:val="Compact"/>
              <w:spacing w:after="20" w:before="20"/>
            </w:pPr>
            <w:r>
              <w:rPr>
                <w:b/>
                <w:color w:val="FFFFFF"/>
                <w:sz w:val="17"/>
              </w:rPr>
              <w:t xml:space="preserve">Source</w:t>
            </w:r>
          </w:p>
        </w:tc>
      </w:tr>
      <w:tr>
        <w:trPr>
          <w:cantSplit/>
        </w:trPr>
        <w:tc>
          <w:tcPr>
            <w:tcW w:w="3449" w:type="dxa"/>
          </w:tcPr>
          <w:p>
            <w:pPr>
              <w:pStyle w:val="Compact"/>
              <w:spacing w:after="20" w:before="20"/>
            </w:pPr>
            <w:r>
              <w:rPr>
                <w:sz w:val="17"/>
              </w:rPr>
              <w:t xml:space="preserve">1st–3rd business day</w:t>
            </w:r>
          </w:p>
        </w:tc>
        <w:tc>
          <w:tcPr>
            <w:tcW w:w="6899" w:type="dxa"/>
          </w:tcPr>
          <w:p>
            <w:pPr>
              <w:pStyle w:val="Compact"/>
              <w:spacing w:after="20" w:before="20"/>
            </w:pPr>
            <w:r>
              <w:rPr>
                <w:sz w:val="17"/>
              </w:rPr>
              <w:t xml:space="preserve">ISM Manufacturing / Services</w:t>
            </w:r>
          </w:p>
        </w:tc>
        <w:tc>
          <w:tcPr>
            <w:tcW w:w="3763" w:type="dxa"/>
          </w:tcPr>
          <w:p>
            <w:pPr>
              <w:pStyle w:val="Compact"/>
              <w:spacing w:after="20" w:before="20"/>
            </w:pPr>
            <w:r>
              <w:rPr>
                <w:sz w:val="17"/>
              </w:rPr>
              <w:t xml:space="preserve">ISM</w:t>
            </w:r>
          </w:p>
        </w:tc>
      </w:tr>
      <w:tr>
        <w:trPr>
          <w:cantSplit/>
        </w:trPr>
        <w:tc>
          <w:tcPr>
            <w:tcW w:w="3449" w:type="dxa"/>
            <w:shd w:val="clear" w:color="auto" w:fill="EEF2F7"/>
          </w:tcPr>
          <w:p>
            <w:pPr>
              <w:pStyle w:val="Compact"/>
              <w:spacing w:after="20" w:before="20"/>
            </w:pPr>
            <w:r>
              <w:rPr>
                <w:sz w:val="17"/>
              </w:rPr>
              <w:t xml:space="preserve">First Friday (usually)</w:t>
            </w:r>
          </w:p>
        </w:tc>
        <w:tc>
          <w:tcPr>
            <w:tcW w:w="6899" w:type="dxa"/>
            <w:shd w:val="clear" w:color="auto" w:fill="EEF2F7"/>
          </w:tcPr>
          <w:p>
            <w:pPr>
              <w:pStyle w:val="Compact"/>
              <w:spacing w:after="20" w:before="20"/>
            </w:pPr>
            <w:r>
              <w:rPr>
                <w:sz w:val="17"/>
              </w:rPr>
              <w:t xml:space="preserve">Employment Situation</w:t>
            </w:r>
          </w:p>
        </w:tc>
        <w:tc>
          <w:tcPr>
            <w:tcW w:w="3763" w:type="dxa"/>
            <w:shd w:val="clear" w:color="auto" w:fill="EEF2F7"/>
          </w:tcPr>
          <w:p>
            <w:pPr>
              <w:pStyle w:val="Compact"/>
              <w:spacing w:after="20" w:before="20"/>
            </w:pPr>
            <w:r>
              <w:rPr>
                <w:sz w:val="17"/>
              </w:rPr>
              <w:t xml:space="preserve">BLS</w:t>
            </w:r>
          </w:p>
        </w:tc>
      </w:tr>
      <w:tr>
        <w:trPr>
          <w:cantSplit/>
        </w:trPr>
        <w:tc>
          <w:tcPr>
            <w:tcW w:w="3449" w:type="dxa"/>
          </w:tcPr>
          <w:p>
            <w:pPr>
              <w:pStyle w:val="Compact"/>
              <w:spacing w:after="20" w:before="20"/>
            </w:pPr>
            <w:r>
              <w:rPr>
                <w:sz w:val="17"/>
              </w:rPr>
              <w:t xml:space="preserve">Business day 4 (evening)</w:t>
            </w:r>
          </w:p>
        </w:tc>
        <w:tc>
          <w:tcPr>
            <w:tcW w:w="6899" w:type="dxa"/>
          </w:tcPr>
          <w:p>
            <w:pPr>
              <w:pStyle w:val="Compact"/>
              <w:spacing w:after="20" w:before="20"/>
            </w:pPr>
            <w:r>
              <w:rPr>
                <w:sz w:val="17"/>
              </w:rPr>
              <w:t xml:space="preserve">Fannie Mae / Freddie Mac factors and monthly prepayment data (</w:t>
            </w:r>
            <w:r>
              <w:rPr>
                <w:sz w:val="17"/>
              </w:rPr>
              <w:t xml:space="preserve">“CPR day”</w:t>
            </w:r>
            <w:r>
              <w:rPr>
                <w:sz w:val="17"/>
              </w:rPr>
              <w:t xml:space="preserve">)</w:t>
            </w:r>
          </w:p>
        </w:tc>
        <w:tc>
          <w:tcPr>
            <w:tcW w:w="3763" w:type="dxa"/>
          </w:tcPr>
          <w:p>
            <w:pPr>
              <w:pStyle w:val="Compact"/>
              <w:spacing w:after="20" w:before="20"/>
            </w:pPr>
            <w:r>
              <w:rPr>
                <w:sz w:val="17"/>
              </w:rPr>
              <w:t xml:space="preserve">Fannie Mae, Freddie Mac; dealer notes</w:t>
            </w:r>
          </w:p>
        </w:tc>
      </w:tr>
      <w:tr>
        <w:trPr>
          <w:cantSplit/>
        </w:trPr>
        <w:tc>
          <w:tcPr>
            <w:tcW w:w="3449" w:type="dxa"/>
            <w:shd w:val="clear" w:color="auto" w:fill="EEF2F7"/>
          </w:tcPr>
          <w:p>
            <w:pPr>
              <w:pStyle w:val="Compact"/>
              <w:spacing w:after="20" w:before="20"/>
            </w:pPr>
            <w:r>
              <w:rPr>
                <w:sz w:val="17"/>
              </w:rPr>
              <w:t xml:space="preserve">A few business days later</w:t>
            </w:r>
          </w:p>
        </w:tc>
        <w:tc>
          <w:tcPr>
            <w:tcW w:w="6899" w:type="dxa"/>
            <w:shd w:val="clear" w:color="auto" w:fill="EEF2F7"/>
          </w:tcPr>
          <w:p>
            <w:pPr>
              <w:pStyle w:val="Compact"/>
              <w:spacing w:after="20" w:before="20"/>
            </w:pPr>
            <w:r>
              <w:rPr>
                <w:sz w:val="17"/>
              </w:rPr>
              <w:t xml:space="preserve">Ginnie Mae factors/disclosures</w:t>
            </w:r>
          </w:p>
        </w:tc>
        <w:tc>
          <w:tcPr>
            <w:tcW w:w="3763" w:type="dxa"/>
            <w:shd w:val="clear" w:color="auto" w:fill="EEF2F7"/>
          </w:tcPr>
          <w:p>
            <w:pPr>
              <w:pStyle w:val="Compact"/>
              <w:spacing w:after="20" w:before="20"/>
            </w:pPr>
            <w:r>
              <w:rPr>
                <w:sz w:val="17"/>
              </w:rPr>
              <w:t xml:space="preserve">Ginnie Mae</w:t>
            </w:r>
          </w:p>
        </w:tc>
      </w:tr>
      <w:tr>
        <w:trPr>
          <w:cantSplit/>
        </w:trPr>
        <w:tc>
          <w:tcPr>
            <w:tcW w:w="3449" w:type="dxa"/>
          </w:tcPr>
          <w:p>
            <w:pPr>
              <w:pStyle w:val="Compact"/>
              <w:spacing w:after="20" w:before="20"/>
            </w:pPr>
            <w:r>
              <w:rPr>
                <w:sz w:val="17"/>
              </w:rPr>
              <w:t xml:space="preserve">Early month</w:t>
            </w:r>
          </w:p>
        </w:tc>
        <w:tc>
          <w:tcPr>
            <w:tcW w:w="6899" w:type="dxa"/>
          </w:tcPr>
          <w:p>
            <w:pPr>
              <w:pStyle w:val="Compact"/>
              <w:spacing w:after="20" w:before="20"/>
            </w:pPr>
            <w:r>
              <w:rPr>
                <w:sz w:val="17"/>
              </w:rPr>
              <w:t xml:space="preserve">ICE Mortgage Monitor; MBA MCAI; Fannie Mae ESR and MBA forecasts (dates vary)</w:t>
            </w:r>
          </w:p>
        </w:tc>
        <w:tc>
          <w:tcPr>
            <w:tcW w:w="3763" w:type="dxa"/>
          </w:tcPr>
          <w:p>
            <w:pPr>
              <w:pStyle w:val="Compact"/>
              <w:spacing w:after="20" w:before="20"/>
            </w:pPr>
            <w:r>
              <w:rPr>
                <w:sz w:val="17"/>
              </w:rPr>
              <w:t xml:space="preserve">ICE; MBA; Fannie Mae</w:t>
            </w:r>
          </w:p>
        </w:tc>
      </w:tr>
      <w:tr>
        <w:trPr>
          <w:cantSplit/>
        </w:trPr>
        <w:tc>
          <w:tcPr>
            <w:tcW w:w="3449" w:type="dxa"/>
            <w:shd w:val="clear" w:color="auto" w:fill="EEF2F7"/>
          </w:tcPr>
          <w:p>
            <w:pPr>
              <w:pStyle w:val="Compact"/>
              <w:spacing w:after="20" w:before="20"/>
            </w:pPr>
            <w:r>
              <w:rPr>
                <w:sz w:val="17"/>
              </w:rPr>
              <w:t xml:space="preserve">Mid-month</w:t>
            </w:r>
          </w:p>
        </w:tc>
        <w:tc>
          <w:tcPr>
            <w:tcW w:w="6899" w:type="dxa"/>
            <w:shd w:val="clear" w:color="auto" w:fill="EEF2F7"/>
          </w:tcPr>
          <w:p>
            <w:pPr>
              <w:pStyle w:val="Compact"/>
              <w:spacing w:after="20" w:before="20"/>
            </w:pPr>
            <w:r>
              <w:rPr>
                <w:sz w:val="17"/>
              </w:rPr>
              <w:t xml:space="preserve">CPI, PPI, housing starts, NAHB HMI</w:t>
            </w:r>
          </w:p>
        </w:tc>
        <w:tc>
          <w:tcPr>
            <w:tcW w:w="3763" w:type="dxa"/>
            <w:shd w:val="clear" w:color="auto" w:fill="EEF2F7"/>
          </w:tcPr>
          <w:p>
            <w:pPr>
              <w:pStyle w:val="Compact"/>
              <w:spacing w:after="20" w:before="20"/>
            </w:pPr>
            <w:r>
              <w:rPr>
                <w:sz w:val="17"/>
              </w:rPr>
              <w:t xml:space="preserve">BLS; Census; NAHB</w:t>
            </w:r>
          </w:p>
        </w:tc>
      </w:tr>
      <w:tr>
        <w:trPr>
          <w:cantSplit/>
        </w:trPr>
        <w:tc>
          <w:tcPr>
            <w:tcW w:w="3449" w:type="dxa"/>
          </w:tcPr>
          <w:p>
            <w:pPr>
              <w:pStyle w:val="Compact"/>
              <w:spacing w:after="20" w:before="20"/>
            </w:pPr>
            <w:r>
              <w:rPr>
                <w:sz w:val="17"/>
              </w:rPr>
              <w:t xml:space="preserve">Around the 25th</w:t>
            </w:r>
          </w:p>
        </w:tc>
        <w:tc>
          <w:tcPr>
            <w:tcW w:w="6899" w:type="dxa"/>
          </w:tcPr>
          <w:p>
            <w:pPr>
              <w:pStyle w:val="Compact"/>
              <w:spacing w:after="20" w:before="20"/>
            </w:pPr>
            <w:r>
              <w:rPr>
                <w:sz w:val="17"/>
              </w:rPr>
              <w:t xml:space="preserve">Non-agency RMBS and CRT distribution dates; trustee remittance reports posted beforehand; Intex/dv01 updates follow</w:t>
            </w:r>
          </w:p>
        </w:tc>
        <w:tc>
          <w:tcPr>
            <w:tcW w:w="3763" w:type="dxa"/>
          </w:tcPr>
          <w:p>
            <w:pPr>
              <w:pStyle w:val="Compact"/>
              <w:spacing w:after="20" w:before="20"/>
            </w:pPr>
            <w:r>
              <w:rPr>
                <w:sz w:val="17"/>
              </w:rPr>
              <w:t xml:space="preserve">Trustee portals; Intex; dv01</w:t>
            </w:r>
          </w:p>
        </w:tc>
      </w:tr>
      <w:tr>
        <w:trPr>
          <w:cantSplit/>
        </w:trPr>
        <w:tc>
          <w:tcPr>
            <w:tcW w:w="3449" w:type="dxa"/>
            <w:shd w:val="clear" w:color="auto" w:fill="EEF2F7"/>
          </w:tcPr>
          <w:p>
            <w:pPr>
              <w:pStyle w:val="Compact"/>
              <w:spacing w:after="20" w:before="20"/>
            </w:pPr>
            <w:r>
              <w:rPr>
                <w:sz w:val="17"/>
              </w:rPr>
              <w:t xml:space="preserve">Fourth week</w:t>
            </w:r>
          </w:p>
        </w:tc>
        <w:tc>
          <w:tcPr>
            <w:tcW w:w="6899" w:type="dxa"/>
            <w:shd w:val="clear" w:color="auto" w:fill="EEF2F7"/>
          </w:tcPr>
          <w:p>
            <w:pPr>
              <w:pStyle w:val="Compact"/>
              <w:spacing w:after="20" w:before="20"/>
            </w:pPr>
            <w:r>
              <w:rPr>
                <w:sz w:val="17"/>
              </w:rPr>
              <w:t xml:space="preserve">ICE First Look; existing and new home sales; Case-Shiller and FHFA HPI (last Tuesday)</w:t>
            </w:r>
          </w:p>
        </w:tc>
        <w:tc>
          <w:tcPr>
            <w:tcW w:w="3763" w:type="dxa"/>
            <w:shd w:val="clear" w:color="auto" w:fill="EEF2F7"/>
          </w:tcPr>
          <w:p>
            <w:pPr>
              <w:pStyle w:val="Compact"/>
              <w:spacing w:after="20" w:before="20"/>
            </w:pPr>
            <w:r>
              <w:rPr>
                <w:sz w:val="17"/>
              </w:rPr>
              <w:t xml:space="preserve">ICE; NAR; Census; S&amp;P; FHFA</w:t>
            </w:r>
          </w:p>
        </w:tc>
      </w:tr>
      <w:tr>
        <w:trPr>
          <w:cantSplit/>
        </w:trPr>
        <w:tc>
          <w:tcPr>
            <w:tcW w:w="3449" w:type="dxa"/>
          </w:tcPr>
          <w:p>
            <w:pPr>
              <w:pStyle w:val="Compact"/>
              <w:spacing w:after="20" w:before="20"/>
            </w:pPr>
            <w:r>
              <w:rPr>
                <w:sz w:val="17"/>
              </w:rPr>
              <w:t xml:space="preserve">Late month</w:t>
            </w:r>
          </w:p>
        </w:tc>
        <w:tc>
          <w:tcPr>
            <w:tcW w:w="6899" w:type="dxa"/>
          </w:tcPr>
          <w:p>
            <w:pPr>
              <w:pStyle w:val="Compact"/>
              <w:spacing w:after="20" w:before="20"/>
            </w:pPr>
            <w:r>
              <w:rPr>
                <w:sz w:val="17"/>
              </w:rPr>
              <w:t xml:space="preserve">PCE/personal income; Urban Institute chartbook</w:t>
            </w:r>
          </w:p>
        </w:tc>
        <w:tc>
          <w:tcPr>
            <w:tcW w:w="3763" w:type="dxa"/>
          </w:tcPr>
          <w:p>
            <w:pPr>
              <w:pStyle w:val="Compact"/>
              <w:spacing w:after="20" w:before="20"/>
            </w:pPr>
            <w:r>
              <w:rPr>
                <w:sz w:val="17"/>
              </w:rPr>
              <w:t xml:space="preserve">BEA; Urban Institute</w:t>
            </w:r>
          </w:p>
        </w:tc>
      </w:tr>
      <w:tr>
        <w:trPr>
          <w:cantSplit/>
        </w:trPr>
        <w:tc>
          <w:tcPr>
            <w:tcW w:w="3449" w:type="dxa"/>
            <w:shd w:val="clear" w:color="auto" w:fill="EEF2F7"/>
          </w:tcPr>
          <w:p>
            <w:pPr>
              <w:pStyle w:val="Compact"/>
              <w:spacing w:after="20" w:before="20"/>
            </w:pPr>
            <w:r>
              <w:rPr>
                <w:sz w:val="17"/>
              </w:rPr>
              <w:t xml:space="preserve">Monthly (per SIFMA schedule)</w:t>
            </w:r>
          </w:p>
        </w:tc>
        <w:tc>
          <w:tcPr>
            <w:tcW w:w="6899" w:type="dxa"/>
            <w:shd w:val="clear" w:color="auto" w:fill="EEF2F7"/>
          </w:tcPr>
          <w:p>
            <w:pPr>
              <w:pStyle w:val="Compact"/>
              <w:spacing w:after="20" w:before="20"/>
            </w:pPr>
            <w:r>
              <w:rPr>
                <w:sz w:val="17"/>
              </w:rPr>
              <w:t xml:space="preserve">MBS/ABS issuance statistics</w:t>
            </w:r>
          </w:p>
        </w:tc>
        <w:tc>
          <w:tcPr>
            <w:tcW w:w="3763" w:type="dxa"/>
            <w:shd w:val="clear" w:color="auto" w:fill="EEF2F7"/>
          </w:tcPr>
          <w:p>
            <w:pPr>
              <w:pStyle w:val="Compact"/>
              <w:spacing w:after="20" w:before="20"/>
            </w:pPr>
            <w:r>
              <w:rPr>
                <w:sz w:val="17"/>
              </w:rPr>
              <w:t xml:space="preserve">SIFMA</w:t>
            </w:r>
          </w:p>
        </w:tc>
      </w:tr>
      <w:tr>
        <w:trPr>
          <w:cantSplit/>
        </w:trPr>
        <w:tc>
          <w:tcPr>
            <w:tcW w:w="3449" w:type="dxa"/>
          </w:tcPr>
          <w:p>
            <w:pPr>
              <w:pStyle w:val="Compact"/>
              <w:spacing w:after="20" w:before="20"/>
            </w:pPr>
            <w:r>
              <w:rPr>
                <w:sz w:val="17"/>
              </w:rPr>
              <w:t xml:space="preserve">Quarterly</w:t>
            </w:r>
          </w:p>
        </w:tc>
        <w:tc>
          <w:tcPr>
            <w:tcW w:w="6899" w:type="dxa"/>
          </w:tcPr>
          <w:p>
            <w:pPr>
              <w:pStyle w:val="Compact"/>
              <w:spacing w:after="20" w:before="20"/>
            </w:pPr>
            <w:r>
              <w:rPr>
                <w:sz w:val="17"/>
              </w:rPr>
              <w:t xml:space="preserve">MBA National Delinquency Survey; NY Fed Household Debt &amp; Credit; Fed SLOOS; FHFA quarterly HPI; SEP/dot plot (Mar/Jun/Sep/Dec FOMC); public-issuer earnings (Annaly, Rithm, Redwood, etc.)</w:t>
            </w:r>
          </w:p>
        </w:tc>
        <w:tc>
          <w:tcPr>
            <w:tcW w:w="3763" w:type="dxa"/>
          </w:tcPr>
          <w:p>
            <w:pPr>
              <w:pStyle w:val="Compact"/>
              <w:spacing w:after="20" w:before="20"/>
            </w:pPr>
            <w:r>
              <w:rPr>
                <w:sz w:val="17"/>
              </w:rPr>
              <w:t xml:space="preserve">MBA; NY Fed; Fed; FHFA; company IR sites</w:t>
            </w:r>
          </w:p>
        </w:tc>
      </w:tr>
      <w:tr>
        <w:trPr>
          <w:cantSplit/>
        </w:trPr>
        <w:tc>
          <w:tcPr>
            <w:tcW w:w="3449" w:type="dxa"/>
            <w:shd w:val="clear" w:color="auto" w:fill="EEF2F7"/>
          </w:tcPr>
          <w:p>
            <w:pPr>
              <w:pStyle w:val="Compact"/>
              <w:spacing w:after="20" w:before="20"/>
            </w:pPr>
            <w:r>
              <w:rPr>
                <w:sz w:val="17"/>
              </w:rPr>
              <w:t xml:space="preserve">Annually (late year)</w:t>
            </w:r>
          </w:p>
        </w:tc>
        <w:tc>
          <w:tcPr>
            <w:tcW w:w="6899" w:type="dxa"/>
            <w:shd w:val="clear" w:color="auto" w:fill="EEF2F7"/>
          </w:tcPr>
          <w:p>
            <w:pPr>
              <w:pStyle w:val="Compact"/>
              <w:spacing w:after="20" w:before="20"/>
            </w:pPr>
            <w:r>
              <w:rPr>
                <w:sz w:val="17"/>
              </w:rPr>
              <w:t xml:space="preserve">Conforming loan limits for the next year</w:t>
            </w:r>
          </w:p>
        </w:tc>
        <w:tc>
          <w:tcPr>
            <w:tcW w:w="3763" w:type="dxa"/>
            <w:shd w:val="clear" w:color="auto" w:fill="EEF2F7"/>
          </w:tcPr>
          <w:p>
            <w:pPr>
              <w:pStyle w:val="Compact"/>
              <w:spacing w:after="20" w:before="20"/>
            </w:pPr>
            <w:r>
              <w:rPr>
                <w:sz w:val="17"/>
              </w:rPr>
              <w:t xml:space="preserve">FHFA</w:t>
            </w:r>
          </w:p>
        </w:tc>
      </w:tr>
    </w:tbl>
    <w:bookmarkEnd w:id="179"/>
    <w:bookmarkEnd w:id="180"/>
    <w:bookmarkStart w:id="184" w:name="answering-pms"/>
    <w:p>
      <w:pPr>
        <w:pStyle w:val="Heading1"/>
      </w:pPr>
      <w:r>
        <w:t xml:space="preserve">13. Answering PMs</w:t>
      </w:r>
    </w:p>
    <w:bookmarkStart w:id="181" w:name="source-hierarchy"/>
    <w:p>
      <w:pPr>
        <w:pStyle w:val="Heading2"/>
      </w:pPr>
      <w:r>
        <w:t xml:space="preserve">13.1 Source hierarchy</w:t>
      </w:r>
    </w:p>
    <w:p>
      <w:pPr>
        <w:pStyle w:val="Compact"/>
        <w:numPr>
          <w:ilvl w:val="0"/>
          <w:numId w:val="1009"/>
        </w:numPr>
      </w:pPr>
      <w:r>
        <w:rPr>
          <w:b/>
          <w:bCs/>
        </w:rPr>
        <w:t xml:space="preserve">Official / primary data:</w:t>
      </w:r>
      <w:r>
        <w:t xml:space="preserve"> </w:t>
      </w:r>
      <w:r>
        <w:t xml:space="preserve">Treasury, Federal Reserve, NY Fed, BLS, BEA, Census, FHFA, the GSEs’ own disclosures, SEC filings, trustee remittance reports.</w:t>
      </w:r>
    </w:p>
    <w:p>
      <w:pPr>
        <w:pStyle w:val="Compact"/>
        <w:numPr>
          <w:ilvl w:val="0"/>
          <w:numId w:val="1009"/>
        </w:numPr>
      </w:pPr>
      <w:r>
        <w:rPr>
          <w:b/>
          <w:bCs/>
        </w:rPr>
        <w:t xml:space="preserve">Index and data providers with published methodology:</w:t>
      </w:r>
      <w:r>
        <w:t xml:space="preserve"> </w:t>
      </w:r>
      <w:r>
        <w:t xml:space="preserve">Freddie Mac PMMS, Optimal Blue OBMMI, MND index, ICE, S&amp;P Cotality Case-Shiller, ICE BofA indices, dv01, Intex, Bloomberg.</w:t>
      </w:r>
    </w:p>
    <w:p>
      <w:pPr>
        <w:pStyle w:val="Compact"/>
        <w:numPr>
          <w:ilvl w:val="0"/>
          <w:numId w:val="1009"/>
        </w:numPr>
      </w:pPr>
      <w:r>
        <w:rPr>
          <w:b/>
          <w:bCs/>
        </w:rPr>
        <w:t xml:space="preserve">Rating agencies:</w:t>
      </w:r>
      <w:r>
        <w:t xml:space="preserve"> </w:t>
      </w:r>
      <w:r>
        <w:t xml:space="preserve">KBRA, Fitch, Moody’s, S&amp;P, Morningstar DBRS presales, surveillance and research.</w:t>
      </w:r>
    </w:p>
    <w:p>
      <w:pPr>
        <w:pStyle w:val="Compact"/>
        <w:numPr>
          <w:ilvl w:val="0"/>
          <w:numId w:val="1009"/>
        </w:numPr>
      </w:pPr>
      <w:r>
        <w:rPr>
          <w:b/>
          <w:bCs/>
        </w:rPr>
        <w:t xml:space="preserve">Dealer research:</w:t>
      </w:r>
      <w:r>
        <w:t xml:space="preserve"> </w:t>
      </w:r>
      <w:r>
        <w:t xml:space="preserve">high quality but each dealer has a view; cite the dealer and date, and compare two where possible.</w:t>
      </w:r>
    </w:p>
    <w:p>
      <w:pPr>
        <w:pStyle w:val="Compact"/>
        <w:numPr>
          <w:ilvl w:val="0"/>
          <w:numId w:val="1009"/>
        </w:numPr>
      </w:pPr>
      <w:r>
        <w:rPr>
          <w:b/>
          <w:bCs/>
        </w:rPr>
        <w:t xml:space="preserve">Trade press:</w:t>
      </w:r>
      <w:r>
        <w:t xml:space="preserve"> </w:t>
      </w:r>
      <w:r>
        <w:t xml:space="preserve">ASR, HousingWire, Inside Mortgage Finance, Asset-Backed Alert, Bloomberg/WSJ. Good for what happened, not for precise levels unless they cite a primary source.</w:t>
      </w:r>
    </w:p>
    <w:p>
      <w:pPr>
        <w:pStyle w:val="Compact"/>
        <w:numPr>
          <w:ilvl w:val="0"/>
          <w:numId w:val="1009"/>
        </w:numPr>
      </w:pPr>
      <w:r>
        <w:rPr>
          <w:b/>
          <w:bCs/>
        </w:rPr>
        <w:t xml:space="preserve">Social media and forums:</w:t>
      </w:r>
      <w:r>
        <w:t xml:space="preserve"> </w:t>
      </w:r>
      <w:r>
        <w:t xml:space="preserve">only as a pointer to a primary source, never as the source itself.</w:t>
      </w:r>
    </w:p>
    <w:bookmarkEnd w:id="181"/>
    <w:bookmarkStart w:id="182" w:name="rules-for-every-answer"/>
    <w:p>
      <w:pPr>
        <w:pStyle w:val="Heading2"/>
      </w:pPr>
      <w:r>
        <w:t xml:space="preserve">13.2 Rules for every answer</w:t>
      </w:r>
    </w:p>
    <w:p>
      <w:pPr>
        <w:pStyle w:val="Compact"/>
        <w:numPr>
          <w:ilvl w:val="0"/>
          <w:numId w:val="1010"/>
        </w:numPr>
      </w:pPr>
      <w:r>
        <w:rPr>
          <w:b/>
          <w:bCs/>
        </w:rPr>
        <w:t xml:space="preserve">Date-stamp everything.</w:t>
      </w:r>
      <w:r>
        <w:t xml:space="preserve"> </w:t>
      </w:r>
      <w:r>
        <w:t xml:space="preserve">“As of the 9/24 PMMS”</w:t>
      </w:r>
      <w:r>
        <w:t xml:space="preserve"> </w:t>
      </w:r>
      <w:r>
        <w:t xml:space="preserve">or</w:t>
      </w:r>
      <w:r>
        <w:t xml:space="preserve"> </w:t>
      </w:r>
      <w:r>
        <w:t xml:space="preserve">“deals priced 9/15–9/26.”</w:t>
      </w:r>
    </w:p>
    <w:p>
      <w:pPr>
        <w:pStyle w:val="Compact"/>
        <w:numPr>
          <w:ilvl w:val="0"/>
          <w:numId w:val="1010"/>
        </w:numPr>
      </w:pPr>
      <w:r>
        <w:rPr>
          <w:b/>
          <w:bCs/>
        </w:rPr>
        <w:t xml:space="preserve">Name the source and its type.</w:t>
      </w:r>
      <w:r>
        <w:t xml:space="preserve"> </w:t>
      </w:r>
      <w:r>
        <w:t xml:space="preserve">Survey (PMMS), rate-sheet index (MND), lock data (OBMMI), transaction prints (TRACE), dealer quote, or modeled value (Intex/YAS).</w:t>
      </w:r>
    </w:p>
    <w:p>
      <w:pPr>
        <w:pStyle w:val="Compact"/>
        <w:numPr>
          <w:ilvl w:val="0"/>
          <w:numId w:val="1010"/>
        </w:numPr>
      </w:pPr>
      <w:r>
        <w:rPr>
          <w:b/>
          <w:bCs/>
        </w:rPr>
        <w:t xml:space="preserve">Give a comparison.</w:t>
      </w:r>
      <w:r>
        <w:t xml:space="preserve"> </w:t>
      </w:r>
      <w:r>
        <w:t xml:space="preserve">Level plus change versus last week, last month, and one year ago, or versus its range. A level alone rarely answers the real question.</w:t>
      </w:r>
    </w:p>
    <w:p>
      <w:pPr>
        <w:pStyle w:val="Compact"/>
        <w:numPr>
          <w:ilvl w:val="0"/>
          <w:numId w:val="1010"/>
        </w:numPr>
      </w:pPr>
      <w:r>
        <w:rPr>
          <w:b/>
          <w:bCs/>
        </w:rPr>
        <w:t xml:space="preserve">Separate fact from view.</w:t>
      </w:r>
      <w:r>
        <w:t xml:space="preserve"> </w:t>
      </w:r>
      <w:r>
        <w:t xml:space="preserve">State the data, then clearly label any interpretation (</w:t>
      </w:r>
      <w:r>
        <w:t xml:space="preserve">“my read is…”</w:t>
      </w:r>
      <w:r>
        <w:t xml:space="preserve">).</w:t>
      </w:r>
    </w:p>
    <w:p>
      <w:pPr>
        <w:pStyle w:val="Compact"/>
        <w:numPr>
          <w:ilvl w:val="0"/>
          <w:numId w:val="1010"/>
        </w:numPr>
      </w:pPr>
      <w:r>
        <w:rPr>
          <w:b/>
          <w:bCs/>
        </w:rPr>
        <w:t xml:space="preserve">Flag gaps honestly.</w:t>
      </w:r>
      <w:r>
        <w:t xml:space="preserve"> </w:t>
      </w:r>
      <w:r>
        <w:t xml:space="preserve">If the only precise source is paid (live TBA levels, Non-QM spreads, loan-level DSCR performance), say so, give the best free proxy, and say when you will have the better number.</w:t>
      </w:r>
    </w:p>
    <w:p>
      <w:pPr>
        <w:pStyle w:val="Compact"/>
        <w:numPr>
          <w:ilvl w:val="0"/>
          <w:numId w:val="1010"/>
        </w:numPr>
      </w:pPr>
      <w:r>
        <w:rPr>
          <w:b/>
          <w:bCs/>
        </w:rPr>
        <w:t xml:space="preserve">Keep a log.</w:t>
      </w:r>
      <w:r>
        <w:t xml:space="preserve"> </w:t>
      </w:r>
      <w:r>
        <w:t xml:space="preserve">A simple dated file of questions asked, answers given, and sources makes follow-ups consistent and helps the trader when they return.</w:t>
      </w:r>
    </w:p>
    <w:bookmarkEnd w:id="182"/>
    <w:bookmarkStart w:id="183" w:name="X9a710ec9f547ee96defdd66ac243891354b68c1"/>
    <w:p>
      <w:pPr>
        <w:pStyle w:val="Heading2"/>
      </w:pPr>
      <w:r>
        <w:t xml:space="preserve">13.3 Worked examples (methodology only; no numbers are implied)</w:t>
      </w:r>
    </w:p>
    <w:p>
      <w:pPr>
        <w:pStyle w:val="FirstParagraph"/>
      </w:pPr>
      <w:r>
        <w:rPr>
          <w:b/>
          <w:bCs/>
        </w:rPr>
        <w:t xml:space="preserve">Example 1:</w:t>
      </w:r>
      <w:r>
        <w:rPr>
          <w:b/>
          <w:bCs/>
        </w:rPr>
        <w:t xml:space="preserve"> </w:t>
      </w:r>
      <w:r>
        <w:rPr>
          <w:b/>
          <w:bCs/>
        </w:rPr>
        <w:t xml:space="preserve">“Where are mortgage rates versus 10s?”</w:t>
      </w:r>
    </w:p>
    <w:p>
      <w:pPr>
        <w:pStyle w:val="Compact"/>
        <w:numPr>
          <w:ilvl w:val="0"/>
          <w:numId w:val="1011"/>
        </w:numPr>
      </w:pPr>
      <w:r>
        <w:t xml:space="preserve">Pull the latest Freddie Mac PMMS 30Y rate (Thursday, 11:00 am CT) and note the window it covers (Thursday–Wednesday applications).</w:t>
      </w:r>
    </w:p>
    <w:p>
      <w:pPr>
        <w:pStyle w:val="Compact"/>
        <w:numPr>
          <w:ilvl w:val="0"/>
          <w:numId w:val="1011"/>
        </w:numPr>
      </w:pPr>
      <w:r>
        <w:t xml:space="preserve">Download DGS10 from FRED and average the daily values over the same window.</w:t>
      </w:r>
    </w:p>
    <w:p>
      <w:pPr>
        <w:pStyle w:val="Compact"/>
        <w:numPr>
          <w:ilvl w:val="0"/>
          <w:numId w:val="1011"/>
        </w:numPr>
      </w:pPr>
      <w:r>
        <w:t xml:space="preserve">Spread = PMMS − average 10Y, in bp. Compute the same for four weeks ago and 52 weeks ago.</w:t>
      </w:r>
    </w:p>
    <w:p>
      <w:pPr>
        <w:pStyle w:val="Compact"/>
        <w:numPr>
          <w:ilvl w:val="0"/>
          <w:numId w:val="1011"/>
        </w:numPr>
      </w:pPr>
      <w:r>
        <w:t xml:space="preserve">Cross-check with a daily measure: MND index minus the 10Y around 3:00 pm CT, or OBMMIC30YF minus the prior day’s DGS10.</w:t>
      </w:r>
    </w:p>
    <w:p>
      <w:pPr>
        <w:pStyle w:val="Compact"/>
        <w:numPr>
          <w:ilvl w:val="0"/>
          <w:numId w:val="1011"/>
        </w:numPr>
      </w:pPr>
      <w:r>
        <w:t xml:space="preserve">If asked why the spread is wide or narrow, decompose it with the Urban Institute chartbook’s primary-secondary chart plus a dealer current-coupon spread.</w:t>
      </w:r>
    </w:p>
    <w:p>
      <w:pPr>
        <w:pStyle w:val="Compact"/>
        <w:numPr>
          <w:ilvl w:val="0"/>
          <w:numId w:val="1011"/>
        </w:numPr>
      </w:pPr>
      <w:r>
        <w:rPr>
          <w:i/>
          <w:iCs/>
        </w:rPr>
        <w:t xml:space="preserve">Answer template:</w:t>
      </w:r>
      <w:r>
        <w:t xml:space="preserve"> </w:t>
      </w:r>
      <w:r>
        <w:t xml:space="preserve">“Per PMMS for the week ended [date], the 30Y averaged [x]%, [y] bp over the average 10Y for the same window, versus [a] bp a month ago and [b] bp a year ago. MND’s daily index today is [z]%, consistent with / wider than that. Most of the change came from [primary-secondary / secondary spread] per [source].”</w:t>
      </w:r>
    </w:p>
    <w:p>
      <w:pPr>
        <w:pStyle w:val="FirstParagraph"/>
      </w:pPr>
      <w:r>
        <w:rPr>
          <w:b/>
          <w:bCs/>
        </w:rPr>
        <w:t xml:space="preserve">Example 2:</w:t>
      </w:r>
      <w:r>
        <w:rPr>
          <w:b/>
          <w:bCs/>
        </w:rPr>
        <w:t xml:space="preserve"> </w:t>
      </w:r>
      <w:r>
        <w:rPr>
          <w:b/>
          <w:bCs/>
        </w:rPr>
        <w:t xml:space="preserve">“Where are Non-QM spreads?”</w:t>
      </w:r>
    </w:p>
    <w:p>
      <w:pPr>
        <w:pStyle w:val="Compact"/>
        <w:numPr>
          <w:ilvl w:val="0"/>
          <w:numId w:val="1012"/>
        </w:numPr>
      </w:pPr>
      <w:r>
        <w:t xml:space="preserve">List Non-QM deals priced in the last two to three weeks from ASR, HousingWire, Finsight and rating-agency final reports (Section 5.2 shelves).</w:t>
      </w:r>
    </w:p>
    <w:p>
      <w:pPr>
        <w:pStyle w:val="Compact"/>
        <w:numPr>
          <w:ilvl w:val="0"/>
          <w:numId w:val="1012"/>
        </w:numPr>
      </w:pPr>
      <w:r>
        <w:t xml:space="preserve">For each, record the AAA (A-1) coupon and spread if reported, tranche WAL, and pool characteristics (WAC, FICO, CLTV, DSCR share, doc type) from the presale.</w:t>
      </w:r>
    </w:p>
    <w:p>
      <w:pPr>
        <w:pStyle w:val="Compact"/>
        <w:numPr>
          <w:ilvl w:val="0"/>
          <w:numId w:val="1012"/>
        </w:numPr>
      </w:pPr>
      <w:r>
        <w:t xml:space="preserve">Check at least one dealer weekly spread table for the current AAA/AA/A/BBB Non-QM levels and the week-over-week change.</w:t>
      </w:r>
    </w:p>
    <w:p>
      <w:pPr>
        <w:pStyle w:val="Compact"/>
        <w:numPr>
          <w:ilvl w:val="0"/>
          <w:numId w:val="1012"/>
        </w:numPr>
      </w:pPr>
      <w:r>
        <w:t xml:space="preserve">Note the context: rates vol (MOVE), broad credit spreads (FRED HY/IG OAS), and issuance pace (SIFMA/ASR YTD totals).</w:t>
      </w:r>
    </w:p>
    <w:p>
      <w:pPr>
        <w:pStyle w:val="Compact"/>
        <w:numPr>
          <w:ilvl w:val="0"/>
          <w:numId w:val="1012"/>
        </w:numPr>
      </w:pPr>
      <w:r>
        <w:rPr>
          <w:i/>
          <w:iCs/>
        </w:rPr>
        <w:t xml:space="preserve">Answer template:</w:t>
      </w:r>
      <w:r>
        <w:t xml:space="preserve"> </w:t>
      </w:r>
      <w:r>
        <w:t xml:space="preserve">“AAA Non-QM seniors on [n] deals priced [dates] cleared around [range] per [source(s)], versus [range] a month ago per [dealer, date]. Collateral on recent deals: WAC [x], FICO [y], DSCR share [z]. Tone: [tighter/wider] alongside [HY/IG moves / rates vol].”</w:t>
      </w:r>
    </w:p>
    <w:p>
      <w:pPr>
        <w:pStyle w:val="FirstParagraph"/>
      </w:pPr>
      <w:r>
        <w:rPr>
          <w:b/>
          <w:bCs/>
        </w:rPr>
        <w:t xml:space="preserve">Example 3:</w:t>
      </w:r>
      <w:r>
        <w:rPr>
          <w:b/>
          <w:bCs/>
        </w:rPr>
        <w:t xml:space="preserve"> </w:t>
      </w:r>
      <w:r>
        <w:rPr>
          <w:b/>
          <w:bCs/>
        </w:rPr>
        <w:t xml:space="preserve">“How’s DSCR credit performing?”</w:t>
      </w:r>
    </w:p>
    <w:p>
      <w:pPr>
        <w:pStyle w:val="Compact"/>
        <w:numPr>
          <w:ilvl w:val="0"/>
          <w:numId w:val="1013"/>
        </w:numPr>
      </w:pPr>
      <w:r>
        <w:t xml:space="preserve">Start with the latest rating-agency research on Non-QM/DSCR performance (KBRA, Fitch, Morningstar DBRS) and any recent trade-press summaries.</w:t>
      </w:r>
    </w:p>
    <w:p>
      <w:pPr>
        <w:pStyle w:val="Compact"/>
        <w:numPr>
          <w:ilvl w:val="0"/>
          <w:numId w:val="1013"/>
        </w:numPr>
      </w:pPr>
      <w:r>
        <w:t xml:space="preserve">If dv01 is available, pull 60+ DQ, roll rates and loss by vintage for DSCR loans versus full-doc/bank-statement loans, and by DSCR bucket and property type.</w:t>
      </w:r>
    </w:p>
    <w:p>
      <w:pPr>
        <w:pStyle w:val="Compact"/>
        <w:numPr>
          <w:ilvl w:val="0"/>
          <w:numId w:val="1013"/>
        </w:numPr>
      </w:pPr>
      <w:r>
        <w:t xml:space="preserve">Check macro drivers: rent growth (Zillow ZORI, Apartment List), home prices (Case-Shiller, FHFA, ICE HPI), and rental vacancy.</w:t>
      </w:r>
    </w:p>
    <w:p>
      <w:pPr>
        <w:pStyle w:val="Compact"/>
        <w:numPr>
          <w:ilvl w:val="0"/>
          <w:numId w:val="1013"/>
        </w:numPr>
      </w:pPr>
      <w:r>
        <w:t xml:space="preserve">Compare with the broader market (ICE First Look DQ rate) so the PM sees whether DSCR is diverging.</w:t>
      </w:r>
    </w:p>
    <w:p>
      <w:pPr>
        <w:pStyle w:val="Compact"/>
        <w:numPr>
          <w:ilvl w:val="0"/>
          <w:numId w:val="1013"/>
        </w:numPr>
      </w:pPr>
      <w:r>
        <w:rPr>
          <w:i/>
          <w:iCs/>
        </w:rPr>
        <w:t xml:space="preserve">Answer template:</w:t>
      </w:r>
      <w:r>
        <w:t xml:space="preserve"> </w:t>
      </w:r>
      <w:r>
        <w:t xml:space="preserve">“Per [agency report/dv01, date], DSCR 60+ DQ is [x]% for [vintages], up/down [y] over [period]; weaker pockets are [vintage/DSCR &lt; 1.0x/STR]. Rent growth per [source] is [trend], home prices per [source] are [trend], so severities [should/should not] be a concern.”</w:t>
      </w:r>
    </w:p>
    <w:p>
      <w:pPr>
        <w:pStyle w:val="FirstParagraph"/>
      </w:pPr>
      <w:r>
        <w:rPr>
          <w:b/>
          <w:bCs/>
        </w:rPr>
        <w:t xml:space="preserve">Example 4:</w:t>
      </w:r>
      <w:r>
        <w:rPr>
          <w:b/>
          <w:bCs/>
        </w:rPr>
        <w:t xml:space="preserve"> </w:t>
      </w:r>
      <w:r>
        <w:rPr>
          <w:b/>
          <w:bCs/>
        </w:rPr>
        <w:t xml:space="preserve">“What’s the prepay outlook?”</w:t>
      </w:r>
    </w:p>
    <w:p>
      <w:pPr>
        <w:pStyle w:val="Compact"/>
        <w:numPr>
          <w:ilvl w:val="0"/>
          <w:numId w:val="1014"/>
        </w:numPr>
      </w:pPr>
      <w:r>
        <w:t xml:space="preserve">Quote the latest monthly speeds (GSE disclosures or dealer CPR-day note for agency; dv01/Intex for non-agency) and ICE First Look’s national SMM.</w:t>
      </w:r>
    </w:p>
    <w:p>
      <w:pPr>
        <w:pStyle w:val="Compact"/>
        <w:numPr>
          <w:ilvl w:val="0"/>
          <w:numId w:val="1014"/>
        </w:numPr>
      </w:pPr>
      <w:r>
        <w:t xml:space="preserve">Compare the current mortgage rate (MND/OBMMI) with the pool or deal WAC to size the refi incentive.</w:t>
      </w:r>
    </w:p>
    <w:p>
      <w:pPr>
        <w:pStyle w:val="Compact"/>
        <w:numPr>
          <w:ilvl w:val="0"/>
          <w:numId w:val="1014"/>
        </w:numPr>
      </w:pPr>
      <w:r>
        <w:t xml:space="preserve">Check the four-week trend in the MBA Refi Index and the Fannie/Freddie intra-month prepay reports.</w:t>
      </w:r>
    </w:p>
    <w:p>
      <w:pPr>
        <w:pStyle w:val="Compact"/>
        <w:numPr>
          <w:ilvl w:val="0"/>
          <w:numId w:val="1014"/>
        </w:numPr>
      </w:pPr>
      <w:r>
        <w:t xml:space="preserve">Add turnover drivers (existing and pending home sales, seasonality, day count) and, for non-agency, prepay penalties and call risk.</w:t>
      </w:r>
    </w:p>
    <w:p>
      <w:pPr>
        <w:pStyle w:val="Compact"/>
        <w:numPr>
          <w:ilvl w:val="0"/>
          <w:numId w:val="1014"/>
        </w:numPr>
      </w:pPr>
      <w:r>
        <w:rPr>
          <w:i/>
          <w:iCs/>
        </w:rPr>
        <w:t xml:space="preserve">Answer template:</w:t>
      </w:r>
      <w:r>
        <w:t xml:space="preserve"> </w:t>
      </w:r>
      <w:r>
        <w:t xml:space="preserve">“Last month’s speeds were [x] CPR per [source]. With rates at [y] versus collateral WAC of [z], [share] of the pool is in the money. Refi apps are [trend] per MBA; intra-month data points to [faster/slower]; seasonals turn [positive/negative] into [months].”</w:t>
      </w:r>
    </w:p>
    <w:p>
      <w:pPr>
        <w:pStyle w:val="FirstParagraph"/>
      </w:pPr>
      <w:r>
        <w:rPr>
          <w:b/>
          <w:bCs/>
        </w:rPr>
        <w:t xml:space="preserve">Example 5:</w:t>
      </w:r>
      <w:r>
        <w:rPr>
          <w:b/>
          <w:bCs/>
        </w:rPr>
        <w:t xml:space="preserve"> </w:t>
      </w:r>
      <w:r>
        <w:rPr>
          <w:b/>
          <w:bCs/>
        </w:rPr>
        <w:t xml:space="preserve">“What did the last CRT deal price at?”</w:t>
      </w:r>
    </w:p>
    <w:p>
      <w:pPr>
        <w:pStyle w:val="Compact"/>
        <w:numPr>
          <w:ilvl w:val="0"/>
          <w:numId w:val="1015"/>
        </w:numPr>
      </w:pPr>
      <w:r>
        <w:t xml:space="preserve">Go to the Fannie Mae CAS Pricing page or Freddie Mac STACR Pricing page and take the most recent deal: tranche sizes, spreads over 30-day average SOFR, credit enhancement and ratings.</w:t>
      </w:r>
    </w:p>
    <w:p>
      <w:pPr>
        <w:pStyle w:val="Compact"/>
        <w:numPr>
          <w:ilvl w:val="0"/>
          <w:numId w:val="1015"/>
        </w:numPr>
      </w:pPr>
      <w:r>
        <w:t xml:space="preserve">Compare with the prior deal from the same program and series (for example DNA versus HQA for STACR, which differ in LTV profile).</w:t>
      </w:r>
    </w:p>
    <w:p>
      <w:pPr>
        <w:pStyle w:val="Compact"/>
        <w:numPr>
          <w:ilvl w:val="0"/>
          <w:numId w:val="1015"/>
        </w:numPr>
      </w:pPr>
      <w:r>
        <w:t xml:space="preserve">Add dealer color on secondary CRT spreads and demand.</w:t>
      </w:r>
    </w:p>
    <w:p>
      <w:pPr>
        <w:pStyle w:val="Compact"/>
        <w:numPr>
          <w:ilvl w:val="0"/>
          <w:numId w:val="1015"/>
        </w:numPr>
      </w:pPr>
      <w:r>
        <w:rPr>
          <w:i/>
          <w:iCs/>
        </w:rPr>
        <w:t xml:space="preserve">Answer template:</w:t>
      </w:r>
      <w:r>
        <w:t xml:space="preserve"> </w:t>
      </w:r>
      <w:r>
        <w:t xml:space="preserve">“[Deal] priced on [date]: M-1 at SOFR + [x], M-2 at SOFR + [y], B-1 at SOFR + [z], per [Fannie/Freddie pricing page]; that is [tighter/wider] than [prior deal] by [n] bp.”</w:t>
      </w:r>
    </w:p>
    <w:bookmarkEnd w:id="183"/>
    <w:bookmarkEnd w:id="184"/>
    <w:bookmarkStart w:id="185" w:name="appendix-a-what-is-only-available-paid"/>
    <w:p>
      <w:pPr>
        <w:pStyle w:val="Heading1"/>
      </w:pPr>
      <w:r>
        <w:t xml:space="preserve">Appendix A: What is only available paid</w:t>
      </w:r>
    </w:p>
    <w:p>
      <w:pPr>
        <w:pStyle w:val="FirstParagraph"/>
      </w:pPr>
      <w:r>
        <w:t xml:space="preserve">To be explicit about what you cannot get for free: live TBA prices and current-coupon spreads (Bloomberg, Tradeweb, dealer runs); non-agency and CRT secondary spreads (dealer runs, Bloomberg); bond cash-flow modeling (Intex, Bloomberg); standardized Non-QM/DSCR/jumbo/CES/HELOC loan-level performance (dv01, Intex, Cotality, KBRA Premium); agency prepayment databases (ICE eMBS, Recursion, Bloomberg); lock-level Non-QM rate data (Optimal Blue Market Data License); full-text trade newsletters (Inside Mortgage Finance, Asset-Backed Alert, ASR); servicing loan-level data (ICE McDash); most Moody’s and S&amp;P research. The free alternatives in this guide are good for context and for many PM questions, but they are not substitutes for live levels.</w:t>
      </w:r>
    </w:p>
    <w:bookmarkEnd w:id="185"/>
    <w:bookmarkStart w:id="186" w:name="appendix-b-full-link-index"/>
    <w:p>
      <w:pPr>
        <w:pStyle w:val="Heading1"/>
      </w:pPr>
      <w:r>
        <w:t xml:space="preserve">Appendix B: Full link index</w:t>
      </w:r>
    </w:p>
    <w:p>
      <w:pPr>
        <w:pStyle w:val="FirstParagraph"/>
      </w:pPr>
      <w:r>
        <w:t xml:space="preserve">Every hyperlink used in this guide, in full, sorted by domain, for use in printed copies. All were checked on Sep 30, 2026 (see the note on bot-blocked sites below).</w:t>
      </w:r>
    </w:p>
    <w:p>
      <w:pPr>
        <w:pStyle w:val="Compact"/>
        <w:numPr>
          <w:ilvl w:val="0"/>
          <w:numId w:val="1016"/>
        </w:numPr>
      </w:pPr>
      <w:hyperlink r:id="rId153">
        <w:r>
          <w:rPr>
            <w:rStyle w:val="Hyperlink"/>
          </w:rPr>
          <w:t xml:space="preserve">https://www.americanbanker.com/</w:t>
        </w:r>
      </w:hyperlink>
    </w:p>
    <w:p>
      <w:pPr>
        <w:pStyle w:val="Compact"/>
        <w:numPr>
          <w:ilvl w:val="0"/>
          <w:numId w:val="1016"/>
        </w:numPr>
      </w:pPr>
      <w:hyperlink r:id="rId131">
        <w:r>
          <w:rPr>
            <w:rStyle w:val="Hyperlink"/>
          </w:rPr>
          <w:t xml:space="preserve">https://www.apartmentlist.com/research/national-rent-data</w:t>
        </w:r>
      </w:hyperlink>
    </w:p>
    <w:p>
      <w:pPr>
        <w:pStyle w:val="Compact"/>
        <w:numPr>
          <w:ilvl w:val="0"/>
          <w:numId w:val="1016"/>
        </w:numPr>
      </w:pPr>
      <w:hyperlink r:id="rId160">
        <w:r>
          <w:rPr>
            <w:rStyle w:val="Hyperlink"/>
          </w:rPr>
          <w:t xml:space="preserve">https://www.apollo.com/wealth/insights-news/insights/daily-spark</w:t>
        </w:r>
      </w:hyperlink>
    </w:p>
    <w:p>
      <w:pPr>
        <w:pStyle w:val="Compact"/>
        <w:numPr>
          <w:ilvl w:val="0"/>
          <w:numId w:val="1016"/>
        </w:numPr>
      </w:pPr>
      <w:hyperlink r:id="rId67">
        <w:r>
          <w:rPr>
            <w:rStyle w:val="Hyperlink"/>
          </w:rPr>
          <w:t xml:space="preserve">https://asreport.americanbanker.com/</w:t>
        </w:r>
      </w:hyperlink>
    </w:p>
    <w:p>
      <w:pPr>
        <w:pStyle w:val="Compact"/>
        <w:numPr>
          <w:ilvl w:val="0"/>
          <w:numId w:val="1016"/>
        </w:numPr>
      </w:pPr>
      <w:hyperlink r:id="rId42">
        <w:r>
          <w:rPr>
            <w:rStyle w:val="Hyperlink"/>
          </w:rPr>
          <w:t xml:space="preserve">https://www.atlantafed.org/research-and-data/data/gdpnow</w:t>
        </w:r>
      </w:hyperlink>
    </w:p>
    <w:p>
      <w:pPr>
        <w:pStyle w:val="Compact"/>
        <w:numPr>
          <w:ilvl w:val="0"/>
          <w:numId w:val="1016"/>
        </w:numPr>
      </w:pPr>
      <w:hyperlink r:id="rId155">
        <w:r>
          <w:rPr>
            <w:rStyle w:val="Hyperlink"/>
          </w:rPr>
          <w:t xml:space="preserve">https://www.axios.com/newsletters/axios-markets</w:t>
        </w:r>
      </w:hyperlink>
    </w:p>
    <w:p>
      <w:pPr>
        <w:pStyle w:val="Compact"/>
        <w:numPr>
          <w:ilvl w:val="0"/>
          <w:numId w:val="1016"/>
        </w:numPr>
      </w:pPr>
      <w:hyperlink r:id="rId52">
        <w:r>
          <w:rPr>
            <w:rStyle w:val="Hyperlink"/>
          </w:rPr>
          <w:t xml:space="preserve">https://www.bankrate.com/mortgages/mortgage-rates/</w:t>
        </w:r>
      </w:hyperlink>
    </w:p>
    <w:p>
      <w:pPr>
        <w:pStyle w:val="Compact"/>
        <w:numPr>
          <w:ilvl w:val="0"/>
          <w:numId w:val="1016"/>
        </w:numPr>
      </w:pPr>
      <w:hyperlink r:id="rId142">
        <w:r>
          <w:rPr>
            <w:rStyle w:val="Hyperlink"/>
          </w:rPr>
          <w:t xml:space="preserve">https://www.bea.gov/news/schedule</w:t>
        </w:r>
      </w:hyperlink>
    </w:p>
    <w:p>
      <w:pPr>
        <w:pStyle w:val="Compact"/>
        <w:numPr>
          <w:ilvl w:val="0"/>
          <w:numId w:val="1016"/>
        </w:numPr>
      </w:pPr>
      <w:hyperlink r:id="rId154">
        <w:r>
          <w:rPr>
            <w:rStyle w:val="Hyperlink"/>
          </w:rPr>
          <w:t xml:space="preserve">https://www.bloomberg.com/</w:t>
        </w:r>
      </w:hyperlink>
    </w:p>
    <w:p>
      <w:pPr>
        <w:pStyle w:val="Compact"/>
        <w:numPr>
          <w:ilvl w:val="0"/>
          <w:numId w:val="1016"/>
        </w:numPr>
      </w:pPr>
      <w:hyperlink r:id="rId19">
        <w:r>
          <w:rPr>
            <w:rStyle w:val="Hyperlink"/>
          </w:rPr>
          <w:t xml:space="preserve">https://www.bloomberg.com/professional/</w:t>
        </w:r>
      </w:hyperlink>
    </w:p>
    <w:p>
      <w:pPr>
        <w:pStyle w:val="Compact"/>
        <w:numPr>
          <w:ilvl w:val="0"/>
          <w:numId w:val="1016"/>
        </w:numPr>
      </w:pPr>
      <w:hyperlink r:id="rId140">
        <w:r>
          <w:rPr>
            <w:rStyle w:val="Hyperlink"/>
          </w:rPr>
          <w:t xml:space="preserve">https://www.bls.gov/schedule/news_release/current_year.asp</w:t>
        </w:r>
      </w:hyperlink>
    </w:p>
    <w:p>
      <w:pPr>
        <w:pStyle w:val="Compact"/>
        <w:numPr>
          <w:ilvl w:val="0"/>
          <w:numId w:val="1016"/>
        </w:numPr>
      </w:pPr>
      <w:hyperlink r:id="rId86">
        <w:r>
          <w:rPr>
            <w:rStyle w:val="Hyperlink"/>
          </w:rPr>
          <w:t xml:space="preserve">https://www.businesswire.com/</w:t>
        </w:r>
      </w:hyperlink>
    </w:p>
    <w:p>
      <w:pPr>
        <w:pStyle w:val="Compact"/>
        <w:numPr>
          <w:ilvl w:val="0"/>
          <w:numId w:val="1016"/>
        </w:numPr>
      </w:pPr>
      <w:hyperlink r:id="rId72">
        <w:r>
          <w:rPr>
            <w:rStyle w:val="Hyperlink"/>
          </w:rPr>
          <w:t xml:space="preserve">https://capitalmarkets.fanniemae.com/credit-risk-transfer</w:t>
        </w:r>
      </w:hyperlink>
    </w:p>
    <w:p>
      <w:pPr>
        <w:pStyle w:val="Compact"/>
        <w:numPr>
          <w:ilvl w:val="0"/>
          <w:numId w:val="1016"/>
        </w:numPr>
      </w:pPr>
      <w:hyperlink r:id="rId97">
        <w:r>
          <w:rPr>
            <w:rStyle w:val="Hyperlink"/>
          </w:rPr>
          <w:t xml:space="preserve">https://capitalmarkets.fanniemae.com/credit-risk-transfer/fannie-mae-single-family-loan-performance-data</w:t>
        </w:r>
      </w:hyperlink>
    </w:p>
    <w:p>
      <w:pPr>
        <w:pStyle w:val="Compact"/>
        <w:numPr>
          <w:ilvl w:val="0"/>
          <w:numId w:val="1016"/>
        </w:numPr>
      </w:pPr>
      <w:hyperlink r:id="rId71">
        <w:r>
          <w:rPr>
            <w:rStyle w:val="Hyperlink"/>
          </w:rPr>
          <w:t xml:space="preserve">https://capitalmarkets.fanniemae.com/credit-risk-transfer/single-family-connecticut-avenue-securities/cas-pricing</w:t>
        </w:r>
      </w:hyperlink>
    </w:p>
    <w:p>
      <w:pPr>
        <w:pStyle w:val="Compact"/>
        <w:numPr>
          <w:ilvl w:val="0"/>
          <w:numId w:val="1016"/>
        </w:numPr>
      </w:pPr>
      <w:hyperlink r:id="rId111">
        <w:r>
          <w:rPr>
            <w:rStyle w:val="Hyperlink"/>
          </w:rPr>
          <w:t xml:space="preserve">https://capitalmarkets.fanniemae.com/mortgage-backed-securities</w:t>
        </w:r>
      </w:hyperlink>
    </w:p>
    <w:p>
      <w:pPr>
        <w:pStyle w:val="Compact"/>
        <w:numPr>
          <w:ilvl w:val="0"/>
          <w:numId w:val="1016"/>
        </w:numPr>
      </w:pPr>
      <w:hyperlink r:id="rId99">
        <w:r>
          <w:rPr>
            <w:rStyle w:val="Hyperlink"/>
          </w:rPr>
          <w:t xml:space="preserve">https://capitalmarkets.fanniemae.com/tools-applications/data-dynamics</w:t>
        </w:r>
      </w:hyperlink>
    </w:p>
    <w:p>
      <w:pPr>
        <w:pStyle w:val="Compact"/>
        <w:numPr>
          <w:ilvl w:val="0"/>
          <w:numId w:val="1016"/>
        </w:numPr>
      </w:pPr>
      <w:hyperlink r:id="rId74">
        <w:r>
          <w:rPr>
            <w:rStyle w:val="Hyperlink"/>
          </w:rPr>
          <w:t xml:space="preserve">https://capitalmarkets.freddiemac.com/crt</w:t>
        </w:r>
      </w:hyperlink>
    </w:p>
    <w:p>
      <w:pPr>
        <w:pStyle w:val="Compact"/>
        <w:numPr>
          <w:ilvl w:val="0"/>
          <w:numId w:val="1016"/>
        </w:numPr>
      </w:pPr>
      <w:hyperlink r:id="rId73">
        <w:r>
          <w:rPr>
            <w:rStyle w:val="Hyperlink"/>
          </w:rPr>
          <w:t xml:space="preserve">https://capitalmarkets.freddiemac.com/crt/securities/pricing</w:t>
        </w:r>
      </w:hyperlink>
    </w:p>
    <w:p>
      <w:pPr>
        <w:pStyle w:val="Compact"/>
        <w:numPr>
          <w:ilvl w:val="0"/>
          <w:numId w:val="1016"/>
        </w:numPr>
      </w:pPr>
      <w:hyperlink r:id="rId113">
        <w:r>
          <w:rPr>
            <w:rStyle w:val="Hyperlink"/>
          </w:rPr>
          <w:t xml:space="preserve">https://capitalmarkets.freddiemac.com/mbs</w:t>
        </w:r>
      </w:hyperlink>
    </w:p>
    <w:p>
      <w:pPr>
        <w:pStyle w:val="Compact"/>
        <w:numPr>
          <w:ilvl w:val="0"/>
          <w:numId w:val="1016"/>
        </w:numPr>
      </w:pPr>
      <w:hyperlink r:id="rId112">
        <w:r>
          <w:rPr>
            <w:rStyle w:val="Hyperlink"/>
          </w:rPr>
          <w:t xml:space="preserve">https://capitalmarkets.freddiemac.com/mbs/daily-prepayment-report</w:t>
        </w:r>
      </w:hyperlink>
    </w:p>
    <w:p>
      <w:pPr>
        <w:pStyle w:val="Compact"/>
        <w:numPr>
          <w:ilvl w:val="0"/>
          <w:numId w:val="1016"/>
        </w:numPr>
      </w:pPr>
      <w:hyperlink r:id="rId38">
        <w:r>
          <w:rPr>
            <w:rStyle w:val="Hyperlink"/>
          </w:rPr>
          <w:t xml:space="preserve">https://www.cboe.com/tradable-products/vix</w:t>
        </w:r>
      </w:hyperlink>
    </w:p>
    <w:p>
      <w:pPr>
        <w:pStyle w:val="Compact"/>
        <w:numPr>
          <w:ilvl w:val="0"/>
          <w:numId w:val="1016"/>
        </w:numPr>
      </w:pPr>
      <w:hyperlink r:id="rId126">
        <w:r>
          <w:rPr>
            <w:rStyle w:val="Hyperlink"/>
          </w:rPr>
          <w:t xml:space="preserve">https://www.census.gov/construction/nrc/index.html</w:t>
        </w:r>
      </w:hyperlink>
    </w:p>
    <w:p>
      <w:pPr>
        <w:pStyle w:val="Compact"/>
        <w:numPr>
          <w:ilvl w:val="0"/>
          <w:numId w:val="1016"/>
        </w:numPr>
      </w:pPr>
      <w:hyperlink r:id="rId125">
        <w:r>
          <w:rPr>
            <w:rStyle w:val="Hyperlink"/>
          </w:rPr>
          <w:t xml:space="preserve">https://www.census.gov/construction/nrs/index.html</w:t>
        </w:r>
      </w:hyperlink>
    </w:p>
    <w:p>
      <w:pPr>
        <w:pStyle w:val="Compact"/>
        <w:numPr>
          <w:ilvl w:val="0"/>
          <w:numId w:val="1016"/>
        </w:numPr>
      </w:pPr>
      <w:hyperlink r:id="rId127">
        <w:r>
          <w:rPr>
            <w:rStyle w:val="Hyperlink"/>
          </w:rPr>
          <w:t xml:space="preserve">https://www.census.gov/economic-indicators/</w:t>
        </w:r>
      </w:hyperlink>
    </w:p>
    <w:p>
      <w:pPr>
        <w:pStyle w:val="Compact"/>
        <w:numPr>
          <w:ilvl w:val="0"/>
          <w:numId w:val="1016"/>
        </w:numPr>
      </w:pPr>
      <w:hyperlink r:id="rId25">
        <w:r>
          <w:rPr>
            <w:rStyle w:val="Hyperlink"/>
          </w:rPr>
          <w:t xml:space="preserve">https://www.chathamfinancial.com/technology/us-market-rates</w:t>
        </w:r>
      </w:hyperlink>
    </w:p>
    <w:p>
      <w:pPr>
        <w:pStyle w:val="Compact"/>
        <w:numPr>
          <w:ilvl w:val="0"/>
          <w:numId w:val="1016"/>
        </w:numPr>
      </w:pPr>
      <w:hyperlink r:id="rId41">
        <w:r>
          <w:rPr>
            <w:rStyle w:val="Hyperlink"/>
          </w:rPr>
          <w:t xml:space="preserve">https://www.clevelandfed.org/indicators-and-data/inflation-nowcasting</w:t>
        </w:r>
      </w:hyperlink>
    </w:p>
    <w:p>
      <w:pPr>
        <w:pStyle w:val="Compact"/>
        <w:numPr>
          <w:ilvl w:val="0"/>
          <w:numId w:val="1016"/>
        </w:numPr>
      </w:pPr>
      <w:hyperlink r:id="rId24">
        <w:r>
          <w:rPr>
            <w:rStyle w:val="Hyperlink"/>
          </w:rPr>
          <w:t xml:space="preserve">https://www.cmegroup.com/market-data/cme-group-benchmark-administration/term-sofr.html</w:t>
        </w:r>
      </w:hyperlink>
    </w:p>
    <w:p>
      <w:pPr>
        <w:pStyle w:val="Compact"/>
        <w:numPr>
          <w:ilvl w:val="0"/>
          <w:numId w:val="1016"/>
        </w:numPr>
      </w:pPr>
      <w:hyperlink r:id="rId28">
        <w:r>
          <w:rPr>
            <w:rStyle w:val="Hyperlink"/>
          </w:rPr>
          <w:t xml:space="preserve">https://www.cmegroup.com/markets/interest-rates/cme-fedwatch-tool.html</w:t>
        </w:r>
      </w:hyperlink>
    </w:p>
    <w:p>
      <w:pPr>
        <w:pStyle w:val="Compact"/>
        <w:numPr>
          <w:ilvl w:val="0"/>
          <w:numId w:val="1016"/>
        </w:numPr>
      </w:pPr>
      <w:hyperlink r:id="rId16">
        <w:r>
          <w:rPr>
            <w:rStyle w:val="Hyperlink"/>
          </w:rPr>
          <w:t xml:space="preserve">https://www.cnbc.com/quotes/US10Y</w:t>
        </w:r>
      </w:hyperlink>
    </w:p>
    <w:p>
      <w:pPr>
        <w:pStyle w:val="Compact"/>
        <w:numPr>
          <w:ilvl w:val="0"/>
          <w:numId w:val="1016"/>
        </w:numPr>
      </w:pPr>
      <w:hyperlink r:id="rId145">
        <w:r>
          <w:rPr>
            <w:rStyle w:val="Hyperlink"/>
          </w:rPr>
          <w:t xml:space="preserve">https://www.conference-board.org/topics/consumer-confidence/</w:t>
        </w:r>
      </w:hyperlink>
    </w:p>
    <w:p>
      <w:pPr>
        <w:pStyle w:val="Compact"/>
        <w:numPr>
          <w:ilvl w:val="0"/>
          <w:numId w:val="1016"/>
        </w:numPr>
      </w:pPr>
      <w:hyperlink r:id="rId165">
        <w:r>
          <w:rPr>
            <w:rStyle w:val="Hyperlink"/>
          </w:rPr>
          <w:t xml:space="preserve">https://www.consumerfinance.gov/compliance/compliance-resources/mortgage-resources/ability-repay-qualified-mortgage-rule/</w:t>
        </w:r>
      </w:hyperlink>
    </w:p>
    <w:p>
      <w:pPr>
        <w:pStyle w:val="Compact"/>
        <w:numPr>
          <w:ilvl w:val="0"/>
          <w:numId w:val="1016"/>
        </w:numPr>
      </w:pPr>
      <w:hyperlink r:id="rId167">
        <w:r>
          <w:rPr>
            <w:rStyle w:val="Hyperlink"/>
          </w:rPr>
          <w:t xml:space="preserve">https://www.consumerfinance.gov/data-research/hmda/</w:t>
        </w:r>
      </w:hyperlink>
    </w:p>
    <w:p>
      <w:pPr>
        <w:pStyle w:val="Compact"/>
        <w:numPr>
          <w:ilvl w:val="0"/>
          <w:numId w:val="1016"/>
        </w:numPr>
      </w:pPr>
      <w:hyperlink r:id="rId166">
        <w:r>
          <w:rPr>
            <w:rStyle w:val="Hyperlink"/>
          </w:rPr>
          <w:t xml:space="preserve">https://www.consumerfinance.gov/rules-policy/regulations/1026/43/</w:t>
        </w:r>
      </w:hyperlink>
    </w:p>
    <w:p>
      <w:pPr>
        <w:pStyle w:val="Compact"/>
        <w:numPr>
          <w:ilvl w:val="0"/>
          <w:numId w:val="1016"/>
        </w:numPr>
      </w:pPr>
      <w:hyperlink r:id="rId104">
        <w:r>
          <w:rPr>
            <w:rStyle w:val="Hyperlink"/>
          </w:rPr>
          <w:t xml:space="preserve">https://www.cotality.com/</w:t>
        </w:r>
      </w:hyperlink>
    </w:p>
    <w:p>
      <w:pPr>
        <w:pStyle w:val="Compact"/>
        <w:numPr>
          <w:ilvl w:val="0"/>
          <w:numId w:val="1016"/>
        </w:numPr>
      </w:pPr>
      <w:hyperlink r:id="rId120">
        <w:r>
          <w:rPr>
            <w:rStyle w:val="Hyperlink"/>
          </w:rPr>
          <w:t xml:space="preserve">https://www.cotality.com/insights</w:t>
        </w:r>
      </w:hyperlink>
    </w:p>
    <w:p>
      <w:pPr>
        <w:pStyle w:val="Compact"/>
        <w:numPr>
          <w:ilvl w:val="0"/>
          <w:numId w:val="1016"/>
        </w:numPr>
      </w:pPr>
      <w:hyperlink r:id="rId65">
        <w:r>
          <w:rPr>
            <w:rStyle w:val="Hyperlink"/>
          </w:rPr>
          <w:t xml:space="preserve">https://creditflowresearch.com/</w:t>
        </w:r>
      </w:hyperlink>
    </w:p>
    <w:p>
      <w:pPr>
        <w:pStyle w:val="Compact"/>
        <w:numPr>
          <w:ilvl w:val="0"/>
          <w:numId w:val="1016"/>
        </w:numPr>
      </w:pPr>
      <w:hyperlink r:id="rId81">
        <w:r>
          <w:rPr>
            <w:rStyle w:val="Hyperlink"/>
          </w:rPr>
          <w:t xml:space="preserve">https://dbrs.morningstar.com/</w:t>
        </w:r>
      </w:hyperlink>
    </w:p>
    <w:p>
      <w:pPr>
        <w:pStyle w:val="Compact"/>
        <w:numPr>
          <w:ilvl w:val="0"/>
          <w:numId w:val="1016"/>
        </w:numPr>
      </w:pPr>
      <w:hyperlink r:id="rId141">
        <w:r>
          <w:rPr>
            <w:rStyle w:val="Hyperlink"/>
          </w:rPr>
          <w:t xml:space="preserve">https://www.dol.gov/</w:t>
        </w:r>
      </w:hyperlink>
    </w:p>
    <w:p>
      <w:pPr>
        <w:pStyle w:val="Compact"/>
        <w:numPr>
          <w:ilvl w:val="0"/>
          <w:numId w:val="1016"/>
        </w:numPr>
      </w:pPr>
      <w:hyperlink r:id="rId103">
        <w:r>
          <w:rPr>
            <w:rStyle w:val="Hyperlink"/>
          </w:rPr>
          <w:t xml:space="preserve">https://www.dv01.co/</w:t>
        </w:r>
      </w:hyperlink>
    </w:p>
    <w:p>
      <w:pPr>
        <w:pStyle w:val="Compact"/>
        <w:numPr>
          <w:ilvl w:val="0"/>
          <w:numId w:val="1016"/>
        </w:numPr>
      </w:pPr>
      <w:hyperlink r:id="rId115">
        <w:r>
          <w:rPr>
            <w:rStyle w:val="Hyperlink"/>
          </w:rPr>
          <w:t xml:space="preserve">https://embs.ice.com/</w:t>
        </w:r>
      </w:hyperlink>
    </w:p>
    <w:p>
      <w:pPr>
        <w:pStyle w:val="Compact"/>
        <w:numPr>
          <w:ilvl w:val="0"/>
          <w:numId w:val="1016"/>
        </w:numPr>
      </w:pPr>
      <w:hyperlink r:id="rId134">
        <w:r>
          <w:rPr>
            <w:rStyle w:val="Hyperlink"/>
          </w:rPr>
          <w:t xml:space="preserve">https://www.fanniemae.com/data-and-insights/forecast</w:t>
        </w:r>
      </w:hyperlink>
    </w:p>
    <w:p>
      <w:pPr>
        <w:pStyle w:val="Compact"/>
        <w:numPr>
          <w:ilvl w:val="0"/>
          <w:numId w:val="1016"/>
        </w:numPr>
      </w:pPr>
      <w:hyperlink r:id="rId138">
        <w:r>
          <w:rPr>
            <w:rStyle w:val="Hyperlink"/>
          </w:rPr>
          <w:t xml:space="preserve">https://www.federalreserve.gov/data/sloos.htm</w:t>
        </w:r>
      </w:hyperlink>
    </w:p>
    <w:p>
      <w:pPr>
        <w:pStyle w:val="Compact"/>
        <w:numPr>
          <w:ilvl w:val="0"/>
          <w:numId w:val="1016"/>
        </w:numPr>
      </w:pPr>
      <w:hyperlink r:id="rId29">
        <w:r>
          <w:rPr>
            <w:rStyle w:val="Hyperlink"/>
          </w:rPr>
          <w:t xml:space="preserve">https://www.federalreserve.gov/monetarypolicy/fomccalendars.htm</w:t>
        </w:r>
      </w:hyperlink>
    </w:p>
    <w:p>
      <w:pPr>
        <w:pStyle w:val="Compact"/>
        <w:numPr>
          <w:ilvl w:val="0"/>
          <w:numId w:val="1016"/>
        </w:numPr>
      </w:pPr>
      <w:hyperlink r:id="rId31">
        <w:r>
          <w:rPr>
            <w:rStyle w:val="Hyperlink"/>
          </w:rPr>
          <w:t xml:space="preserve">https://www.federalreserve.gov/monetarypolicy/fomcprojtabl20260916.htm</w:t>
        </w:r>
      </w:hyperlink>
    </w:p>
    <w:p>
      <w:pPr>
        <w:pStyle w:val="Compact"/>
        <w:numPr>
          <w:ilvl w:val="0"/>
          <w:numId w:val="1016"/>
        </w:numPr>
      </w:pPr>
      <w:hyperlink r:id="rId30">
        <w:r>
          <w:rPr>
            <w:rStyle w:val="Hyperlink"/>
          </w:rPr>
          <w:t xml:space="preserve">https://www.federalreserve.gov/monetarypolicy/guide-to-the-summary-of-economic-projections.htm</w:t>
        </w:r>
      </w:hyperlink>
    </w:p>
    <w:p>
      <w:pPr>
        <w:pStyle w:val="Compact"/>
        <w:numPr>
          <w:ilvl w:val="0"/>
          <w:numId w:val="1016"/>
        </w:numPr>
      </w:pPr>
      <w:hyperlink r:id="rId32">
        <w:r>
          <w:rPr>
            <w:rStyle w:val="Hyperlink"/>
          </w:rPr>
          <w:t xml:space="preserve">https://www.federalreserve.gov/newsevents/calendar.htm</w:t>
        </w:r>
      </w:hyperlink>
    </w:p>
    <w:p>
      <w:pPr>
        <w:pStyle w:val="Compact"/>
        <w:numPr>
          <w:ilvl w:val="0"/>
          <w:numId w:val="1016"/>
        </w:numPr>
      </w:pPr>
      <w:hyperlink r:id="rId15">
        <w:r>
          <w:rPr>
            <w:rStyle w:val="Hyperlink"/>
          </w:rPr>
          <w:t xml:space="preserve">https://www.federalreserve.gov/releases/h15/</w:t>
        </w:r>
      </w:hyperlink>
    </w:p>
    <w:p>
      <w:pPr>
        <w:pStyle w:val="Compact"/>
        <w:numPr>
          <w:ilvl w:val="0"/>
          <w:numId w:val="1016"/>
        </w:numPr>
      </w:pPr>
      <w:hyperlink r:id="rId146">
        <w:r>
          <w:rPr>
            <w:rStyle w:val="Hyperlink"/>
          </w:rPr>
          <w:t xml:space="preserve">https://www.federalreserve.gov/releases/h8/current/default.htm</w:t>
        </w:r>
      </w:hyperlink>
    </w:p>
    <w:p>
      <w:pPr>
        <w:pStyle w:val="Compact"/>
        <w:numPr>
          <w:ilvl w:val="0"/>
          <w:numId w:val="1016"/>
        </w:numPr>
      </w:pPr>
      <w:hyperlink r:id="rId168">
        <w:r>
          <w:rPr>
            <w:rStyle w:val="Hyperlink"/>
          </w:rPr>
          <w:t xml:space="preserve">https://ffiec.cfpb.gov/</w:t>
        </w:r>
      </w:hyperlink>
    </w:p>
    <w:p>
      <w:pPr>
        <w:pStyle w:val="Compact"/>
        <w:numPr>
          <w:ilvl w:val="0"/>
          <w:numId w:val="1016"/>
        </w:numPr>
      </w:pPr>
      <w:hyperlink r:id="rId162">
        <w:r>
          <w:rPr>
            <w:rStyle w:val="Hyperlink"/>
          </w:rPr>
          <w:t xml:space="preserve">https://www.fhfa.gov/</w:t>
        </w:r>
      </w:hyperlink>
    </w:p>
    <w:p>
      <w:pPr>
        <w:pStyle w:val="Compact"/>
        <w:numPr>
          <w:ilvl w:val="0"/>
          <w:numId w:val="1016"/>
        </w:numPr>
      </w:pPr>
      <w:hyperlink r:id="rId164">
        <w:r>
          <w:rPr>
            <w:rStyle w:val="Hyperlink"/>
          </w:rPr>
          <w:t xml:space="preserve">https://www.fhfa.gov/data/conforming-loan-limit</w:t>
        </w:r>
      </w:hyperlink>
    </w:p>
    <w:p>
      <w:pPr>
        <w:pStyle w:val="Compact"/>
        <w:numPr>
          <w:ilvl w:val="0"/>
          <w:numId w:val="1016"/>
        </w:numPr>
      </w:pPr>
      <w:hyperlink r:id="rId96">
        <w:r>
          <w:rPr>
            <w:rStyle w:val="Hyperlink"/>
          </w:rPr>
          <w:t xml:space="preserve">https://www.fhfa.gov/data/dashboard/nmdb-outstanding-residential-mortgage-statistics</w:t>
        </w:r>
      </w:hyperlink>
    </w:p>
    <w:p>
      <w:pPr>
        <w:pStyle w:val="Compact"/>
        <w:numPr>
          <w:ilvl w:val="0"/>
          <w:numId w:val="1016"/>
        </w:numPr>
      </w:pPr>
      <w:hyperlink r:id="rId119">
        <w:r>
          <w:rPr>
            <w:rStyle w:val="Hyperlink"/>
          </w:rPr>
          <w:t xml:space="preserve">https://www.fhfa.gov/data/hpi</w:t>
        </w:r>
      </w:hyperlink>
    </w:p>
    <w:p>
      <w:pPr>
        <w:pStyle w:val="Compact"/>
        <w:numPr>
          <w:ilvl w:val="0"/>
          <w:numId w:val="1016"/>
        </w:numPr>
      </w:pPr>
      <w:hyperlink r:id="rId163">
        <w:r>
          <w:rPr>
            <w:rStyle w:val="Hyperlink"/>
          </w:rPr>
          <w:t xml:space="preserve">https://www.fhfa.gov/news</w:t>
        </w:r>
      </w:hyperlink>
    </w:p>
    <w:p>
      <w:pPr>
        <w:pStyle w:val="Compact"/>
        <w:numPr>
          <w:ilvl w:val="0"/>
          <w:numId w:val="1016"/>
        </w:numPr>
      </w:pPr>
      <w:hyperlink r:id="rId61">
        <w:r>
          <w:rPr>
            <w:rStyle w:val="Hyperlink"/>
          </w:rPr>
          <w:t xml:space="preserve">https://www.finra.org/finra-data/fixed-income</w:t>
        </w:r>
      </w:hyperlink>
    </w:p>
    <w:p>
      <w:pPr>
        <w:pStyle w:val="Compact"/>
        <w:numPr>
          <w:ilvl w:val="0"/>
          <w:numId w:val="1016"/>
        </w:numPr>
      </w:pPr>
      <w:hyperlink r:id="rId64">
        <w:r>
          <w:rPr>
            <w:rStyle w:val="Hyperlink"/>
          </w:rPr>
          <w:t xml:space="preserve">https://finsight.com/</w:t>
        </w:r>
      </w:hyperlink>
    </w:p>
    <w:p>
      <w:pPr>
        <w:pStyle w:val="Compact"/>
        <w:numPr>
          <w:ilvl w:val="0"/>
          <w:numId w:val="1016"/>
        </w:numPr>
      </w:pPr>
      <w:hyperlink r:id="rId80">
        <w:r>
          <w:rPr>
            <w:rStyle w:val="Hyperlink"/>
          </w:rPr>
          <w:t xml:space="preserve">https://www.fitchratings.com/structured-finance/rmbs</w:t>
        </w:r>
      </w:hyperlink>
    </w:p>
    <w:p>
      <w:pPr>
        <w:pStyle w:val="Compact"/>
        <w:numPr>
          <w:ilvl w:val="0"/>
          <w:numId w:val="1016"/>
        </w:numPr>
      </w:pPr>
      <w:hyperlink r:id="rId50">
        <w:r>
          <w:rPr>
            <w:rStyle w:val="Hyperlink"/>
          </w:rPr>
          <w:t xml:space="preserve">https://fred.stlouisfed.org/release?rid=473</w:t>
        </w:r>
      </w:hyperlink>
    </w:p>
    <w:p>
      <w:pPr>
        <w:pStyle w:val="Compact"/>
        <w:numPr>
          <w:ilvl w:val="0"/>
          <w:numId w:val="1016"/>
        </w:numPr>
      </w:pPr>
      <w:hyperlink r:id="rId76">
        <w:r>
          <w:rPr>
            <w:rStyle w:val="Hyperlink"/>
          </w:rPr>
          <w:t xml:space="preserve">https://fred.stlouisfed.org/series/BAMLH0A0HYM2</w:t>
        </w:r>
      </w:hyperlink>
    </w:p>
    <w:p>
      <w:pPr>
        <w:pStyle w:val="Compact"/>
        <w:numPr>
          <w:ilvl w:val="0"/>
          <w:numId w:val="1016"/>
        </w:numPr>
      </w:pPr>
      <w:hyperlink r:id="rId14">
        <w:r>
          <w:rPr>
            <w:rStyle w:val="Hyperlink"/>
          </w:rPr>
          <w:t xml:space="preserve">https://fred.stlouisfed.org/series/DGS10</w:t>
        </w:r>
      </w:hyperlink>
    </w:p>
    <w:p>
      <w:pPr>
        <w:pStyle w:val="Compact"/>
        <w:numPr>
          <w:ilvl w:val="0"/>
          <w:numId w:val="1016"/>
        </w:numPr>
      </w:pPr>
      <w:hyperlink r:id="rId95">
        <w:r>
          <w:rPr>
            <w:rStyle w:val="Hyperlink"/>
          </w:rPr>
          <w:t xml:space="preserve">https://fred.stlouisfed.org/series/DRSFRMACBS</w:t>
        </w:r>
      </w:hyperlink>
    </w:p>
    <w:p>
      <w:pPr>
        <w:pStyle w:val="Compact"/>
        <w:numPr>
          <w:ilvl w:val="0"/>
          <w:numId w:val="1016"/>
        </w:numPr>
      </w:pPr>
      <w:hyperlink r:id="rId132">
        <w:r>
          <w:rPr>
            <w:rStyle w:val="Hyperlink"/>
          </w:rPr>
          <w:t xml:space="preserve">https://fred.stlouisfed.org/series/RRVRUSQ156N</w:t>
        </w:r>
      </w:hyperlink>
    </w:p>
    <w:p>
      <w:pPr>
        <w:pStyle w:val="Compact"/>
        <w:numPr>
          <w:ilvl w:val="0"/>
          <w:numId w:val="1016"/>
        </w:numPr>
      </w:pPr>
      <w:hyperlink r:id="rId23">
        <w:r>
          <w:rPr>
            <w:rStyle w:val="Hyperlink"/>
          </w:rPr>
          <w:t xml:space="preserve">https://fred.stlouisfed.org/series/SOFR</w:t>
        </w:r>
      </w:hyperlink>
    </w:p>
    <w:p>
      <w:pPr>
        <w:pStyle w:val="Compact"/>
        <w:numPr>
          <w:ilvl w:val="0"/>
          <w:numId w:val="1016"/>
        </w:numPr>
      </w:pPr>
      <w:hyperlink r:id="rId39">
        <w:r>
          <w:rPr>
            <w:rStyle w:val="Hyperlink"/>
          </w:rPr>
          <w:t xml:space="preserve">https://fred.stlouisfed.org/series/T10YIE</w:t>
        </w:r>
      </w:hyperlink>
    </w:p>
    <w:p>
      <w:pPr>
        <w:pStyle w:val="Compact"/>
        <w:numPr>
          <w:ilvl w:val="0"/>
          <w:numId w:val="1016"/>
        </w:numPr>
      </w:pPr>
      <w:hyperlink r:id="rId37">
        <w:r>
          <w:rPr>
            <w:rStyle w:val="Hyperlink"/>
          </w:rPr>
          <w:t xml:space="preserve">https://fred.stlouisfed.org/series/VIXCLS</w:t>
        </w:r>
      </w:hyperlink>
    </w:p>
    <w:p>
      <w:pPr>
        <w:pStyle w:val="Compact"/>
        <w:numPr>
          <w:ilvl w:val="0"/>
          <w:numId w:val="1016"/>
        </w:numPr>
      </w:pPr>
      <w:hyperlink r:id="rId47">
        <w:r>
          <w:rPr>
            <w:rStyle w:val="Hyperlink"/>
          </w:rPr>
          <w:t xml:space="preserve">https://www.freddiemac.com/pmms</w:t>
        </w:r>
      </w:hyperlink>
    </w:p>
    <w:p>
      <w:pPr>
        <w:pStyle w:val="Compact"/>
        <w:numPr>
          <w:ilvl w:val="0"/>
          <w:numId w:val="1016"/>
        </w:numPr>
      </w:pPr>
      <w:hyperlink r:id="rId136">
        <w:r>
          <w:rPr>
            <w:rStyle w:val="Hyperlink"/>
          </w:rPr>
          <w:t xml:space="preserve">https://www.freddiemac.com/research</w:t>
        </w:r>
      </w:hyperlink>
    </w:p>
    <w:p>
      <w:pPr>
        <w:pStyle w:val="Compact"/>
        <w:numPr>
          <w:ilvl w:val="0"/>
          <w:numId w:val="1016"/>
        </w:numPr>
      </w:pPr>
      <w:hyperlink r:id="rId98">
        <w:r>
          <w:rPr>
            <w:rStyle w:val="Hyperlink"/>
          </w:rPr>
          <w:t xml:space="preserve">https://www.freddiemac.com/research/datasets/sf-loanlevel-dataset</w:t>
        </w:r>
      </w:hyperlink>
    </w:p>
    <w:p>
      <w:pPr>
        <w:pStyle w:val="Compact"/>
        <w:numPr>
          <w:ilvl w:val="0"/>
          <w:numId w:val="1016"/>
        </w:numPr>
      </w:pPr>
      <w:hyperlink r:id="rId114">
        <w:r>
          <w:rPr>
            <w:rStyle w:val="Hyperlink"/>
          </w:rPr>
          <w:t xml:space="preserve">https://www.ginniemae.gov/</w:t>
        </w:r>
      </w:hyperlink>
    </w:p>
    <w:p>
      <w:pPr>
        <w:pStyle w:val="Compact"/>
        <w:numPr>
          <w:ilvl w:val="0"/>
          <w:numId w:val="1016"/>
        </w:numPr>
      </w:pPr>
      <w:hyperlink r:id="rId88">
        <w:r>
          <w:rPr>
            <w:rStyle w:val="Hyperlink"/>
          </w:rPr>
          <w:t xml:space="preserve">https://www.globenewswire.com/</w:t>
        </w:r>
      </w:hyperlink>
    </w:p>
    <w:p>
      <w:pPr>
        <w:pStyle w:val="Compact"/>
        <w:numPr>
          <w:ilvl w:val="0"/>
          <w:numId w:val="1016"/>
        </w:numPr>
      </w:pPr>
      <w:hyperlink r:id="rId66">
        <w:r>
          <w:rPr>
            <w:rStyle w:val="Hyperlink"/>
          </w:rPr>
          <w:t xml:space="preserve">https://www.greenstreet.com/</w:t>
        </w:r>
      </w:hyperlink>
    </w:p>
    <w:p>
      <w:pPr>
        <w:pStyle w:val="Compact"/>
        <w:numPr>
          <w:ilvl w:val="0"/>
          <w:numId w:val="1016"/>
        </w:numPr>
      </w:pPr>
      <w:hyperlink r:id="rId171">
        <w:r>
          <w:rPr>
            <w:rStyle w:val="Hyperlink"/>
          </w:rPr>
          <w:t xml:space="preserve">https://guide.freddiemac.com/</w:t>
        </w:r>
      </w:hyperlink>
    </w:p>
    <w:p>
      <w:pPr>
        <w:pStyle w:val="Compact"/>
        <w:numPr>
          <w:ilvl w:val="0"/>
          <w:numId w:val="1016"/>
        </w:numPr>
      </w:pPr>
      <w:hyperlink r:id="rId13">
        <w:r>
          <w:rPr>
            <w:rStyle w:val="Hyperlink"/>
          </w:rPr>
          <w:t xml:space="preserve">https://home.treasury.gov/policy-issues/financing-the-government/interest-rate-statistics</w:t>
        </w:r>
      </w:hyperlink>
    </w:p>
    <w:p>
      <w:pPr>
        <w:pStyle w:val="Compact"/>
        <w:numPr>
          <w:ilvl w:val="0"/>
          <w:numId w:val="1016"/>
        </w:numPr>
      </w:pPr>
      <w:hyperlink r:id="rId40">
        <w:r>
          <w:rPr>
            <w:rStyle w:val="Hyperlink"/>
          </w:rPr>
          <w:t xml:space="preserve">https://home.treasury.gov/resource-center/data-chart-center/interest-rates/TextView?type=daily_treasury_real_yield_curve</w:t>
        </w:r>
      </w:hyperlink>
    </w:p>
    <w:p>
      <w:pPr>
        <w:pStyle w:val="Compact"/>
        <w:numPr>
          <w:ilvl w:val="0"/>
          <w:numId w:val="1016"/>
        </w:numPr>
      </w:pPr>
      <w:hyperlink r:id="rId12">
        <w:r>
          <w:rPr>
            <w:rStyle w:val="Hyperlink"/>
          </w:rPr>
          <w:t xml:space="preserve">https://home.treasury.gov/resource-center/data-chart-center/interest-rates/TextView?type=daily_treasury_yield_curve</w:t>
        </w:r>
      </w:hyperlink>
    </w:p>
    <w:p>
      <w:pPr>
        <w:pStyle w:val="Compact"/>
        <w:numPr>
          <w:ilvl w:val="0"/>
          <w:numId w:val="1016"/>
        </w:numPr>
      </w:pPr>
      <w:hyperlink r:id="rId107">
        <w:r>
          <w:rPr>
            <w:rStyle w:val="Hyperlink"/>
          </w:rPr>
          <w:t xml:space="preserve">https://www.housingwire.com/</w:t>
        </w:r>
      </w:hyperlink>
    </w:p>
    <w:p>
      <w:pPr>
        <w:pStyle w:val="Compact"/>
        <w:numPr>
          <w:ilvl w:val="0"/>
          <w:numId w:val="1016"/>
        </w:numPr>
      </w:pPr>
      <w:hyperlink r:id="rId36">
        <w:r>
          <w:rPr>
            <w:rStyle w:val="Hyperlink"/>
          </w:rPr>
          <w:t xml:space="preserve">https://www.ice.com/fixed-income-data-services/index-solutions/fixed-income-indices</w:t>
        </w:r>
      </w:hyperlink>
    </w:p>
    <w:p>
      <w:pPr>
        <w:pStyle w:val="Compact"/>
        <w:numPr>
          <w:ilvl w:val="0"/>
          <w:numId w:val="1016"/>
        </w:numPr>
      </w:pPr>
      <w:hyperlink r:id="rId105">
        <w:r>
          <w:rPr>
            <w:rStyle w:val="Hyperlink"/>
          </w:rPr>
          <w:t xml:space="preserve">https://www.ice.com/fixed-income-data-services/mortgage-data-solutions/mortgage-backed-securities-data</w:t>
        </w:r>
      </w:hyperlink>
    </w:p>
    <w:p>
      <w:pPr>
        <w:pStyle w:val="Compact"/>
        <w:numPr>
          <w:ilvl w:val="0"/>
          <w:numId w:val="1016"/>
        </w:numPr>
      </w:pPr>
      <w:hyperlink r:id="rId152">
        <w:r>
          <w:rPr>
            <w:rStyle w:val="Hyperlink"/>
          </w:rPr>
          <w:t xml:space="preserve">https://www.insidemortgagefinance.com/</w:t>
        </w:r>
      </w:hyperlink>
    </w:p>
    <w:p>
      <w:pPr>
        <w:pStyle w:val="Compact"/>
        <w:numPr>
          <w:ilvl w:val="0"/>
          <w:numId w:val="1016"/>
        </w:numPr>
      </w:pPr>
      <w:hyperlink r:id="rId84">
        <w:r>
          <w:rPr>
            <w:rStyle w:val="Hyperlink"/>
          </w:rPr>
          <w:t xml:space="preserve">https://www.insidemortgagefinance.com/topics/677-inside-nonconforming-markets</w:t>
        </w:r>
      </w:hyperlink>
    </w:p>
    <w:p>
      <w:pPr>
        <w:pStyle w:val="Compact"/>
        <w:numPr>
          <w:ilvl w:val="0"/>
          <w:numId w:val="1016"/>
        </w:numPr>
      </w:pPr>
      <w:hyperlink r:id="rId68">
        <w:r>
          <w:rPr>
            <w:rStyle w:val="Hyperlink"/>
          </w:rPr>
          <w:t xml:space="preserve">https://www.intex.com/main/</w:t>
        </w:r>
      </w:hyperlink>
    </w:p>
    <w:p>
      <w:pPr>
        <w:pStyle w:val="Compact"/>
        <w:numPr>
          <w:ilvl w:val="0"/>
          <w:numId w:val="1016"/>
        </w:numPr>
      </w:pPr>
      <w:hyperlink r:id="rId143">
        <w:r>
          <w:rPr>
            <w:rStyle w:val="Hyperlink"/>
          </w:rPr>
          <w:t xml:space="preserve">https://www.ismworld.org/</w:t>
        </w:r>
      </w:hyperlink>
    </w:p>
    <w:p>
      <w:pPr>
        <w:pStyle w:val="Compact"/>
        <w:numPr>
          <w:ilvl w:val="0"/>
          <w:numId w:val="1016"/>
        </w:numPr>
      </w:pPr>
      <w:hyperlink r:id="rId101">
        <w:r>
          <w:rPr>
            <w:rStyle w:val="Hyperlink"/>
          </w:rPr>
          <w:t xml:space="preserve">https://www.kbra.com/</w:t>
        </w:r>
      </w:hyperlink>
    </w:p>
    <w:p>
      <w:pPr>
        <w:pStyle w:val="Compact"/>
        <w:numPr>
          <w:ilvl w:val="0"/>
          <w:numId w:val="1016"/>
        </w:numPr>
      </w:pPr>
      <w:hyperlink r:id="rId102">
        <w:r>
          <w:rPr>
            <w:rStyle w:val="Hyperlink"/>
          </w:rPr>
          <w:t xml:space="preserve">https://www.kbra.com/analytics/products/premium/rmbs</w:t>
        </w:r>
      </w:hyperlink>
    </w:p>
    <w:p>
      <w:pPr>
        <w:pStyle w:val="Compact"/>
        <w:numPr>
          <w:ilvl w:val="0"/>
          <w:numId w:val="1016"/>
        </w:numPr>
      </w:pPr>
      <w:hyperlink r:id="rId79">
        <w:r>
          <w:rPr>
            <w:rStyle w:val="Hyperlink"/>
          </w:rPr>
          <w:t xml:space="preserve">https://www.kbra.com/sectors/rmbs/transactions</w:t>
        </w:r>
      </w:hyperlink>
    </w:p>
    <w:p>
      <w:pPr>
        <w:pStyle w:val="Compact"/>
        <w:numPr>
          <w:ilvl w:val="0"/>
          <w:numId w:val="1016"/>
        </w:numPr>
      </w:pPr>
      <w:hyperlink r:id="rId69">
        <w:r>
          <w:rPr>
            <w:rStyle w:val="Hyperlink"/>
          </w:rPr>
          <w:t xml:space="preserve">https://www.marketaxess.com/</w:t>
        </w:r>
      </w:hyperlink>
    </w:p>
    <w:p>
      <w:pPr>
        <w:pStyle w:val="Compact"/>
        <w:numPr>
          <w:ilvl w:val="0"/>
          <w:numId w:val="1016"/>
        </w:numPr>
      </w:pPr>
      <w:hyperlink r:id="rId135">
        <w:r>
          <w:rPr>
            <w:rStyle w:val="Hyperlink"/>
          </w:rPr>
          <w:t xml:space="preserve">https://www.mba.org/forecasts-and-commentary</w:t>
        </w:r>
      </w:hyperlink>
    </w:p>
    <w:p>
      <w:pPr>
        <w:pStyle w:val="Compact"/>
        <w:numPr>
          <w:ilvl w:val="0"/>
          <w:numId w:val="1016"/>
        </w:numPr>
      </w:pPr>
      <w:hyperlink r:id="rId137">
        <w:r>
          <w:rPr>
            <w:rStyle w:val="Hyperlink"/>
          </w:rPr>
          <w:t xml:space="preserve">https://www.mba.org/news-and-research/research-and-economics/single-family-research/mortgage-credit-availability-index-x241340</w:t>
        </w:r>
      </w:hyperlink>
    </w:p>
    <w:p>
      <w:pPr>
        <w:pStyle w:val="Compact"/>
        <w:numPr>
          <w:ilvl w:val="0"/>
          <w:numId w:val="1016"/>
        </w:numPr>
      </w:pPr>
      <w:hyperlink r:id="rId93">
        <w:r>
          <w:rPr>
            <w:rStyle w:val="Hyperlink"/>
          </w:rPr>
          <w:t xml:space="preserve">https://www.mba.org/news-and-research/research-and-economics/single-family-research/national-delinquency-survey</w:t>
        </w:r>
      </w:hyperlink>
    </w:p>
    <w:p>
      <w:pPr>
        <w:pStyle w:val="Compact"/>
        <w:numPr>
          <w:ilvl w:val="0"/>
          <w:numId w:val="1016"/>
        </w:numPr>
      </w:pPr>
      <w:hyperlink r:id="rId48">
        <w:r>
          <w:rPr>
            <w:rStyle w:val="Hyperlink"/>
          </w:rPr>
          <w:t xml:space="preserve">https://www.mba.org/news-and-research/research-and-economics/single-family-research/weekly-applications-survey</w:t>
        </w:r>
      </w:hyperlink>
    </w:p>
    <w:p>
      <w:pPr>
        <w:pStyle w:val="Compact"/>
        <w:numPr>
          <w:ilvl w:val="0"/>
          <w:numId w:val="1016"/>
        </w:numPr>
      </w:pPr>
      <w:hyperlink r:id="rId60">
        <w:r>
          <w:rPr>
            <w:rStyle w:val="Hyperlink"/>
          </w:rPr>
          <w:t xml:space="preserve">https://www.mbslive.net/</w:t>
        </w:r>
      </w:hyperlink>
    </w:p>
    <w:p>
      <w:pPr>
        <w:pStyle w:val="Compact"/>
        <w:numPr>
          <w:ilvl w:val="0"/>
          <w:numId w:val="1016"/>
        </w:numPr>
      </w:pPr>
      <w:hyperlink r:id="rId82">
        <w:r>
          <w:rPr>
            <w:rStyle w:val="Hyperlink"/>
          </w:rPr>
          <w:t xml:space="preserve">https://www.moodys.com/</w:t>
        </w:r>
      </w:hyperlink>
    </w:p>
    <w:p>
      <w:pPr>
        <w:pStyle w:val="Compact"/>
        <w:numPr>
          <w:ilvl w:val="0"/>
          <w:numId w:val="1016"/>
        </w:numPr>
      </w:pPr>
      <w:hyperlink r:id="rId151">
        <w:r>
          <w:rPr>
            <w:rStyle w:val="Hyperlink"/>
          </w:rPr>
          <w:t xml:space="preserve">https://www.mortgagenewsdaily.com/</w:t>
        </w:r>
      </w:hyperlink>
    </w:p>
    <w:p>
      <w:pPr>
        <w:pStyle w:val="Compact"/>
        <w:numPr>
          <w:ilvl w:val="0"/>
          <w:numId w:val="1016"/>
        </w:numPr>
      </w:pPr>
      <w:hyperlink r:id="rId59">
        <w:r>
          <w:rPr>
            <w:rStyle w:val="Hyperlink"/>
          </w:rPr>
          <w:t xml:space="preserve">https://www.mortgagenewsdaily.com/mbs</w:t>
        </w:r>
      </w:hyperlink>
    </w:p>
    <w:p>
      <w:pPr>
        <w:pStyle w:val="Compact"/>
        <w:numPr>
          <w:ilvl w:val="0"/>
          <w:numId w:val="1016"/>
        </w:numPr>
      </w:pPr>
      <w:hyperlink r:id="rId46">
        <w:r>
          <w:rPr>
            <w:rStyle w:val="Hyperlink"/>
          </w:rPr>
          <w:t xml:space="preserve">https://www.mortgagenewsdaily.com/mortgage-rates/about</w:t>
        </w:r>
      </w:hyperlink>
    </w:p>
    <w:p>
      <w:pPr>
        <w:pStyle w:val="Compact"/>
        <w:numPr>
          <w:ilvl w:val="0"/>
          <w:numId w:val="1016"/>
        </w:numPr>
      </w:pPr>
      <w:hyperlink r:id="rId45">
        <w:r>
          <w:rPr>
            <w:rStyle w:val="Hyperlink"/>
          </w:rPr>
          <w:t xml:space="preserve">https://www.mortgagenewsdaily.com/mortgage-rates/mnd</w:t>
        </w:r>
      </w:hyperlink>
    </w:p>
    <w:p>
      <w:pPr>
        <w:pStyle w:val="Compact"/>
        <w:numPr>
          <w:ilvl w:val="0"/>
          <w:numId w:val="1016"/>
        </w:numPr>
      </w:pPr>
      <w:hyperlink r:id="rId92">
        <w:r>
          <w:rPr>
            <w:rStyle w:val="Hyperlink"/>
          </w:rPr>
          <w:t xml:space="preserve">https://mortgagetech.ice.com/resources/data-reports</w:t>
        </w:r>
      </w:hyperlink>
    </w:p>
    <w:p>
      <w:pPr>
        <w:pStyle w:val="Compact"/>
        <w:numPr>
          <w:ilvl w:val="0"/>
          <w:numId w:val="1016"/>
        </w:numPr>
      </w:pPr>
      <w:hyperlink r:id="rId128">
        <w:r>
          <w:rPr>
            <w:rStyle w:val="Hyperlink"/>
          </w:rPr>
          <w:t xml:space="preserve">https://www.nahb.org/news-and-economics/housing-economics/indices/housing-market-index</w:t>
        </w:r>
      </w:hyperlink>
    </w:p>
    <w:p>
      <w:pPr>
        <w:pStyle w:val="Compact"/>
        <w:numPr>
          <w:ilvl w:val="0"/>
          <w:numId w:val="1016"/>
        </w:numPr>
      </w:pPr>
      <w:hyperlink r:id="rId123">
        <w:r>
          <w:rPr>
            <w:rStyle w:val="Hyperlink"/>
          </w:rPr>
          <w:t xml:space="preserve">https://www.nar.realtor/research-and-statistics/housing-statistics/existing-home-sales</w:t>
        </w:r>
      </w:hyperlink>
    </w:p>
    <w:p>
      <w:pPr>
        <w:pStyle w:val="Compact"/>
        <w:numPr>
          <w:ilvl w:val="0"/>
          <w:numId w:val="1016"/>
        </w:numPr>
      </w:pPr>
      <w:hyperlink r:id="rId124">
        <w:r>
          <w:rPr>
            <w:rStyle w:val="Hyperlink"/>
          </w:rPr>
          <w:t xml:space="preserve">https://www.nar.realtor/research-and-statistics/housing-statistics/pending-home-sales</w:t>
        </w:r>
      </w:hyperlink>
    </w:p>
    <w:p>
      <w:pPr>
        <w:pStyle w:val="Compact"/>
        <w:numPr>
          <w:ilvl w:val="0"/>
          <w:numId w:val="1016"/>
        </w:numPr>
      </w:pPr>
      <w:hyperlink r:id="rId149">
        <w:r>
          <w:rPr>
            <w:rStyle w:val="Hyperlink"/>
          </w:rPr>
          <w:t xml:space="preserve">https://www.nationalmortgagenews.com/</w:t>
        </w:r>
      </w:hyperlink>
    </w:p>
    <w:p>
      <w:pPr>
        <w:pStyle w:val="Compact"/>
        <w:numPr>
          <w:ilvl w:val="0"/>
          <w:numId w:val="1016"/>
        </w:numPr>
      </w:pPr>
      <w:hyperlink r:id="rId150">
        <w:r>
          <w:rPr>
            <w:rStyle w:val="Hyperlink"/>
          </w:rPr>
          <w:t xml:space="preserve">https://nationalmortgageprofessional.com/</w:t>
        </w:r>
      </w:hyperlink>
    </w:p>
    <w:p>
      <w:pPr>
        <w:pStyle w:val="Compact"/>
        <w:numPr>
          <w:ilvl w:val="0"/>
          <w:numId w:val="1016"/>
        </w:numPr>
      </w:pPr>
      <w:hyperlink r:id="rId21">
        <w:r>
          <w:rPr>
            <w:rStyle w:val="Hyperlink"/>
          </w:rPr>
          <w:t xml:space="preserve">https://www.newyorkfed.org/markets/reference-rates/sofr</w:t>
        </w:r>
      </w:hyperlink>
    </w:p>
    <w:p>
      <w:pPr>
        <w:pStyle w:val="Compact"/>
        <w:numPr>
          <w:ilvl w:val="0"/>
          <w:numId w:val="1016"/>
        </w:numPr>
      </w:pPr>
      <w:hyperlink r:id="rId22">
        <w:r>
          <w:rPr>
            <w:rStyle w:val="Hyperlink"/>
          </w:rPr>
          <w:t xml:space="preserve">https://www.newyorkfed.org/markets/reference-rates/sofr-averages-and-index</w:t>
        </w:r>
      </w:hyperlink>
    </w:p>
    <w:p>
      <w:pPr>
        <w:pStyle w:val="Compact"/>
        <w:numPr>
          <w:ilvl w:val="0"/>
          <w:numId w:val="1016"/>
        </w:numPr>
      </w:pPr>
      <w:hyperlink r:id="rId94">
        <w:r>
          <w:rPr>
            <w:rStyle w:val="Hyperlink"/>
          </w:rPr>
          <w:t xml:space="preserve">https://www.newyorkfed.org/microeconomics/hhdc</w:t>
        </w:r>
      </w:hyperlink>
    </w:p>
    <w:p>
      <w:pPr>
        <w:pStyle w:val="Compact"/>
        <w:numPr>
          <w:ilvl w:val="0"/>
          <w:numId w:val="1016"/>
        </w:numPr>
      </w:pPr>
      <w:hyperlink r:id="rId51">
        <w:r>
          <w:rPr>
            <w:rStyle w:val="Hyperlink"/>
          </w:rPr>
          <w:t xml:space="preserve">https://www2.optimalblue.com/market-analytics/</w:t>
        </w:r>
      </w:hyperlink>
    </w:p>
    <w:p>
      <w:pPr>
        <w:pStyle w:val="Compact"/>
        <w:numPr>
          <w:ilvl w:val="0"/>
          <w:numId w:val="1016"/>
        </w:numPr>
      </w:pPr>
      <w:hyperlink r:id="rId49">
        <w:r>
          <w:rPr>
            <w:rStyle w:val="Hyperlink"/>
          </w:rPr>
          <w:t xml:space="preserve">https://www2.optimalblue.com/obmmi</w:t>
        </w:r>
      </w:hyperlink>
    </w:p>
    <w:p>
      <w:pPr>
        <w:pStyle w:val="Compact"/>
        <w:numPr>
          <w:ilvl w:val="0"/>
          <w:numId w:val="1016"/>
        </w:numPr>
      </w:pPr>
      <w:hyperlink r:id="rId26">
        <w:r>
          <w:rPr>
            <w:rStyle w:val="Hyperlink"/>
          </w:rPr>
          <w:t xml:space="preserve">https://pensford.com/forward-curve</w:t>
        </w:r>
      </w:hyperlink>
    </w:p>
    <w:p>
      <w:pPr>
        <w:pStyle w:val="Compact"/>
        <w:numPr>
          <w:ilvl w:val="0"/>
          <w:numId w:val="1016"/>
        </w:numPr>
      </w:pPr>
      <w:hyperlink r:id="rId87">
        <w:r>
          <w:rPr>
            <w:rStyle w:val="Hyperlink"/>
          </w:rPr>
          <w:t xml:space="preserve">https://www.prnewswire.com/</w:t>
        </w:r>
      </w:hyperlink>
    </w:p>
    <w:p>
      <w:pPr>
        <w:pStyle w:val="Compact"/>
        <w:numPr>
          <w:ilvl w:val="0"/>
          <w:numId w:val="1016"/>
        </w:numPr>
      </w:pPr>
      <w:hyperlink r:id="rId129">
        <w:r>
          <w:rPr>
            <w:rStyle w:val="Hyperlink"/>
          </w:rPr>
          <w:t xml:space="preserve">https://www.realtor.com/research/data/</w:t>
        </w:r>
      </w:hyperlink>
    </w:p>
    <w:p>
      <w:pPr>
        <w:pStyle w:val="Compact"/>
        <w:numPr>
          <w:ilvl w:val="0"/>
          <w:numId w:val="1016"/>
        </w:numPr>
      </w:pPr>
      <w:hyperlink r:id="rId116">
        <w:r>
          <w:rPr>
            <w:rStyle w:val="Hyperlink"/>
          </w:rPr>
          <w:t xml:space="preserve">https://www.recursionco.com/</w:t>
        </w:r>
      </w:hyperlink>
    </w:p>
    <w:p>
      <w:pPr>
        <w:pStyle w:val="Compact"/>
        <w:numPr>
          <w:ilvl w:val="0"/>
          <w:numId w:val="1016"/>
        </w:numPr>
      </w:pPr>
      <w:hyperlink r:id="rId130">
        <w:r>
          <w:rPr>
            <w:rStyle w:val="Hyperlink"/>
          </w:rPr>
          <w:t xml:space="preserve">https://www.redfin.com/news/data-center/</w:t>
        </w:r>
      </w:hyperlink>
    </w:p>
    <w:p>
      <w:pPr>
        <w:pStyle w:val="Compact"/>
        <w:numPr>
          <w:ilvl w:val="0"/>
          <w:numId w:val="1016"/>
        </w:numPr>
      </w:pPr>
      <w:hyperlink r:id="rId144">
        <w:r>
          <w:rPr>
            <w:rStyle w:val="Hyperlink"/>
          </w:rPr>
          <w:t xml:space="preserve">https://www.sca.isr.umich.edu/</w:t>
        </w:r>
      </w:hyperlink>
    </w:p>
    <w:p>
      <w:pPr>
        <w:pStyle w:val="Compact"/>
        <w:numPr>
          <w:ilvl w:val="0"/>
          <w:numId w:val="1016"/>
        </w:numPr>
      </w:pPr>
      <w:hyperlink r:id="rId106">
        <w:r>
          <w:rPr>
            <w:rStyle w:val="Hyperlink"/>
          </w:rPr>
          <w:t xml:space="preserve">https://www.scotsmanguide.com/</w:t>
        </w:r>
      </w:hyperlink>
    </w:p>
    <w:p>
      <w:pPr>
        <w:pStyle w:val="Compact"/>
        <w:numPr>
          <w:ilvl w:val="0"/>
          <w:numId w:val="1016"/>
        </w:numPr>
      </w:pPr>
      <w:hyperlink r:id="rId85">
        <w:r>
          <w:rPr>
            <w:rStyle w:val="Hyperlink"/>
          </w:rPr>
          <w:t xml:space="preserve">https://www.sec.gov/edgar/search/</w:t>
        </w:r>
      </w:hyperlink>
    </w:p>
    <w:p>
      <w:pPr>
        <w:pStyle w:val="Compact"/>
        <w:numPr>
          <w:ilvl w:val="0"/>
          <w:numId w:val="1016"/>
        </w:numPr>
      </w:pPr>
      <w:hyperlink r:id="rId170">
        <w:r>
          <w:rPr>
            <w:rStyle w:val="Hyperlink"/>
          </w:rPr>
          <w:t xml:space="preserve">https://selling-guide.fanniemae.com/</w:t>
        </w:r>
      </w:hyperlink>
    </w:p>
    <w:p>
      <w:pPr>
        <w:pStyle w:val="Compact"/>
        <w:numPr>
          <w:ilvl w:val="0"/>
          <w:numId w:val="1016"/>
        </w:numPr>
      </w:pPr>
      <w:hyperlink r:id="rId172">
        <w:r>
          <w:rPr>
            <w:rStyle w:val="Hyperlink"/>
          </w:rPr>
          <w:t xml:space="preserve">https://sf.freddiemac.com/</w:t>
        </w:r>
      </w:hyperlink>
    </w:p>
    <w:p>
      <w:pPr>
        <w:pStyle w:val="Compact"/>
        <w:numPr>
          <w:ilvl w:val="0"/>
          <w:numId w:val="1016"/>
        </w:numPr>
      </w:pPr>
      <w:hyperlink r:id="rId158">
        <w:r>
          <w:rPr>
            <w:rStyle w:val="Hyperlink"/>
          </w:rPr>
          <w:t xml:space="preserve">https://www.sifma.org/research/statistics/us-asset-backed-securities-statistics</w:t>
        </w:r>
      </w:hyperlink>
    </w:p>
    <w:p>
      <w:pPr>
        <w:pStyle w:val="Compact"/>
        <w:numPr>
          <w:ilvl w:val="0"/>
          <w:numId w:val="1016"/>
        </w:numPr>
      </w:pPr>
      <w:hyperlink r:id="rId157">
        <w:r>
          <w:rPr>
            <w:rStyle w:val="Hyperlink"/>
          </w:rPr>
          <w:t xml:space="preserve">https://www.sifma.org/research/statistics/us-mortgage-backed-securities-statistics</w:t>
        </w:r>
      </w:hyperlink>
    </w:p>
    <w:p>
      <w:pPr>
        <w:pStyle w:val="Compact"/>
        <w:numPr>
          <w:ilvl w:val="0"/>
          <w:numId w:val="1016"/>
        </w:numPr>
      </w:pPr>
      <w:hyperlink r:id="rId169">
        <w:r>
          <w:rPr>
            <w:rStyle w:val="Hyperlink"/>
          </w:rPr>
          <w:t xml:space="preserve">https://singlefamily.fanniemae.com/selling-policy-communications</w:t>
        </w:r>
      </w:hyperlink>
    </w:p>
    <w:p>
      <w:pPr>
        <w:pStyle w:val="Compact"/>
        <w:numPr>
          <w:ilvl w:val="0"/>
          <w:numId w:val="1016"/>
        </w:numPr>
      </w:pPr>
      <w:hyperlink r:id="rId83">
        <w:r>
          <w:rPr>
            <w:rStyle w:val="Hyperlink"/>
          </w:rPr>
          <w:t xml:space="preserve">https://www.spglobal.com/ratings/en/</w:t>
        </w:r>
      </w:hyperlink>
    </w:p>
    <w:p>
      <w:pPr>
        <w:pStyle w:val="Compact"/>
        <w:numPr>
          <w:ilvl w:val="0"/>
          <w:numId w:val="1016"/>
        </w:numPr>
      </w:pPr>
      <w:hyperlink r:id="rId118">
        <w:r>
          <w:rPr>
            <w:rStyle w:val="Hyperlink"/>
          </w:rPr>
          <w:t xml:space="preserve">https://www.spglobal.com/spdji/en/</w:t>
        </w:r>
      </w:hyperlink>
    </w:p>
    <w:p>
      <w:pPr>
        <w:pStyle w:val="Compact"/>
        <w:numPr>
          <w:ilvl w:val="0"/>
          <w:numId w:val="1016"/>
        </w:numPr>
      </w:pPr>
      <w:hyperlink r:id="rId159">
        <w:r>
          <w:rPr>
            <w:rStyle w:val="Hyperlink"/>
          </w:rPr>
          <w:t xml:space="preserve">https://structuredfinance.org/</w:t>
        </w:r>
      </w:hyperlink>
    </w:p>
    <w:p>
      <w:pPr>
        <w:pStyle w:val="Compact"/>
        <w:numPr>
          <w:ilvl w:val="0"/>
          <w:numId w:val="1016"/>
        </w:numPr>
      </w:pPr>
      <w:hyperlink r:id="rId156">
        <w:r>
          <w:rPr>
            <w:rStyle w:val="Hyperlink"/>
          </w:rPr>
          <w:t xml:space="preserve">https://www.thedailyupside.com/</w:t>
        </w:r>
      </w:hyperlink>
    </w:p>
    <w:p>
      <w:pPr>
        <w:pStyle w:val="Compact"/>
        <w:numPr>
          <w:ilvl w:val="0"/>
          <w:numId w:val="1016"/>
        </w:numPr>
      </w:pPr>
      <w:hyperlink r:id="rId58">
        <w:r>
          <w:rPr>
            <w:rStyle w:val="Hyperlink"/>
          </w:rPr>
          <w:t xml:space="preserve">https://www.tradeweb.com/</w:t>
        </w:r>
      </w:hyperlink>
    </w:p>
    <w:p>
      <w:pPr>
        <w:pStyle w:val="Compact"/>
        <w:numPr>
          <w:ilvl w:val="0"/>
          <w:numId w:val="1016"/>
        </w:numPr>
      </w:pPr>
      <w:hyperlink r:id="rId18">
        <w:r>
          <w:rPr>
            <w:rStyle w:val="Hyperlink"/>
          </w:rPr>
          <w:t xml:space="preserve">https://www.treasurydirect.gov/auctions/upcoming/</w:t>
        </w:r>
      </w:hyperlink>
    </w:p>
    <w:p>
      <w:pPr>
        <w:pStyle w:val="Compact"/>
        <w:numPr>
          <w:ilvl w:val="0"/>
          <w:numId w:val="1016"/>
        </w:numPr>
      </w:pPr>
      <w:hyperlink r:id="rId62">
        <w:r>
          <w:rPr>
            <w:rStyle w:val="Hyperlink"/>
          </w:rPr>
          <w:t xml:space="preserve">https://www.urban.org/tags/housing-finance-glance-monthly-chartbook</w:t>
        </w:r>
      </w:hyperlink>
    </w:p>
    <w:p>
      <w:pPr>
        <w:pStyle w:val="Compact"/>
        <w:numPr>
          <w:ilvl w:val="0"/>
          <w:numId w:val="1016"/>
        </w:numPr>
      </w:pPr>
      <w:hyperlink r:id="rId34">
        <w:r>
          <w:rPr>
            <w:rStyle w:val="Hyperlink"/>
          </w:rPr>
          <w:t xml:space="preserve">https://www.wsj.com/</w:t>
        </w:r>
      </w:hyperlink>
    </w:p>
    <w:p>
      <w:pPr>
        <w:pStyle w:val="Compact"/>
        <w:numPr>
          <w:ilvl w:val="0"/>
          <w:numId w:val="1016"/>
        </w:numPr>
      </w:pPr>
      <w:hyperlink r:id="rId17">
        <w:r>
          <w:rPr>
            <w:rStyle w:val="Hyperlink"/>
          </w:rPr>
          <w:t xml:space="preserve">https://www.wsj.com/market-data/bonds</w:t>
        </w:r>
      </w:hyperlink>
    </w:p>
    <w:p>
      <w:pPr>
        <w:pStyle w:val="Compact"/>
        <w:numPr>
          <w:ilvl w:val="0"/>
          <w:numId w:val="1016"/>
        </w:numPr>
      </w:pPr>
      <w:hyperlink r:id="rId33">
        <w:r>
          <w:rPr>
            <w:rStyle w:val="Hyperlink"/>
          </w:rPr>
          <w:t xml:space="preserve">https://x.com/NickTimiraos</w:t>
        </w:r>
      </w:hyperlink>
    </w:p>
    <w:p>
      <w:pPr>
        <w:pStyle w:val="Compact"/>
        <w:numPr>
          <w:ilvl w:val="0"/>
          <w:numId w:val="1016"/>
        </w:numPr>
      </w:pPr>
      <w:hyperlink r:id="rId53">
        <w:r>
          <w:rPr>
            <w:rStyle w:val="Hyperlink"/>
          </w:rPr>
          <w:t xml:space="preserve">https://www.zillow.com/homeloans/mortgage-rates/</w:t>
        </w:r>
      </w:hyperlink>
    </w:p>
    <w:p>
      <w:pPr>
        <w:pStyle w:val="Compact"/>
        <w:numPr>
          <w:ilvl w:val="0"/>
          <w:numId w:val="1016"/>
        </w:numPr>
      </w:pPr>
      <w:hyperlink r:id="rId121">
        <w:r>
          <w:rPr>
            <w:rStyle w:val="Hyperlink"/>
          </w:rPr>
          <w:t xml:space="preserve">https://www.zillow.com/research/data/</w:t>
        </w:r>
      </w:hyperlink>
    </w:p>
    <w:p>
      <w:pPr>
        <w:pStyle w:val="FirstParagraph"/>
      </w:pPr>
      <w:r>
        <w:rPr>
          <w:i/>
          <w:iCs/>
        </w:rPr>
        <w:t xml:space="preserve">Note: a handful of major sites (Bloomberg, WSJ, S&amp;P Global, SEC, BLS, CME, FINRA, Business Wire, GlobeNewswire, Department of Labor) block automated checks; their links are standard, well-known pages and were confirmed by search or manual fetch where possible.</w:t>
      </w:r>
    </w:p>
    <w:p>
      <w:pPr>
        <w:pStyle w:val="BodyText"/>
      </w:pPr>
      <w:r>
        <w:rPr>
          <w:i/>
          <w:iCs/>
        </w:rPr>
        <w:t xml:space="preserve">End of guide. Prepared Sep 30, 2026. Public/commercial external sources only.</w:t>
      </w:r>
    </w:p>
    <w:bookmarkEnd w:id="186"/>
    <w:sectPr>
      <w:headerReference w:type="default" r:id="rId9"/>
      <w:footerReference w:type="default" r:id="rId10"/>
      <w:footnotePr>
        <w:numRestart w:val="eachSect"/>
      </w:footnotePr>
      <w:pgSz w:h="12240" w:orient="landscape" w:w="15840"/>
      <w:pgMar w:bottom="864" w:left="864" w:right="864" w:top="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Residential Mortgage / RMBS Trader External Data Reference Guide  ·  Prepared Sep 30, 2026  ·  Public/commercial external sources only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0"/>
    </w:rPr>
  </w:style>
  <w:style w:styleId="BodyText" w:type="paragraph">
    <w:name w:val="Body Text"/>
    <w:basedOn w:val="Normal"/>
    <w:link w:val="BodyTextChar"/>
    <w:qFormat/>
    <w:pPr>
      <w:spacing w:after="100" w:before="40"/>
    </w:pPr>
    <w:rPr>
      <w:rFonts w:ascii="Calibri" w:cs="Calibri" w:eastAsia="Calibri" w:hAnsi="Calibri"/>
      <w:sz w:val="20"/>
    </w:rPr>
  </w:style>
  <w:style w:customStyle="1" w:styleId="FirstParagraph" w:type="paragraph">
    <w:name w:val="First Paragraph"/>
    <w:basedOn w:val="BodyText"/>
    <w:next w:val="BodyText"/>
    <w:qFormat/>
    <w:pPr>
      <w:spacing w:after="100" w:before="40"/>
    </w:pPr>
    <w:rPr>
      <w:rFonts w:ascii="Calibri" w:cs="Calibri" w:eastAsia="Calibri" w:hAnsi="Calibri"/>
      <w:sz w:val="20"/>
    </w:rPr>
  </w:style>
  <w:style w:customStyle="1" w:styleId="Compact" w:type="paragraph">
    <w:name w:val="Compact"/>
    <w:basedOn w:val="BodyText"/>
    <w:qFormat/>
    <w:pPr>
      <w:spacing w:after="36" w:before="36"/>
    </w:pPr>
    <w:rPr>
      <w:rFonts w:ascii="Calibri" w:cs="Calibri" w:eastAsia="Calibri" w:hAnsi="Calibri"/>
      <w:sz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Calibri" w:cstheme="majorBidi" w:eastAsia="Calibri" w:eastAsiaTheme="majorEastAsia" w:hAnsi="Calibri" w:hAnsiTheme="majorHAnsi"/>
      <w:b/>
      <w:color w:val="1F3A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cstheme="majorBidi" w:eastAsia="Calibri" w:eastAsiaTheme="majorEastAsia" w:hAnsi="Calibri"/>
      <w:b w:val="0"/>
      <w:color w:val="555555"/>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320"/>
      <w:outlineLvl w:val="0"/>
    </w:pPr>
    <w:rPr>
      <w:rFonts w:ascii="Calibri" w:asciiTheme="majorHAnsi" w:cs="Calibri" w:cstheme="majorBidi" w:eastAsia="Calibri" w:eastAsiaTheme="majorEastAsia" w:hAnsi="Calibri" w:hAnsiTheme="majorHAnsi"/>
      <w:b/>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Calibri" w:cstheme="majorBidi" w:eastAsia="Calibri" w:eastAsiaTheme="majorEastAsia" w:hAnsi="Calibri" w:hAnsiTheme="majorHAnsi"/>
      <w:b/>
      <w:color w:val="1F3A5F"/>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cstheme="majorBidi" w:eastAsia="Calibri" w:eastAsiaTheme="majorEastAsia" w:hAnsi="Calibri"/>
      <w:b/>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cs="Calibri" w:eastAsia="Calibri" w:hAnsi="Calibri"/>
      <w:b w:val="0"/>
      <w:color w:val="555555"/>
      <w:sz w:val="17"/>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7" Type="http://schemas.openxmlformats.org/officeDocument/2006/relationships/hyperlink" Target="https://asreport.americanbanker.com/" TargetMode="External"/><Relationship Id="rId72" Type="http://schemas.openxmlformats.org/officeDocument/2006/relationships/hyperlink" Target="https://capitalmarkets.fanniemae.com/credit-risk-transfer" TargetMode="External"/><Relationship Id="rId97" Type="http://schemas.openxmlformats.org/officeDocument/2006/relationships/hyperlink" Target="https://capitalmarkets.fanniemae.com/credit-risk-transfer/fannie-mae-single-family-loan-performance-data" TargetMode="External"/><Relationship Id="rId71" Type="http://schemas.openxmlformats.org/officeDocument/2006/relationships/hyperlink" Target="https://capitalmarkets.fanniemae.com/credit-risk-transfer/single-family-connecticut-avenue-securities/cas-pricing" TargetMode="External"/><Relationship Id="rId111" Type="http://schemas.openxmlformats.org/officeDocument/2006/relationships/hyperlink" Target="https://capitalmarkets.fanniemae.com/mortgage-backed-securities" TargetMode="External"/><Relationship Id="rId99" Type="http://schemas.openxmlformats.org/officeDocument/2006/relationships/hyperlink" Target="https://capitalmarkets.fanniemae.com/tools-applications/data-dynamics" TargetMode="External"/><Relationship Id="rId74" Type="http://schemas.openxmlformats.org/officeDocument/2006/relationships/hyperlink" Target="https://capitalmarkets.freddiemac.com/crt" TargetMode="External"/><Relationship Id="rId73" Type="http://schemas.openxmlformats.org/officeDocument/2006/relationships/hyperlink" Target="https://capitalmarkets.freddiemac.com/crt/securities/pricing" TargetMode="External"/><Relationship Id="rId113" Type="http://schemas.openxmlformats.org/officeDocument/2006/relationships/hyperlink" Target="https://capitalmarkets.freddiemac.com/mbs" TargetMode="External"/><Relationship Id="rId112" Type="http://schemas.openxmlformats.org/officeDocument/2006/relationships/hyperlink" Target="https://capitalmarkets.freddiemac.com/mbs/daily-prepayment-report" TargetMode="External"/><Relationship Id="rId65" Type="http://schemas.openxmlformats.org/officeDocument/2006/relationships/hyperlink" Target="https://creditflowresearch.com/" TargetMode="External"/><Relationship Id="rId81" Type="http://schemas.openxmlformats.org/officeDocument/2006/relationships/hyperlink" Target="https://dbrs.morningstar.com/" TargetMode="External"/><Relationship Id="rId115" Type="http://schemas.openxmlformats.org/officeDocument/2006/relationships/hyperlink" Target="https://embs.ice.com/" TargetMode="External"/><Relationship Id="rId168" Type="http://schemas.openxmlformats.org/officeDocument/2006/relationships/hyperlink" Target="https://ffiec.cfpb.gov/" TargetMode="External"/><Relationship Id="rId64" Type="http://schemas.openxmlformats.org/officeDocument/2006/relationships/hyperlink" Target="https://finsight.com/" TargetMode="External"/><Relationship Id="rId50" Type="http://schemas.openxmlformats.org/officeDocument/2006/relationships/hyperlink" Target="https://fred.stlouisfed.org/release?rid=473" TargetMode="External"/><Relationship Id="rId76" Type="http://schemas.openxmlformats.org/officeDocument/2006/relationships/hyperlink" Target="https://fred.stlouisfed.org/series/BAMLH0A0HYM2" TargetMode="External"/><Relationship Id="rId14" Type="http://schemas.openxmlformats.org/officeDocument/2006/relationships/hyperlink" Target="https://fred.stlouisfed.org/series/DGS10" TargetMode="External"/><Relationship Id="rId95" Type="http://schemas.openxmlformats.org/officeDocument/2006/relationships/hyperlink" Target="https://fred.stlouisfed.org/series/DRSFRMACBS" TargetMode="External"/><Relationship Id="rId132" Type="http://schemas.openxmlformats.org/officeDocument/2006/relationships/hyperlink" Target="https://fred.stlouisfed.org/series/RRVRUSQ156N" TargetMode="External"/><Relationship Id="rId23" Type="http://schemas.openxmlformats.org/officeDocument/2006/relationships/hyperlink" Target="https://fred.stlouisfed.org/series/SOFR" TargetMode="External"/><Relationship Id="rId39" Type="http://schemas.openxmlformats.org/officeDocument/2006/relationships/hyperlink" Target="https://fred.stlouisfed.org/series/T10YIE" TargetMode="External"/><Relationship Id="rId37" Type="http://schemas.openxmlformats.org/officeDocument/2006/relationships/hyperlink" Target="https://fred.stlouisfed.org/series/VIXCLS" TargetMode="External"/><Relationship Id="rId171" Type="http://schemas.openxmlformats.org/officeDocument/2006/relationships/hyperlink" Target="https://guide.freddiemac.com/" TargetMode="External"/><Relationship Id="rId13" Type="http://schemas.openxmlformats.org/officeDocument/2006/relationships/hyperlink" Target="https://home.treasury.gov/policy-issues/financing-the-government/interest-rate-statistics" TargetMode="External"/><Relationship Id="rId40" Type="http://schemas.openxmlformats.org/officeDocument/2006/relationships/hyperlink" Target="https://home.treasury.gov/resource-center/data-chart-center/interest-rates/TextView?type=daily_treasury_real_yield_curve" TargetMode="External"/><Relationship Id="rId12" Type="http://schemas.openxmlformats.org/officeDocument/2006/relationships/hyperlink" Target="https://home.treasury.gov/resource-center/data-chart-center/interest-rates/TextView?type=daily_treasury_yield_curve" TargetMode="External"/><Relationship Id="rId92" Type="http://schemas.openxmlformats.org/officeDocument/2006/relationships/hyperlink" Target="https://mortgagetech.ice.com/resources/data-reports" TargetMode="External"/><Relationship Id="rId150" Type="http://schemas.openxmlformats.org/officeDocument/2006/relationships/hyperlink" Target="https://nationalmortgageprofessional.com/" TargetMode="External"/><Relationship Id="rId26" Type="http://schemas.openxmlformats.org/officeDocument/2006/relationships/hyperlink" Target="https://pensford.com/forward-curve" TargetMode="External"/><Relationship Id="rId170" Type="http://schemas.openxmlformats.org/officeDocument/2006/relationships/hyperlink" Target="https://selling-guide.fanniemae.com/" TargetMode="External"/><Relationship Id="rId172" Type="http://schemas.openxmlformats.org/officeDocument/2006/relationships/hyperlink" Target="https://sf.freddiemac.com/" TargetMode="External"/><Relationship Id="rId169" Type="http://schemas.openxmlformats.org/officeDocument/2006/relationships/hyperlink" Target="https://singlefamily.fanniemae.com/selling-policy-communications" TargetMode="External"/><Relationship Id="rId159" Type="http://schemas.openxmlformats.org/officeDocument/2006/relationships/hyperlink" Target="https://structuredfinance.org/" TargetMode="External"/><Relationship Id="rId153" Type="http://schemas.openxmlformats.org/officeDocument/2006/relationships/hyperlink" Target="https://www.americanbanker.com/" TargetMode="External"/><Relationship Id="rId131" Type="http://schemas.openxmlformats.org/officeDocument/2006/relationships/hyperlink" Target="https://www.apartmentlist.com/research/national-rent-data" TargetMode="External"/><Relationship Id="rId160" Type="http://schemas.openxmlformats.org/officeDocument/2006/relationships/hyperlink" Target="https://www.apollo.com/wealth/insights-news/insights/daily-spark" TargetMode="External"/><Relationship Id="rId42" Type="http://schemas.openxmlformats.org/officeDocument/2006/relationships/hyperlink" Target="https://www.atlantafed.org/research-and-data/data/gdpnow" TargetMode="External"/><Relationship Id="rId155" Type="http://schemas.openxmlformats.org/officeDocument/2006/relationships/hyperlink" Target="https://www.axios.com/newsletters/axios-markets" TargetMode="External"/><Relationship Id="rId52" Type="http://schemas.openxmlformats.org/officeDocument/2006/relationships/hyperlink" Target="https://www.bankrate.com/mortgages/mortgage-rates/" TargetMode="External"/><Relationship Id="rId142" Type="http://schemas.openxmlformats.org/officeDocument/2006/relationships/hyperlink" Target="https://www.bea.gov/news/schedule" TargetMode="External"/><Relationship Id="rId154" Type="http://schemas.openxmlformats.org/officeDocument/2006/relationships/hyperlink" Target="https://www.bloomberg.com/" TargetMode="External"/><Relationship Id="rId19" Type="http://schemas.openxmlformats.org/officeDocument/2006/relationships/hyperlink" Target="https://www.bloomberg.com/professional/" TargetMode="External"/><Relationship Id="rId140" Type="http://schemas.openxmlformats.org/officeDocument/2006/relationships/hyperlink" Target="https://www.bls.gov/schedule/news_release/current_year.asp" TargetMode="External"/><Relationship Id="rId86" Type="http://schemas.openxmlformats.org/officeDocument/2006/relationships/hyperlink" Target="https://www.businesswire.com/" TargetMode="External"/><Relationship Id="rId38" Type="http://schemas.openxmlformats.org/officeDocument/2006/relationships/hyperlink" Target="https://www.cboe.com/tradable-products/vix" TargetMode="External"/><Relationship Id="rId126" Type="http://schemas.openxmlformats.org/officeDocument/2006/relationships/hyperlink" Target="https://www.census.gov/construction/nrc/index.html" TargetMode="External"/><Relationship Id="rId125" Type="http://schemas.openxmlformats.org/officeDocument/2006/relationships/hyperlink" Target="https://www.census.gov/construction/nrs/index.html" TargetMode="External"/><Relationship Id="rId127" Type="http://schemas.openxmlformats.org/officeDocument/2006/relationships/hyperlink" Target="https://www.census.gov/economic-indicators/" TargetMode="External"/><Relationship Id="rId25" Type="http://schemas.openxmlformats.org/officeDocument/2006/relationships/hyperlink" Target="https://www.chathamfinancial.com/technology/us-market-rates" TargetMode="External"/><Relationship Id="rId41" Type="http://schemas.openxmlformats.org/officeDocument/2006/relationships/hyperlink" Target="https://www.clevelandfed.org/indicators-and-data/inflation-nowcasting" TargetMode="External"/><Relationship Id="rId24" Type="http://schemas.openxmlformats.org/officeDocument/2006/relationships/hyperlink" Target="https://www.cmegroup.com/market-data/cme-group-benchmark-administration/term-sofr.html" TargetMode="External"/><Relationship Id="rId28" Type="http://schemas.openxmlformats.org/officeDocument/2006/relationships/hyperlink" Target="https://www.cmegroup.com/markets/interest-rates/cme-fedwatch-tool.html" TargetMode="External"/><Relationship Id="rId16" Type="http://schemas.openxmlformats.org/officeDocument/2006/relationships/hyperlink" Target="https://www.cnbc.com/quotes/US10Y" TargetMode="External"/><Relationship Id="rId145" Type="http://schemas.openxmlformats.org/officeDocument/2006/relationships/hyperlink" Target="https://www.conference-board.org/topics/consumer-confidence/" TargetMode="External"/><Relationship Id="rId165" Type="http://schemas.openxmlformats.org/officeDocument/2006/relationships/hyperlink" Target="https://www.consumerfinance.gov/compliance/compliance-resources/mortgage-resources/ability-repay-qualified-mortgage-rule/" TargetMode="External"/><Relationship Id="rId167" Type="http://schemas.openxmlformats.org/officeDocument/2006/relationships/hyperlink" Target="https://www.consumerfinance.gov/data-research/hmda/" TargetMode="External"/><Relationship Id="rId166" Type="http://schemas.openxmlformats.org/officeDocument/2006/relationships/hyperlink" Target="https://www.consumerfinance.gov/rules-policy/regulations/1026/43/" TargetMode="External"/><Relationship Id="rId104" Type="http://schemas.openxmlformats.org/officeDocument/2006/relationships/hyperlink" Target="https://www.cotality.com/" TargetMode="External"/><Relationship Id="rId120" Type="http://schemas.openxmlformats.org/officeDocument/2006/relationships/hyperlink" Target="https://www.cotality.com/insights" TargetMode="External"/><Relationship Id="rId141" Type="http://schemas.openxmlformats.org/officeDocument/2006/relationships/hyperlink" Target="https://www.dol.gov/" TargetMode="External"/><Relationship Id="rId103" Type="http://schemas.openxmlformats.org/officeDocument/2006/relationships/hyperlink" Target="https://www.dv01.co/" TargetMode="External"/><Relationship Id="rId134" Type="http://schemas.openxmlformats.org/officeDocument/2006/relationships/hyperlink" Target="https://www.fanniemae.com/data-and-insights/forecast" TargetMode="External"/><Relationship Id="rId138" Type="http://schemas.openxmlformats.org/officeDocument/2006/relationships/hyperlink" Target="https://www.federalreserve.gov/data/sloos.htm" TargetMode="External"/><Relationship Id="rId29" Type="http://schemas.openxmlformats.org/officeDocument/2006/relationships/hyperlink" Target="https://www.federalreserve.gov/monetarypolicy/fomccalendars.htm" TargetMode="External"/><Relationship Id="rId31" Type="http://schemas.openxmlformats.org/officeDocument/2006/relationships/hyperlink" Target="https://www.federalreserve.gov/monetarypolicy/fomcprojtabl20260916.htm" TargetMode="External"/><Relationship Id="rId30" Type="http://schemas.openxmlformats.org/officeDocument/2006/relationships/hyperlink" Target="https://www.federalreserve.gov/monetarypolicy/guide-to-the-summary-of-economic-projections.htm" TargetMode="External"/><Relationship Id="rId32" Type="http://schemas.openxmlformats.org/officeDocument/2006/relationships/hyperlink" Target="https://www.federalreserve.gov/newsevents/calendar.htm" TargetMode="External"/><Relationship Id="rId15" Type="http://schemas.openxmlformats.org/officeDocument/2006/relationships/hyperlink" Target="https://www.federalreserve.gov/releases/h15/" TargetMode="External"/><Relationship Id="rId146" Type="http://schemas.openxmlformats.org/officeDocument/2006/relationships/hyperlink" Target="https://www.federalreserve.gov/releases/h8/current/default.htm" TargetMode="External"/><Relationship Id="rId162" Type="http://schemas.openxmlformats.org/officeDocument/2006/relationships/hyperlink" Target="https://www.fhfa.gov/" TargetMode="External"/><Relationship Id="rId164" Type="http://schemas.openxmlformats.org/officeDocument/2006/relationships/hyperlink" Target="https://www.fhfa.gov/data/conforming-loan-limit" TargetMode="External"/><Relationship Id="rId96" Type="http://schemas.openxmlformats.org/officeDocument/2006/relationships/hyperlink" Target="https://www.fhfa.gov/data/dashboard/nmdb-outstanding-residential-mortgage-statistics" TargetMode="External"/><Relationship Id="rId119" Type="http://schemas.openxmlformats.org/officeDocument/2006/relationships/hyperlink" Target="https://www.fhfa.gov/data/hpi" TargetMode="External"/><Relationship Id="rId163" Type="http://schemas.openxmlformats.org/officeDocument/2006/relationships/hyperlink" Target="https://www.fhfa.gov/news" TargetMode="External"/><Relationship Id="rId61" Type="http://schemas.openxmlformats.org/officeDocument/2006/relationships/hyperlink" Target="https://www.finra.org/finra-data/fixed-income" TargetMode="External"/><Relationship Id="rId80" Type="http://schemas.openxmlformats.org/officeDocument/2006/relationships/hyperlink" Target="https://www.fitchratings.com/structured-finance/rmbs" TargetMode="External"/><Relationship Id="rId47" Type="http://schemas.openxmlformats.org/officeDocument/2006/relationships/hyperlink" Target="https://www.freddiemac.com/pmms" TargetMode="External"/><Relationship Id="rId136" Type="http://schemas.openxmlformats.org/officeDocument/2006/relationships/hyperlink" Target="https://www.freddiemac.com/research" TargetMode="External"/><Relationship Id="rId98" Type="http://schemas.openxmlformats.org/officeDocument/2006/relationships/hyperlink" Target="https://www.freddiemac.com/research/datasets/sf-loanlevel-dataset" TargetMode="External"/><Relationship Id="rId114" Type="http://schemas.openxmlformats.org/officeDocument/2006/relationships/hyperlink" Target="https://www.ginniemae.gov/" TargetMode="External"/><Relationship Id="rId88" Type="http://schemas.openxmlformats.org/officeDocument/2006/relationships/hyperlink" Target="https://www.globenewswire.com/" TargetMode="External"/><Relationship Id="rId66" Type="http://schemas.openxmlformats.org/officeDocument/2006/relationships/hyperlink" Target="https://www.greenstreet.com/" TargetMode="External"/><Relationship Id="rId107" Type="http://schemas.openxmlformats.org/officeDocument/2006/relationships/hyperlink" Target="https://www.housingwire.com/" TargetMode="External"/><Relationship Id="rId36" Type="http://schemas.openxmlformats.org/officeDocument/2006/relationships/hyperlink" Target="https://www.ice.com/fixed-income-data-services/index-solutions/fixed-income-indices" TargetMode="External"/><Relationship Id="rId105" Type="http://schemas.openxmlformats.org/officeDocument/2006/relationships/hyperlink" Target="https://www.ice.com/fixed-income-data-services/mortgage-data-solutions/mortgage-backed-securities-data" TargetMode="External"/><Relationship Id="rId152" Type="http://schemas.openxmlformats.org/officeDocument/2006/relationships/hyperlink" Target="https://www.insidemortgagefinance.com/" TargetMode="External"/><Relationship Id="rId84" Type="http://schemas.openxmlformats.org/officeDocument/2006/relationships/hyperlink" Target="https://www.insidemortgagefinance.com/topics/677-inside-nonconforming-markets" TargetMode="External"/><Relationship Id="rId68" Type="http://schemas.openxmlformats.org/officeDocument/2006/relationships/hyperlink" Target="https://www.intex.com/main/" TargetMode="External"/><Relationship Id="rId143" Type="http://schemas.openxmlformats.org/officeDocument/2006/relationships/hyperlink" Target="https://www.ismworld.org/" TargetMode="External"/><Relationship Id="rId101" Type="http://schemas.openxmlformats.org/officeDocument/2006/relationships/hyperlink" Target="https://www.kbra.com/" TargetMode="External"/><Relationship Id="rId102" Type="http://schemas.openxmlformats.org/officeDocument/2006/relationships/hyperlink" Target="https://www.kbra.com/analytics/products/premium/rmbs" TargetMode="External"/><Relationship Id="rId79" Type="http://schemas.openxmlformats.org/officeDocument/2006/relationships/hyperlink" Target="https://www.kbra.com/sectors/rmbs/transactions" TargetMode="External"/><Relationship Id="rId69" Type="http://schemas.openxmlformats.org/officeDocument/2006/relationships/hyperlink" Target="https://www.marketaxess.com/" TargetMode="External"/><Relationship Id="rId135" Type="http://schemas.openxmlformats.org/officeDocument/2006/relationships/hyperlink" Target="https://www.mba.org/forecasts-and-commentary" TargetMode="External"/><Relationship Id="rId137" Type="http://schemas.openxmlformats.org/officeDocument/2006/relationships/hyperlink" Target="https://www.mba.org/news-and-research/research-and-economics/single-family-research/mortgage-credit-availability-index-x241340" TargetMode="External"/><Relationship Id="rId93" Type="http://schemas.openxmlformats.org/officeDocument/2006/relationships/hyperlink" Target="https://www.mba.org/news-and-research/research-and-economics/single-family-research/national-delinquency-survey" TargetMode="External"/><Relationship Id="rId48" Type="http://schemas.openxmlformats.org/officeDocument/2006/relationships/hyperlink" Target="https://www.mba.org/news-and-research/research-and-economics/single-family-research/weekly-applications-survey" TargetMode="External"/><Relationship Id="rId60" Type="http://schemas.openxmlformats.org/officeDocument/2006/relationships/hyperlink" Target="https://www.mbslive.net/" TargetMode="External"/><Relationship Id="rId82" Type="http://schemas.openxmlformats.org/officeDocument/2006/relationships/hyperlink" Target="https://www.moodys.com/" TargetMode="External"/><Relationship Id="rId151" Type="http://schemas.openxmlformats.org/officeDocument/2006/relationships/hyperlink" Target="https://www.mortgagenewsdaily.com/" TargetMode="External"/><Relationship Id="rId59" Type="http://schemas.openxmlformats.org/officeDocument/2006/relationships/hyperlink" Target="https://www.mortgagenewsdaily.com/mbs" TargetMode="External"/><Relationship Id="rId46" Type="http://schemas.openxmlformats.org/officeDocument/2006/relationships/hyperlink" Target="https://www.mortgagenewsdaily.com/mortgage-rates/about" TargetMode="External"/><Relationship Id="rId45" Type="http://schemas.openxmlformats.org/officeDocument/2006/relationships/hyperlink" Target="https://www.mortgagenewsdaily.com/mortgage-rates/mnd" TargetMode="External"/><Relationship Id="rId128" Type="http://schemas.openxmlformats.org/officeDocument/2006/relationships/hyperlink" Target="https://www.nahb.org/news-and-economics/housing-economics/indices/housing-market-index" TargetMode="External"/><Relationship Id="rId123" Type="http://schemas.openxmlformats.org/officeDocument/2006/relationships/hyperlink" Target="https://www.nar.realtor/research-and-statistics/housing-statistics/existing-home-sales" TargetMode="External"/><Relationship Id="rId124" Type="http://schemas.openxmlformats.org/officeDocument/2006/relationships/hyperlink" Target="https://www.nar.realtor/research-and-statistics/housing-statistics/pending-home-sales" TargetMode="External"/><Relationship Id="rId149" Type="http://schemas.openxmlformats.org/officeDocument/2006/relationships/hyperlink" Target="https://www.nationalmortgagenews.com/" TargetMode="External"/><Relationship Id="rId21" Type="http://schemas.openxmlformats.org/officeDocument/2006/relationships/hyperlink" Target="https://www.newyorkfed.org/markets/reference-rates/sofr" TargetMode="External"/><Relationship Id="rId22" Type="http://schemas.openxmlformats.org/officeDocument/2006/relationships/hyperlink" Target="https://www.newyorkfed.org/markets/reference-rates/sofr-averages-and-index" TargetMode="External"/><Relationship Id="rId94" Type="http://schemas.openxmlformats.org/officeDocument/2006/relationships/hyperlink" Target="https://www.newyorkfed.org/microeconomics/hhdc" TargetMode="External"/><Relationship Id="rId87" Type="http://schemas.openxmlformats.org/officeDocument/2006/relationships/hyperlink" Target="https://www.prnewswire.com/" TargetMode="External"/><Relationship Id="rId129" Type="http://schemas.openxmlformats.org/officeDocument/2006/relationships/hyperlink" Target="https://www.realtor.com/research/data/" TargetMode="External"/><Relationship Id="rId116" Type="http://schemas.openxmlformats.org/officeDocument/2006/relationships/hyperlink" Target="https://www.recursionco.com/" TargetMode="External"/><Relationship Id="rId130" Type="http://schemas.openxmlformats.org/officeDocument/2006/relationships/hyperlink" Target="https://www.redfin.com/news/data-center/" TargetMode="External"/><Relationship Id="rId144" Type="http://schemas.openxmlformats.org/officeDocument/2006/relationships/hyperlink" Target="https://www.sca.isr.umich.edu/" TargetMode="External"/><Relationship Id="rId106" Type="http://schemas.openxmlformats.org/officeDocument/2006/relationships/hyperlink" Target="https://www.scotsmanguide.com/" TargetMode="External"/><Relationship Id="rId85" Type="http://schemas.openxmlformats.org/officeDocument/2006/relationships/hyperlink" Target="https://www.sec.gov/edgar/search/" TargetMode="External"/><Relationship Id="rId158" Type="http://schemas.openxmlformats.org/officeDocument/2006/relationships/hyperlink" Target="https://www.sifma.org/research/statistics/us-asset-backed-securities-statistics" TargetMode="External"/><Relationship Id="rId157" Type="http://schemas.openxmlformats.org/officeDocument/2006/relationships/hyperlink" Target="https://www.sifma.org/research/statistics/us-mortgage-backed-securities-statistics" TargetMode="External"/><Relationship Id="rId83" Type="http://schemas.openxmlformats.org/officeDocument/2006/relationships/hyperlink" Target="https://www.spglobal.com/ratings/en/" TargetMode="External"/><Relationship Id="rId118" Type="http://schemas.openxmlformats.org/officeDocument/2006/relationships/hyperlink" Target="https://www.spglobal.com/spdji/en/" TargetMode="External"/><Relationship Id="rId156" Type="http://schemas.openxmlformats.org/officeDocument/2006/relationships/hyperlink" Target="https://www.thedailyupside.com/" TargetMode="External"/><Relationship Id="rId58" Type="http://schemas.openxmlformats.org/officeDocument/2006/relationships/hyperlink" Target="https://www.tradeweb.com/" TargetMode="External"/><Relationship Id="rId18" Type="http://schemas.openxmlformats.org/officeDocument/2006/relationships/hyperlink" Target="https://www.treasurydirect.gov/auctions/upcoming/" TargetMode="External"/><Relationship Id="rId62" Type="http://schemas.openxmlformats.org/officeDocument/2006/relationships/hyperlink" Target="https://www.urban.org/tags/housing-finance-glance-monthly-chartbook" TargetMode="External"/><Relationship Id="rId34" Type="http://schemas.openxmlformats.org/officeDocument/2006/relationships/hyperlink" Target="https://www.wsj.com/" TargetMode="External"/><Relationship Id="rId17" Type="http://schemas.openxmlformats.org/officeDocument/2006/relationships/hyperlink" Target="https://www.wsj.com/market-data/bonds" TargetMode="External"/><Relationship Id="rId53" Type="http://schemas.openxmlformats.org/officeDocument/2006/relationships/hyperlink" Target="https://www.zillow.com/homeloans/mortgage-rates/" TargetMode="External"/><Relationship Id="rId121" Type="http://schemas.openxmlformats.org/officeDocument/2006/relationships/hyperlink" Target="https://www.zillow.com/research/data/" TargetMode="External"/><Relationship Id="rId51" Type="http://schemas.openxmlformats.org/officeDocument/2006/relationships/hyperlink" Target="https://www2.optimalblue.com/market-analytics/" TargetMode="External"/><Relationship Id="rId49" Type="http://schemas.openxmlformats.org/officeDocument/2006/relationships/hyperlink" Target="https://www2.optimalblue.com/obmmi" TargetMode="External"/><Relationship Id="rId33" Type="http://schemas.openxmlformats.org/officeDocument/2006/relationships/hyperlink" Target="https://x.com/NickTimirao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7" Type="http://schemas.openxmlformats.org/officeDocument/2006/relationships/hyperlink" Target="https://asreport.americanbanker.com/" TargetMode="External"/><Relationship Id="rId72" Type="http://schemas.openxmlformats.org/officeDocument/2006/relationships/hyperlink" Target="https://capitalmarkets.fanniemae.com/credit-risk-transfer" TargetMode="External"/><Relationship Id="rId97" Type="http://schemas.openxmlformats.org/officeDocument/2006/relationships/hyperlink" Target="https://capitalmarkets.fanniemae.com/credit-risk-transfer/fannie-mae-single-family-loan-performance-data" TargetMode="External"/><Relationship Id="rId71" Type="http://schemas.openxmlformats.org/officeDocument/2006/relationships/hyperlink" Target="https://capitalmarkets.fanniemae.com/credit-risk-transfer/single-family-connecticut-avenue-securities/cas-pricing" TargetMode="External"/><Relationship Id="rId111" Type="http://schemas.openxmlformats.org/officeDocument/2006/relationships/hyperlink" Target="https://capitalmarkets.fanniemae.com/mortgage-backed-securities" TargetMode="External"/><Relationship Id="rId99" Type="http://schemas.openxmlformats.org/officeDocument/2006/relationships/hyperlink" Target="https://capitalmarkets.fanniemae.com/tools-applications/data-dynamics" TargetMode="External"/><Relationship Id="rId74" Type="http://schemas.openxmlformats.org/officeDocument/2006/relationships/hyperlink" Target="https://capitalmarkets.freddiemac.com/crt" TargetMode="External"/><Relationship Id="rId73" Type="http://schemas.openxmlformats.org/officeDocument/2006/relationships/hyperlink" Target="https://capitalmarkets.freddiemac.com/crt/securities/pricing" TargetMode="External"/><Relationship Id="rId113" Type="http://schemas.openxmlformats.org/officeDocument/2006/relationships/hyperlink" Target="https://capitalmarkets.freddiemac.com/mbs" TargetMode="External"/><Relationship Id="rId112" Type="http://schemas.openxmlformats.org/officeDocument/2006/relationships/hyperlink" Target="https://capitalmarkets.freddiemac.com/mbs/daily-prepayment-report" TargetMode="External"/><Relationship Id="rId65" Type="http://schemas.openxmlformats.org/officeDocument/2006/relationships/hyperlink" Target="https://creditflowresearch.com/" TargetMode="External"/><Relationship Id="rId81" Type="http://schemas.openxmlformats.org/officeDocument/2006/relationships/hyperlink" Target="https://dbrs.morningstar.com/" TargetMode="External"/><Relationship Id="rId115" Type="http://schemas.openxmlformats.org/officeDocument/2006/relationships/hyperlink" Target="https://embs.ice.com/" TargetMode="External"/><Relationship Id="rId168" Type="http://schemas.openxmlformats.org/officeDocument/2006/relationships/hyperlink" Target="https://ffiec.cfpb.gov/" TargetMode="External"/><Relationship Id="rId64" Type="http://schemas.openxmlformats.org/officeDocument/2006/relationships/hyperlink" Target="https://finsight.com/" TargetMode="External"/><Relationship Id="rId50" Type="http://schemas.openxmlformats.org/officeDocument/2006/relationships/hyperlink" Target="https://fred.stlouisfed.org/release?rid=473" TargetMode="External"/><Relationship Id="rId76" Type="http://schemas.openxmlformats.org/officeDocument/2006/relationships/hyperlink" Target="https://fred.stlouisfed.org/series/BAMLH0A0HYM2" TargetMode="External"/><Relationship Id="rId14" Type="http://schemas.openxmlformats.org/officeDocument/2006/relationships/hyperlink" Target="https://fred.stlouisfed.org/series/DGS10" TargetMode="External"/><Relationship Id="rId95" Type="http://schemas.openxmlformats.org/officeDocument/2006/relationships/hyperlink" Target="https://fred.stlouisfed.org/series/DRSFRMACBS" TargetMode="External"/><Relationship Id="rId132" Type="http://schemas.openxmlformats.org/officeDocument/2006/relationships/hyperlink" Target="https://fred.stlouisfed.org/series/RRVRUSQ156N" TargetMode="External"/><Relationship Id="rId23" Type="http://schemas.openxmlformats.org/officeDocument/2006/relationships/hyperlink" Target="https://fred.stlouisfed.org/series/SOFR" TargetMode="External"/><Relationship Id="rId39" Type="http://schemas.openxmlformats.org/officeDocument/2006/relationships/hyperlink" Target="https://fred.stlouisfed.org/series/T10YIE" TargetMode="External"/><Relationship Id="rId37" Type="http://schemas.openxmlformats.org/officeDocument/2006/relationships/hyperlink" Target="https://fred.stlouisfed.org/series/VIXCLS" TargetMode="External"/><Relationship Id="rId171" Type="http://schemas.openxmlformats.org/officeDocument/2006/relationships/hyperlink" Target="https://guide.freddiemac.com/" TargetMode="External"/><Relationship Id="rId13" Type="http://schemas.openxmlformats.org/officeDocument/2006/relationships/hyperlink" Target="https://home.treasury.gov/policy-issues/financing-the-government/interest-rate-statistics" TargetMode="External"/><Relationship Id="rId40" Type="http://schemas.openxmlformats.org/officeDocument/2006/relationships/hyperlink" Target="https://home.treasury.gov/resource-center/data-chart-center/interest-rates/TextView?type=daily_treasury_real_yield_curve" TargetMode="External"/><Relationship Id="rId12" Type="http://schemas.openxmlformats.org/officeDocument/2006/relationships/hyperlink" Target="https://home.treasury.gov/resource-center/data-chart-center/interest-rates/TextView?type=daily_treasury_yield_curve" TargetMode="External"/><Relationship Id="rId92" Type="http://schemas.openxmlformats.org/officeDocument/2006/relationships/hyperlink" Target="https://mortgagetech.ice.com/resources/data-reports" TargetMode="External"/><Relationship Id="rId150" Type="http://schemas.openxmlformats.org/officeDocument/2006/relationships/hyperlink" Target="https://nationalmortgageprofessional.com/" TargetMode="External"/><Relationship Id="rId26" Type="http://schemas.openxmlformats.org/officeDocument/2006/relationships/hyperlink" Target="https://pensford.com/forward-curve" TargetMode="External"/><Relationship Id="rId170" Type="http://schemas.openxmlformats.org/officeDocument/2006/relationships/hyperlink" Target="https://selling-guide.fanniemae.com/" TargetMode="External"/><Relationship Id="rId172" Type="http://schemas.openxmlformats.org/officeDocument/2006/relationships/hyperlink" Target="https://sf.freddiemac.com/" TargetMode="External"/><Relationship Id="rId169" Type="http://schemas.openxmlformats.org/officeDocument/2006/relationships/hyperlink" Target="https://singlefamily.fanniemae.com/selling-policy-communications" TargetMode="External"/><Relationship Id="rId159" Type="http://schemas.openxmlformats.org/officeDocument/2006/relationships/hyperlink" Target="https://structuredfinance.org/" TargetMode="External"/><Relationship Id="rId153" Type="http://schemas.openxmlformats.org/officeDocument/2006/relationships/hyperlink" Target="https://www.americanbanker.com/" TargetMode="External"/><Relationship Id="rId131" Type="http://schemas.openxmlformats.org/officeDocument/2006/relationships/hyperlink" Target="https://www.apartmentlist.com/research/national-rent-data" TargetMode="External"/><Relationship Id="rId160" Type="http://schemas.openxmlformats.org/officeDocument/2006/relationships/hyperlink" Target="https://www.apollo.com/wealth/insights-news/insights/daily-spark" TargetMode="External"/><Relationship Id="rId42" Type="http://schemas.openxmlformats.org/officeDocument/2006/relationships/hyperlink" Target="https://www.atlantafed.org/research-and-data/data/gdpnow" TargetMode="External"/><Relationship Id="rId155" Type="http://schemas.openxmlformats.org/officeDocument/2006/relationships/hyperlink" Target="https://www.axios.com/newsletters/axios-markets" TargetMode="External"/><Relationship Id="rId52" Type="http://schemas.openxmlformats.org/officeDocument/2006/relationships/hyperlink" Target="https://www.bankrate.com/mortgages/mortgage-rates/" TargetMode="External"/><Relationship Id="rId142" Type="http://schemas.openxmlformats.org/officeDocument/2006/relationships/hyperlink" Target="https://www.bea.gov/news/schedule" TargetMode="External"/><Relationship Id="rId154" Type="http://schemas.openxmlformats.org/officeDocument/2006/relationships/hyperlink" Target="https://www.bloomberg.com/" TargetMode="External"/><Relationship Id="rId19" Type="http://schemas.openxmlformats.org/officeDocument/2006/relationships/hyperlink" Target="https://www.bloomberg.com/professional/" TargetMode="External"/><Relationship Id="rId140" Type="http://schemas.openxmlformats.org/officeDocument/2006/relationships/hyperlink" Target="https://www.bls.gov/schedule/news_release/current_year.asp" TargetMode="External"/><Relationship Id="rId86" Type="http://schemas.openxmlformats.org/officeDocument/2006/relationships/hyperlink" Target="https://www.businesswire.com/" TargetMode="External"/><Relationship Id="rId38" Type="http://schemas.openxmlformats.org/officeDocument/2006/relationships/hyperlink" Target="https://www.cboe.com/tradable-products/vix" TargetMode="External"/><Relationship Id="rId126" Type="http://schemas.openxmlformats.org/officeDocument/2006/relationships/hyperlink" Target="https://www.census.gov/construction/nrc/index.html" TargetMode="External"/><Relationship Id="rId125" Type="http://schemas.openxmlformats.org/officeDocument/2006/relationships/hyperlink" Target="https://www.census.gov/construction/nrs/index.html" TargetMode="External"/><Relationship Id="rId127" Type="http://schemas.openxmlformats.org/officeDocument/2006/relationships/hyperlink" Target="https://www.census.gov/economic-indicators/" TargetMode="External"/><Relationship Id="rId25" Type="http://schemas.openxmlformats.org/officeDocument/2006/relationships/hyperlink" Target="https://www.chathamfinancial.com/technology/us-market-rates" TargetMode="External"/><Relationship Id="rId41" Type="http://schemas.openxmlformats.org/officeDocument/2006/relationships/hyperlink" Target="https://www.clevelandfed.org/indicators-and-data/inflation-nowcasting" TargetMode="External"/><Relationship Id="rId24" Type="http://schemas.openxmlformats.org/officeDocument/2006/relationships/hyperlink" Target="https://www.cmegroup.com/market-data/cme-group-benchmark-administration/term-sofr.html" TargetMode="External"/><Relationship Id="rId28" Type="http://schemas.openxmlformats.org/officeDocument/2006/relationships/hyperlink" Target="https://www.cmegroup.com/markets/interest-rates/cme-fedwatch-tool.html" TargetMode="External"/><Relationship Id="rId16" Type="http://schemas.openxmlformats.org/officeDocument/2006/relationships/hyperlink" Target="https://www.cnbc.com/quotes/US10Y" TargetMode="External"/><Relationship Id="rId145" Type="http://schemas.openxmlformats.org/officeDocument/2006/relationships/hyperlink" Target="https://www.conference-board.org/topics/consumer-confidence/" TargetMode="External"/><Relationship Id="rId165" Type="http://schemas.openxmlformats.org/officeDocument/2006/relationships/hyperlink" Target="https://www.consumerfinance.gov/compliance/compliance-resources/mortgage-resources/ability-repay-qualified-mortgage-rule/" TargetMode="External"/><Relationship Id="rId167" Type="http://schemas.openxmlformats.org/officeDocument/2006/relationships/hyperlink" Target="https://www.consumerfinance.gov/data-research/hmda/" TargetMode="External"/><Relationship Id="rId166" Type="http://schemas.openxmlformats.org/officeDocument/2006/relationships/hyperlink" Target="https://www.consumerfinance.gov/rules-policy/regulations/1026/43/" TargetMode="External"/><Relationship Id="rId104" Type="http://schemas.openxmlformats.org/officeDocument/2006/relationships/hyperlink" Target="https://www.cotality.com/" TargetMode="External"/><Relationship Id="rId120" Type="http://schemas.openxmlformats.org/officeDocument/2006/relationships/hyperlink" Target="https://www.cotality.com/insights" TargetMode="External"/><Relationship Id="rId141" Type="http://schemas.openxmlformats.org/officeDocument/2006/relationships/hyperlink" Target="https://www.dol.gov/" TargetMode="External"/><Relationship Id="rId103" Type="http://schemas.openxmlformats.org/officeDocument/2006/relationships/hyperlink" Target="https://www.dv01.co/" TargetMode="External"/><Relationship Id="rId134" Type="http://schemas.openxmlformats.org/officeDocument/2006/relationships/hyperlink" Target="https://www.fanniemae.com/data-and-insights/forecast" TargetMode="External"/><Relationship Id="rId138" Type="http://schemas.openxmlformats.org/officeDocument/2006/relationships/hyperlink" Target="https://www.federalreserve.gov/data/sloos.htm" TargetMode="External"/><Relationship Id="rId29" Type="http://schemas.openxmlformats.org/officeDocument/2006/relationships/hyperlink" Target="https://www.federalreserve.gov/monetarypolicy/fomccalendars.htm" TargetMode="External"/><Relationship Id="rId31" Type="http://schemas.openxmlformats.org/officeDocument/2006/relationships/hyperlink" Target="https://www.federalreserve.gov/monetarypolicy/fomcprojtabl20260916.htm" TargetMode="External"/><Relationship Id="rId30" Type="http://schemas.openxmlformats.org/officeDocument/2006/relationships/hyperlink" Target="https://www.federalreserve.gov/monetarypolicy/guide-to-the-summary-of-economic-projections.htm" TargetMode="External"/><Relationship Id="rId32" Type="http://schemas.openxmlformats.org/officeDocument/2006/relationships/hyperlink" Target="https://www.federalreserve.gov/newsevents/calendar.htm" TargetMode="External"/><Relationship Id="rId15" Type="http://schemas.openxmlformats.org/officeDocument/2006/relationships/hyperlink" Target="https://www.federalreserve.gov/releases/h15/" TargetMode="External"/><Relationship Id="rId146" Type="http://schemas.openxmlformats.org/officeDocument/2006/relationships/hyperlink" Target="https://www.federalreserve.gov/releases/h8/current/default.htm" TargetMode="External"/><Relationship Id="rId162" Type="http://schemas.openxmlformats.org/officeDocument/2006/relationships/hyperlink" Target="https://www.fhfa.gov/" TargetMode="External"/><Relationship Id="rId164" Type="http://schemas.openxmlformats.org/officeDocument/2006/relationships/hyperlink" Target="https://www.fhfa.gov/data/conforming-loan-limit" TargetMode="External"/><Relationship Id="rId96" Type="http://schemas.openxmlformats.org/officeDocument/2006/relationships/hyperlink" Target="https://www.fhfa.gov/data/dashboard/nmdb-outstanding-residential-mortgage-statistics" TargetMode="External"/><Relationship Id="rId119" Type="http://schemas.openxmlformats.org/officeDocument/2006/relationships/hyperlink" Target="https://www.fhfa.gov/data/hpi" TargetMode="External"/><Relationship Id="rId163" Type="http://schemas.openxmlformats.org/officeDocument/2006/relationships/hyperlink" Target="https://www.fhfa.gov/news" TargetMode="External"/><Relationship Id="rId61" Type="http://schemas.openxmlformats.org/officeDocument/2006/relationships/hyperlink" Target="https://www.finra.org/finra-data/fixed-income" TargetMode="External"/><Relationship Id="rId80" Type="http://schemas.openxmlformats.org/officeDocument/2006/relationships/hyperlink" Target="https://www.fitchratings.com/structured-finance/rmbs" TargetMode="External"/><Relationship Id="rId47" Type="http://schemas.openxmlformats.org/officeDocument/2006/relationships/hyperlink" Target="https://www.freddiemac.com/pmms" TargetMode="External"/><Relationship Id="rId136" Type="http://schemas.openxmlformats.org/officeDocument/2006/relationships/hyperlink" Target="https://www.freddiemac.com/research" TargetMode="External"/><Relationship Id="rId98" Type="http://schemas.openxmlformats.org/officeDocument/2006/relationships/hyperlink" Target="https://www.freddiemac.com/research/datasets/sf-loanlevel-dataset" TargetMode="External"/><Relationship Id="rId114" Type="http://schemas.openxmlformats.org/officeDocument/2006/relationships/hyperlink" Target="https://www.ginniemae.gov/" TargetMode="External"/><Relationship Id="rId88" Type="http://schemas.openxmlformats.org/officeDocument/2006/relationships/hyperlink" Target="https://www.globenewswire.com/" TargetMode="External"/><Relationship Id="rId66" Type="http://schemas.openxmlformats.org/officeDocument/2006/relationships/hyperlink" Target="https://www.greenstreet.com/" TargetMode="External"/><Relationship Id="rId107" Type="http://schemas.openxmlformats.org/officeDocument/2006/relationships/hyperlink" Target="https://www.housingwire.com/" TargetMode="External"/><Relationship Id="rId36" Type="http://schemas.openxmlformats.org/officeDocument/2006/relationships/hyperlink" Target="https://www.ice.com/fixed-income-data-services/index-solutions/fixed-income-indices" TargetMode="External"/><Relationship Id="rId105" Type="http://schemas.openxmlformats.org/officeDocument/2006/relationships/hyperlink" Target="https://www.ice.com/fixed-income-data-services/mortgage-data-solutions/mortgage-backed-securities-data" TargetMode="External"/><Relationship Id="rId152" Type="http://schemas.openxmlformats.org/officeDocument/2006/relationships/hyperlink" Target="https://www.insidemortgagefinance.com/" TargetMode="External"/><Relationship Id="rId84" Type="http://schemas.openxmlformats.org/officeDocument/2006/relationships/hyperlink" Target="https://www.insidemortgagefinance.com/topics/677-inside-nonconforming-markets" TargetMode="External"/><Relationship Id="rId68" Type="http://schemas.openxmlformats.org/officeDocument/2006/relationships/hyperlink" Target="https://www.intex.com/main/" TargetMode="External"/><Relationship Id="rId143" Type="http://schemas.openxmlformats.org/officeDocument/2006/relationships/hyperlink" Target="https://www.ismworld.org/" TargetMode="External"/><Relationship Id="rId101" Type="http://schemas.openxmlformats.org/officeDocument/2006/relationships/hyperlink" Target="https://www.kbra.com/" TargetMode="External"/><Relationship Id="rId102" Type="http://schemas.openxmlformats.org/officeDocument/2006/relationships/hyperlink" Target="https://www.kbra.com/analytics/products/premium/rmbs" TargetMode="External"/><Relationship Id="rId79" Type="http://schemas.openxmlformats.org/officeDocument/2006/relationships/hyperlink" Target="https://www.kbra.com/sectors/rmbs/transactions" TargetMode="External"/><Relationship Id="rId69" Type="http://schemas.openxmlformats.org/officeDocument/2006/relationships/hyperlink" Target="https://www.marketaxess.com/" TargetMode="External"/><Relationship Id="rId135" Type="http://schemas.openxmlformats.org/officeDocument/2006/relationships/hyperlink" Target="https://www.mba.org/forecasts-and-commentary" TargetMode="External"/><Relationship Id="rId137" Type="http://schemas.openxmlformats.org/officeDocument/2006/relationships/hyperlink" Target="https://www.mba.org/news-and-research/research-and-economics/single-family-research/mortgage-credit-availability-index-x241340" TargetMode="External"/><Relationship Id="rId93" Type="http://schemas.openxmlformats.org/officeDocument/2006/relationships/hyperlink" Target="https://www.mba.org/news-and-research/research-and-economics/single-family-research/national-delinquency-survey" TargetMode="External"/><Relationship Id="rId48" Type="http://schemas.openxmlformats.org/officeDocument/2006/relationships/hyperlink" Target="https://www.mba.org/news-and-research/research-and-economics/single-family-research/weekly-applications-survey" TargetMode="External"/><Relationship Id="rId60" Type="http://schemas.openxmlformats.org/officeDocument/2006/relationships/hyperlink" Target="https://www.mbslive.net/" TargetMode="External"/><Relationship Id="rId82" Type="http://schemas.openxmlformats.org/officeDocument/2006/relationships/hyperlink" Target="https://www.moodys.com/" TargetMode="External"/><Relationship Id="rId151" Type="http://schemas.openxmlformats.org/officeDocument/2006/relationships/hyperlink" Target="https://www.mortgagenewsdaily.com/" TargetMode="External"/><Relationship Id="rId59" Type="http://schemas.openxmlformats.org/officeDocument/2006/relationships/hyperlink" Target="https://www.mortgagenewsdaily.com/mbs" TargetMode="External"/><Relationship Id="rId46" Type="http://schemas.openxmlformats.org/officeDocument/2006/relationships/hyperlink" Target="https://www.mortgagenewsdaily.com/mortgage-rates/about" TargetMode="External"/><Relationship Id="rId45" Type="http://schemas.openxmlformats.org/officeDocument/2006/relationships/hyperlink" Target="https://www.mortgagenewsdaily.com/mortgage-rates/mnd" TargetMode="External"/><Relationship Id="rId128" Type="http://schemas.openxmlformats.org/officeDocument/2006/relationships/hyperlink" Target="https://www.nahb.org/news-and-economics/housing-economics/indices/housing-market-index" TargetMode="External"/><Relationship Id="rId123" Type="http://schemas.openxmlformats.org/officeDocument/2006/relationships/hyperlink" Target="https://www.nar.realtor/research-and-statistics/housing-statistics/existing-home-sales" TargetMode="External"/><Relationship Id="rId124" Type="http://schemas.openxmlformats.org/officeDocument/2006/relationships/hyperlink" Target="https://www.nar.realtor/research-and-statistics/housing-statistics/pending-home-sales" TargetMode="External"/><Relationship Id="rId149" Type="http://schemas.openxmlformats.org/officeDocument/2006/relationships/hyperlink" Target="https://www.nationalmortgagenews.com/" TargetMode="External"/><Relationship Id="rId21" Type="http://schemas.openxmlformats.org/officeDocument/2006/relationships/hyperlink" Target="https://www.newyorkfed.org/markets/reference-rates/sofr" TargetMode="External"/><Relationship Id="rId22" Type="http://schemas.openxmlformats.org/officeDocument/2006/relationships/hyperlink" Target="https://www.newyorkfed.org/markets/reference-rates/sofr-averages-and-index" TargetMode="External"/><Relationship Id="rId94" Type="http://schemas.openxmlformats.org/officeDocument/2006/relationships/hyperlink" Target="https://www.newyorkfed.org/microeconomics/hhdc" TargetMode="External"/><Relationship Id="rId87" Type="http://schemas.openxmlformats.org/officeDocument/2006/relationships/hyperlink" Target="https://www.prnewswire.com/" TargetMode="External"/><Relationship Id="rId129" Type="http://schemas.openxmlformats.org/officeDocument/2006/relationships/hyperlink" Target="https://www.realtor.com/research/data/" TargetMode="External"/><Relationship Id="rId116" Type="http://schemas.openxmlformats.org/officeDocument/2006/relationships/hyperlink" Target="https://www.recursionco.com/" TargetMode="External"/><Relationship Id="rId130" Type="http://schemas.openxmlformats.org/officeDocument/2006/relationships/hyperlink" Target="https://www.redfin.com/news/data-center/" TargetMode="External"/><Relationship Id="rId144" Type="http://schemas.openxmlformats.org/officeDocument/2006/relationships/hyperlink" Target="https://www.sca.isr.umich.edu/" TargetMode="External"/><Relationship Id="rId106" Type="http://schemas.openxmlformats.org/officeDocument/2006/relationships/hyperlink" Target="https://www.scotsmanguide.com/" TargetMode="External"/><Relationship Id="rId85" Type="http://schemas.openxmlformats.org/officeDocument/2006/relationships/hyperlink" Target="https://www.sec.gov/edgar/search/" TargetMode="External"/><Relationship Id="rId158" Type="http://schemas.openxmlformats.org/officeDocument/2006/relationships/hyperlink" Target="https://www.sifma.org/research/statistics/us-asset-backed-securities-statistics" TargetMode="External"/><Relationship Id="rId157" Type="http://schemas.openxmlformats.org/officeDocument/2006/relationships/hyperlink" Target="https://www.sifma.org/research/statistics/us-mortgage-backed-securities-statistics" TargetMode="External"/><Relationship Id="rId83" Type="http://schemas.openxmlformats.org/officeDocument/2006/relationships/hyperlink" Target="https://www.spglobal.com/ratings/en/" TargetMode="External"/><Relationship Id="rId118" Type="http://schemas.openxmlformats.org/officeDocument/2006/relationships/hyperlink" Target="https://www.spglobal.com/spdji/en/" TargetMode="External"/><Relationship Id="rId156" Type="http://schemas.openxmlformats.org/officeDocument/2006/relationships/hyperlink" Target="https://www.thedailyupside.com/" TargetMode="External"/><Relationship Id="rId58" Type="http://schemas.openxmlformats.org/officeDocument/2006/relationships/hyperlink" Target="https://www.tradeweb.com/" TargetMode="External"/><Relationship Id="rId18" Type="http://schemas.openxmlformats.org/officeDocument/2006/relationships/hyperlink" Target="https://www.treasurydirect.gov/auctions/upcoming/" TargetMode="External"/><Relationship Id="rId62" Type="http://schemas.openxmlformats.org/officeDocument/2006/relationships/hyperlink" Target="https://www.urban.org/tags/housing-finance-glance-monthly-chartbook" TargetMode="External"/><Relationship Id="rId34" Type="http://schemas.openxmlformats.org/officeDocument/2006/relationships/hyperlink" Target="https://www.wsj.com/" TargetMode="External"/><Relationship Id="rId17" Type="http://schemas.openxmlformats.org/officeDocument/2006/relationships/hyperlink" Target="https://www.wsj.com/market-data/bonds" TargetMode="External"/><Relationship Id="rId53" Type="http://schemas.openxmlformats.org/officeDocument/2006/relationships/hyperlink" Target="https://www.zillow.com/homeloans/mortgage-rates/" TargetMode="External"/><Relationship Id="rId121" Type="http://schemas.openxmlformats.org/officeDocument/2006/relationships/hyperlink" Target="https://www.zillow.com/research/data/" TargetMode="External"/><Relationship Id="rId51" Type="http://schemas.openxmlformats.org/officeDocument/2006/relationships/hyperlink" Target="https://www2.optimalblue.com/market-analytics/" TargetMode="External"/><Relationship Id="rId49" Type="http://schemas.openxmlformats.org/officeDocument/2006/relationships/hyperlink" Target="https://www2.optimalblue.com/obmmi" TargetMode="External"/><Relationship Id="rId33" Type="http://schemas.openxmlformats.org/officeDocument/2006/relationships/hyperlink" Target="https://x.com/NickTimira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Mortgage / RMBS Trader External Data Reference Guide</dc:title>
  <dc:creator/>
  <cp:keywords/>
  <dcterms:created xsi:type="dcterms:W3CDTF">2026-09-30T12:59:36Z</dcterms:created>
  <dcterms:modified xsi:type="dcterms:W3CDTF">2026-09-30T12:59:36Z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Prepared Sep 30, 2026 · Public/commercial external sources only.</vt:lpwstr>
  </property>
</Properties>
</file>