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Wildfire Public Health Guidance Content Analysis</w:t>
      </w:r>
    </w:p>
    <w:p>
      <w:pPr>
        <w:pStyle w:val="Author"/>
      </w:pPr>
      <w:r>
        <w:t xml:space="preserve">Spencer Lee</w:t>
      </w:r>
    </w:p>
    <w:p>
      <w:pPr>
        <w:pStyle w:val="Date"/>
      </w:pPr>
      <w:r>
        <w:t xml:space="preserve">2026-09-11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setup"/>
    <w:p>
      <w:pPr>
        <w:pStyle w:val="Heading1"/>
      </w:pPr>
      <w:r>
        <w:t xml:space="preserve">Setup</w:t>
      </w:r>
    </w:p>
    <w:p>
      <w:pPr>
        <w:pStyle w:val="FirstParagraph"/>
      </w:pPr>
      <w:r>
        <w:t xml:space="preserve">Load packages required for data import, cleaning, descriptive analysis, and assessment of inter-coder reliability.</w:t>
      </w:r>
    </w:p>
    <w:bookmarkEnd w:id="20"/>
    <w:bookmarkStart w:id="21" w:name="import-data"/>
    <w:p>
      <w:pPr>
        <w:pStyle w:val="Heading1"/>
      </w:pPr>
      <w:r>
        <w:t xml:space="preserve">Import Data</w:t>
      </w:r>
    </w:p>
    <w:p>
      <w:pPr>
        <w:pStyle w:val="FirstParagraph"/>
      </w:pPr>
      <w:r>
        <w:t xml:space="preserve">Import the independently coded datasets completed by SL and MB and the manually assessed free-text agreement dataset.</w:t>
      </w:r>
    </w:p>
    <w:bookmarkEnd w:id="21"/>
    <w:bookmarkStart w:id="23" w:name="data-preparation"/>
    <w:p>
      <w:pPr>
        <w:pStyle w:val="Heading1"/>
      </w:pPr>
      <w:r>
        <w:t xml:space="preserve">Data Preparation</w:t>
      </w:r>
    </w:p>
    <w:p>
      <w:pPr>
        <w:pStyle w:val="FirstParagraph"/>
      </w:pPr>
      <w:r>
        <w:t xml:space="preserve">Binary coding variables were standardized to</w:t>
      </w:r>
      <w:r>
        <w:t xml:space="preserve"> </w:t>
      </w:r>
      <w:r>
        <w:rPr>
          <w:rStyle w:val="VerbatimChar"/>
        </w:rPr>
        <w:t xml:space="preserve">1 = Yes</w:t>
      </w:r>
      <w:r>
        <w:t xml:space="preserve"> </w:t>
      </w:r>
      <w:r>
        <w:t xml:space="preserve">and</w:t>
      </w:r>
      <w:r>
        <w:t xml:space="preserve"> </w:t>
      </w:r>
      <w:r>
        <w:rPr>
          <w:rStyle w:val="VerbatimChar"/>
        </w:rPr>
        <w:t xml:space="preserve">0 = No</w:t>
      </w:r>
      <w:r>
        <w:t xml:space="preserve">. Free-text extraction fields and document metadata were excluded from the binary reliability analysis. Blank,</w:t>
      </w:r>
      <w:r>
        <w:t xml:space="preserve"> </w:t>
      </w:r>
      <w:r>
        <w:rPr>
          <w:rStyle w:val="VerbatimChar"/>
        </w:rPr>
        <w:t xml:space="preserve">NA</w:t>
      </w:r>
      <w:r>
        <w:t xml:space="preserve">,</w:t>
      </w:r>
      <w:r>
        <w:t xml:space="preserve"> </w:t>
      </w:r>
      <w:r>
        <w:rPr>
          <w:rStyle w:val="VerbatimChar"/>
        </w:rPr>
        <w:t xml:space="preserve">N/A</w:t>
      </w:r>
      <w:r>
        <w:t xml:space="preserve">, and placeholder</w:t>
      </w:r>
      <w:r>
        <w:t xml:space="preserve"> </w:t>
      </w:r>
      <w:r>
        <w:rPr>
          <w:rStyle w:val="VerbatimChar"/>
        </w:rPr>
        <w:t xml:space="preserve">0</w:t>
      </w:r>
      <w:r>
        <w:t xml:space="preserve"> </w:t>
      </w:r>
      <w:r>
        <w:t xml:space="preserve">values were treated as missing.</w:t>
      </w:r>
    </w:p>
    <w:bookmarkStart w:id="22" w:name="data-checks"/>
    <w:p>
      <w:pPr>
        <w:pStyle w:val="Heading2"/>
      </w:pPr>
      <w:r>
        <w:t xml:space="preserve">Data Checks</w:t>
      </w:r>
    </w:p>
    <w:p>
      <w:pPr>
        <w:pStyle w:val="FirstParagraph"/>
      </w:pPr>
      <w:r>
        <w:t xml:space="preserve">Confirm that the two coder datasets contain the same coding variables and assess whether document identifiers correspond across datasets.</w:t>
      </w:r>
    </w:p>
    <w:bookmarkEnd w:id="22"/>
    <w:bookmarkEnd w:id="23"/>
    <w:bookmarkStart w:id="28" w:name="inter-coder-reliability"/>
    <w:p>
      <w:pPr>
        <w:pStyle w:val="Heading1"/>
      </w:pPr>
      <w:r>
        <w:t xml:space="preserve">Inter-Coder Reliability</w:t>
      </w:r>
    </w:p>
    <w:p>
      <w:pPr>
        <w:pStyle w:val="FirstParagraph"/>
      </w:pPr>
      <w:r>
        <w:t xml:space="preserve">Inter-coder reliability between the two independent coders (SL and MB) was assessed using observed percent agreement and Krippendorff’s alpha. Krippendorff’s alpha was calculated at the nominal level for binary categorical coding variables.</w:t>
      </w:r>
    </w:p>
    <w:p>
      <w:pPr>
        <w:pStyle w:val="BodyText"/>
      </w:pPr>
      <w:r>
        <w:t xml:space="preserve">Consistent with the prespecified pilot protocol, the primary reliability assessment pooled eligible document-by-code decisions across all binary codes. An alpha of at least 0.80 was considered sufficient to proceed to the main coding phase.</w:t>
      </w:r>
    </w:p>
    <w:p>
      <w:pPr>
        <w:pStyle w:val="BodyText"/>
      </w:pPr>
      <w:r>
        <w:t xml:space="preserve">Variable-level reliability was examined as a secondary diagnostic analysis to identify individual codes associated with disagreement.</w:t>
      </w:r>
    </w:p>
    <w:bookmarkStart w:id="24" w:name="prepare-reliability-dataset"/>
    <w:p>
      <w:pPr>
        <w:pStyle w:val="Heading2"/>
      </w:pPr>
      <w:r>
        <w:t xml:space="preserve">Prepare Reliability Dataset</w:t>
      </w:r>
    </w:p>
    <w:bookmarkEnd w:id="24"/>
    <w:bookmarkStart w:id="25" w:name="overall-reliability"/>
    <w:p>
      <w:pPr>
        <w:pStyle w:val="Heading2"/>
      </w:pPr>
      <w:r>
        <w:t xml:space="preserve">Overall Reliability</w:t>
      </w:r>
    </w:p>
    <w:bookmarkEnd w:id="25"/>
    <w:bookmarkStart w:id="26" w:name="variable-level-reliability"/>
    <w:p>
      <w:pPr>
        <w:pStyle w:val="Heading2"/>
      </w:pPr>
      <w:r>
        <w:t xml:space="preserve">Variable-Level Reliability</w:t>
      </w:r>
    </w:p>
    <w:p>
      <w:pPr>
        <w:pStyle w:val="FirstParagraph"/>
      </w:pPr>
      <w:r>
        <w:t xml:space="preserve">For variables with no variation across coder ratings, Krippendorff’s alpha was considered not estimable. Percent agreement was nevertheless retained.</w:t>
      </w:r>
    </w:p>
    <w:bookmarkEnd w:id="26"/>
    <w:bookmarkStart w:id="27" w:name="summary-across-variables"/>
    <w:p>
      <w:pPr>
        <w:pStyle w:val="Heading2"/>
      </w:pPr>
      <w:r>
        <w:t xml:space="preserve">Summary Across Variables</w:t>
      </w:r>
    </w:p>
    <w:bookmarkEnd w:id="27"/>
    <w:bookmarkEnd w:id="28"/>
    <w:bookmarkStart w:id="32" w:name="free-text-reliability"/>
    <w:p>
      <w:pPr>
        <w:pStyle w:val="Heading1"/>
      </w:pPr>
      <w:r>
        <w:t xml:space="preserve">Free-Text Reliability</w:t>
      </w:r>
    </w:p>
    <w:p>
      <w:pPr>
        <w:pStyle w:val="FirstParagraph"/>
      </w:pPr>
      <w:r>
        <w:t xml:space="preserve">Free-text extraction fields were evaluated separately because independently extracted strings could differ lexically while conveying the same substantive information. Agreement was manually assessed based on substantive equivalence.</w:t>
      </w:r>
    </w:p>
    <w:p>
      <w:pPr>
        <w:pStyle w:val="BodyText"/>
      </w:pPr>
      <w:r>
        <w:t xml:space="preserve">Document-field pairs in which neither coder entered substantive text were excluded from the substantive agreement denominator.</w:t>
      </w:r>
    </w:p>
    <w:bookmarkStart w:id="29" w:name="manual-assessment-check"/>
    <w:p>
      <w:pPr>
        <w:pStyle w:val="Heading2"/>
      </w:pPr>
      <w:r>
        <w:t xml:space="preserve">Manual Assessment Check</w:t>
      </w:r>
    </w:p>
    <w:p>
      <w:pPr>
        <w:pStyle w:val="FirstParagraph"/>
      </w:pPr>
      <w:r>
        <w:t xml:space="preserve">All</w:t>
      </w:r>
      <w:r>
        <w:t xml:space="preserve"> </w:t>
      </w:r>
      <w:r>
        <w:rPr>
          <w:rStyle w:val="VerbatimChar"/>
        </w:rPr>
        <w:t xml:space="preserve">MANUAL_ASSESS</w:t>
      </w:r>
      <w:r>
        <w:t xml:space="preserve"> </w:t>
      </w:r>
      <w:r>
        <w:t xml:space="preserve">decisions should be resolved to</w:t>
      </w:r>
      <w:r>
        <w:t xml:space="preserve"> </w:t>
      </w:r>
      <w:r>
        <w:rPr>
          <w:rStyle w:val="VerbatimChar"/>
        </w:rPr>
        <w:t xml:space="preserve">YES</w:t>
      </w:r>
      <w:r>
        <w:t xml:space="preserve"> </w:t>
      </w:r>
      <w:r>
        <w:t xml:space="preserve">or</w:t>
      </w:r>
      <w:r>
        <w:t xml:space="preserve"> </w:t>
      </w:r>
      <w:r>
        <w:rPr>
          <w:rStyle w:val="VerbatimChar"/>
        </w:rPr>
        <w:t xml:space="preserve">NO</w:t>
      </w:r>
      <w:r>
        <w:t xml:space="preserve"> </w:t>
      </w:r>
      <w:r>
        <w:t xml:space="preserve">before final reliability results are reported.</w:t>
      </w:r>
    </w:p>
    <w:bookmarkEnd w:id="29"/>
    <w:bookmarkStart w:id="30" w:name="overall-free-text-agreement"/>
    <w:p>
      <w:pPr>
        <w:pStyle w:val="Heading2"/>
      </w:pPr>
      <w:r>
        <w:t xml:space="preserve">Overall Free-Text Agreement</w:t>
      </w:r>
    </w:p>
    <w:bookmarkEnd w:id="30"/>
    <w:bookmarkStart w:id="31" w:name="free-text-agreement-by-field"/>
    <w:p>
      <w:pPr>
        <w:pStyle w:val="Heading2"/>
      </w:pPr>
      <w:r>
        <w:t xml:space="preserve">Free-Text Agreement by Field</w:t>
      </w:r>
    </w:p>
    <w:bookmarkEnd w:id="31"/>
    <w:bookmarkEnd w:id="32"/>
    <w:bookmarkStart w:id="38" w:name="results"/>
    <w:p>
      <w:pPr>
        <w:pStyle w:val="Heading1"/>
      </w:pPr>
      <w:r>
        <w:t xml:space="preserve">Results</w:t>
      </w:r>
    </w:p>
    <w:bookmarkStart w:id="33" w:name="overall-inter-coder-reliability"/>
    <w:p>
      <w:pPr>
        <w:pStyle w:val="Heading2"/>
      </w:pPr>
      <w:r>
        <w:t xml:space="preserve">Overall Inter-Coder Reliability</w:t>
      </w:r>
    </w:p>
    <w:p>
      <w:pPr>
        <w:pStyle w:val="FirstParagraph"/>
      </w:pPr>
      <w:r>
        <w:t xml:space="preserve">The reliability analysis included</w:t>
      </w:r>
      <w:r>
        <w:t xml:space="preserve"> </w:t>
      </w:r>
      <w:r>
        <w:t xml:space="preserve">26 guidance documents and</w:t>
      </w:r>
      <w:r>
        <w:t xml:space="preserve"> </w:t>
      </w:r>
      <w:r>
        <w:t xml:space="preserve">4,158</w:t>
      </w:r>
      <w:r>
        <w:t xml:space="preserve"> </w:t>
      </w:r>
      <w:r>
        <w:t xml:space="preserve">eligible binary document-by-code decisions.</w:t>
      </w:r>
    </w:p>
    <w:p>
      <w:pPr>
        <w:pStyle w:val="BodyText"/>
      </w:pPr>
      <w:r>
        <w:t xml:space="preserve">Coders agreed on</w:t>
      </w:r>
      <w:r>
        <w:t xml:space="preserve"> </w:t>
      </w:r>
      <w:r>
        <w:t xml:space="preserve">4,120</w:t>
      </w:r>
      <w:r>
        <w:t xml:space="preserve"> </w:t>
      </w:r>
      <w:r>
        <w:t xml:space="preserve">coding decisions, corresponding to an overall observed agreement of</w:t>
      </w:r>
      <w:r>
        <w:t xml:space="preserve"> </w:t>
      </w:r>
      <w:r>
        <w:t xml:space="preserve">99.1%.</w:t>
      </w:r>
    </w:p>
    <w:p>
      <w:pPr>
        <w:pStyle w:val="BodyText"/>
      </w:pPr>
      <w:r>
        <w:t xml:space="preserve">Nominal Krippendorff’s alpha across all eligible binary coding decisions was</w:t>
      </w:r>
      <w:r>
        <w:t xml:space="preserve"> </w:t>
      </w:r>
      <w:r>
        <w:t xml:space="preserve">0.94.</w:t>
      </w:r>
      <w:r>
        <w:t xml:space="preserve"> </w:t>
      </w:r>
      <w:r>
        <w:t xml:space="preserve">The prespecified reliability threshold of alpha &gt;= 0.80 was</w:t>
      </w:r>
      <w:r>
        <w:t xml:space="preserve"> </w:t>
      </w:r>
      <w:r>
        <w:t xml:space="preserve">met.</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Overall Inter-Coder Reliability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Measure</w:t>
            </w:r>
          </w:p>
        </w:tc>
        <w:tc>
          <w:tcPr>
            <w:tcBorders>
              <w:top w:val="single" w:sz="16" w:space="0" w:color="D3D3D3"/>
              <w:bottom w:val="single" w:sz="16" w:space="0" w:color="D3D3D3"/>
              <w:end w:val="single" w:space="0" w:color="D3D3D3"/>
            </w:tcBorders>
          </w:tcPr>
          <w:p>
            <w:pPr>
              <w:spacing w:before="0" w:after="60"/>
              <w:keepNext/>
              <w:jc w:val="start"/>
            </w:pPr>
            <w:r>
              <w:rPr>
                <w:rFonts w:ascii="Calibri" w:hAnsi="Calibri"/>
                <w:sz w:val="20"/>
              </w:rPr>
              <w:t xml:space="default">Result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Documents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Eligible binary coding decisions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4,158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Agreements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4,120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Disagreements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Observed agreement</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99.1%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Krippendorff's alpha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Prespecified alpha &gt;= 0.80 threshold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Met</w:t>
            </w:r>
          </w:p>
        </w:tc>
      </w:tr>
    </w:tbl>
    <w:bookmarkEnd w:id="33"/>
    <w:bookmarkStart w:id="35" w:name="Xce4e14af98124e4a73d1f18c6d80dad55180ba1"/>
    <w:p>
      <w:pPr>
        <w:pStyle w:val="Heading2"/>
      </w:pPr>
      <w:r>
        <w:t xml:space="preserve">Reliability Across Individual Coding Variables</w:t>
      </w:r>
    </w:p>
    <w:p>
      <w:pPr>
        <w:pStyle w:val="FirstParagraph"/>
      </w:pPr>
      <w:r>
        <w:t xml:space="preserve">Across the</w:t>
      </w:r>
      <w:r>
        <w:t xml:space="preserve"> </w:t>
      </w:r>
      <w:r>
        <w:t xml:space="preserve">160</w:t>
      </w:r>
      <w:r>
        <w:t xml:space="preserve"> </w:t>
      </w:r>
      <w:r>
        <w:t xml:space="preserve">binary coding variables, Krippendorff’s alpha could be estimated for</w:t>
      </w:r>
      <w:r>
        <w:t xml:space="preserve"> </w:t>
      </w:r>
      <w:r>
        <w:t xml:space="preserve">60</w:t>
      </w:r>
      <w:r>
        <w:t xml:space="preserve"> </w:t>
      </w:r>
      <w:r>
        <w:t xml:space="preserve">variables. Alpha was not estimable for</w:t>
      </w:r>
      <w:r>
        <w:t xml:space="preserve"> </w:t>
      </w:r>
      <w:r>
        <w:t xml:space="preserve">100</w:t>
      </w:r>
      <w:r>
        <w:t xml:space="preserve"> </w:t>
      </w:r>
      <w:r>
        <w:t xml:space="preserve">variables because there was insufficient variation in coder ratings.</w:t>
      </w:r>
    </w:p>
    <w:p>
      <w:pPr>
        <w:pStyle w:val="BodyText"/>
      </w:pPr>
      <w:r>
        <w:t xml:space="preserve">Among variables for which alpha was estimable, the median Krippendorff’s alpha was</w:t>
      </w:r>
      <w:r>
        <w:t xml:space="preserve"> </w:t>
      </w:r>
      <w:r>
        <w:t xml:space="preserve">1.00</w:t>
      </w:r>
      <w:r>
        <w:t xml:space="preserve"> </w:t>
      </w:r>
      <w:r>
        <w:t xml:space="preserve">(IQR</w:t>
      </w:r>
      <w:r>
        <w:t xml:space="preserve"> </w:t>
      </w:r>
      <w:r>
        <w:t xml:space="preserve">0.89–</w:t>
      </w:r>
      <w:r>
        <w:t xml:space="preserve"> </w:t>
      </w:r>
      <w:r>
        <w:t xml:space="preserve">1.00).</w:t>
      </w:r>
    </w:p>
    <w:p>
      <w:pPr>
        <w:pStyle w:val="BodyText"/>
      </w:pPr>
      <w:r>
        <w:t xml:space="preserve">Of these,</w:t>
      </w:r>
      <w:r>
        <w:t xml:space="preserve"> </w:t>
      </w:r>
      <w:r>
        <w:t xml:space="preserve">49</w:t>
      </w:r>
      <w:r>
        <w:t xml:space="preserve"> </w:t>
      </w:r>
      <w:r>
        <w:t xml:space="preserve">had alpha &gt;= 0.80,</w:t>
      </w:r>
      <w:r>
        <w:t xml:space="preserve"> </w:t>
      </w:r>
      <w:r>
        <w:t xml:space="preserve">4</w:t>
      </w:r>
      <w:r>
        <w:t xml:space="preserve"> </w:t>
      </w:r>
      <w:r>
        <w:t xml:space="preserve">had alpha between 0.67 and 0.79, and</w:t>
      </w:r>
      <w:r>
        <w:t xml:space="preserve"> </w:t>
      </w:r>
      <w:r>
        <w:t xml:space="preserve">7</w:t>
      </w:r>
      <w:r>
        <w:t xml:space="preserve"> </w:t>
      </w:r>
      <w:r>
        <w:t xml:space="preserve">had alpha &lt; 0.67.</w:t>
      </w:r>
    </w:p>
    <w:bookmarkStart w:id="34" w:name="X1210eee714c5d360e51d5b208987d23aa547899"/>
    <w:p>
      <w:pPr>
        <w:pStyle w:val="Heading3"/>
      </w:pPr>
      <w:r>
        <w:t xml:space="preserve">Variables Below the Prespecified Reliability Threshold</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Coding variable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Agreements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Agreement (%)</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SL Yes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MB Yes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Krippendorff's alpha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burden_outdoor_other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benefits_HEPA_improves_other_non_health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burden_indoor_well_being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benefits_reduce_outdoor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burden_indoor_other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check_outdoor_AQ_crowdsource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benefits_DIY_improves_other_non_health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check_outdoor_AQ_govt_BC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outdoor_AQ_action_specified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other_health_action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benefits_HEPA_improves_air_quality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w:t>
            </w:r>
          </w:p>
        </w:tc>
      </w:tr>
    </w:tbl>
    <w:bookmarkEnd w:id="34"/>
    <w:bookmarkEnd w:id="35"/>
    <w:bookmarkStart w:id="37" w:name="free-text-agreement"/>
    <w:p>
      <w:pPr>
        <w:pStyle w:val="Heading2"/>
      </w:pPr>
      <w:r>
        <w:t xml:space="preserve">Free-Text Agreement</w:t>
      </w:r>
    </w:p>
    <w:p>
      <w:pPr>
        <w:pStyle w:val="FirstParagraph"/>
      </w:pPr>
      <w:r>
        <w:t xml:space="preserve">Among</w:t>
      </w:r>
      <w:r>
        <w:t xml:space="preserve"> </w:t>
      </w:r>
      <w:r>
        <w:t xml:space="preserve">29</w:t>
      </w:r>
      <w:r>
        <w:t xml:space="preserve"> </w:t>
      </w:r>
      <w:r>
        <w:t xml:space="preserve">document-field pairs in which at least one coder entered substantive free-text content,</w:t>
      </w:r>
      <w:r>
        <w:t xml:space="preserve"> </w:t>
      </w:r>
      <w:r>
        <w:t xml:space="preserve">the coders agreed on</w:t>
      </w:r>
      <w:r>
        <w:t xml:space="preserve"> </w:t>
      </w:r>
      <w:r>
        <w:t xml:space="preserve">26</w:t>
      </w:r>
      <w:r>
        <w:t xml:space="preserve"> </w:t>
      </w:r>
      <w:r>
        <w:t xml:space="preserve">and disagreed on</w:t>
      </w:r>
      <w:r>
        <w:t xml:space="preserve"> </w:t>
      </w:r>
      <w:r>
        <w:t xml:space="preserve">3,</w:t>
      </w:r>
      <w:r>
        <w:t xml:space="preserve"> </w:t>
      </w:r>
      <w:r>
        <w:t xml:space="preserve">corresponding to substantive agreement of</w:t>
      </w:r>
      <w:r>
        <w:t xml:space="preserve"> </w:t>
      </w:r>
      <w:r>
        <w:t xml:space="preserve">89.7%.</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Free-Text Substantive Agreement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Measure</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Result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Substantive comparisons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Agreements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Disagreements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Substantive agreement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89.7%</w:t>
            </w:r>
          </w:p>
        </w:tc>
      </w:tr>
    </w:tbl>
    <w:bookmarkStart w:id="36" w:name="agreement-by-free-text-field"/>
    <w:p>
      <w:pPr>
        <w:pStyle w:val="Heading3"/>
      </w:pPr>
      <w:r>
        <w:t xml:space="preserve">Agreement by Free-Text Field</w:t>
      </w:r>
    </w:p>
    <w:p>
      <w:pPr>
        <w:pStyle w:val="FirstParagraph"/>
      </w:pPr>
      <w:r>
        <w:t xml:space="preserve">Only fields containing at least one substantive comparison are shown.</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Free-text field</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Comparisons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Agreements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Disagreements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Agreement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other_health_action_txt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effectsize_HEPA_txt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effectsize_mask_txt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outdoor_AQ_action_txt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run_HVAC_filter_type_txt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r>
    </w:tbl>
    <w:bookmarkEnd w:id="36"/>
    <w:bookmarkEnd w:id="37"/>
    <w:bookmarkEnd w:id="38"/>
    <w:bookmarkStart w:id="39" w:name="supplementary-reliability-results"/>
    <w:p>
      <w:pPr>
        <w:pStyle w:val="Heading1"/>
      </w:pPr>
      <w:r>
        <w:t xml:space="preserve">Supplementary Reliability Results</w:t>
      </w:r>
    </w:p>
    <w:p>
      <w:pPr>
        <w:pStyle w:val="FirstParagraph"/>
      </w:pPr>
      <w:r>
        <w:t xml:space="preserve">The complete variable-level binary reliability results are provided below for diagnostic review.</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Coding variable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Agreements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Agreement (%)</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SL Yes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MB Yes</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Krippendorff's alpha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burden_outdoor_other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benefits_HEPA_improves_other_non_health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burden_indoor_well_being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benefits_reduce_outdoor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burden_indoor_other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check_outdoor_AQ_crowdsource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benefits_DIY_improves_other_non_health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check_outdoor_AQ_govt_BC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outdoor_AQ_action_specified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other_health_action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88.5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benefits_HEPA_improves_air_quality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check_outdoor_AQ_govt_ECCC</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run_HVAC_filter_specified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burden_indoor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run_HVAC_continuous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benefits_hepa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stay_indoors_doors_windows_closed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check_air_quality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use_air_cleaner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check_outdoor_AQ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use_HEPA_filter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reduce_outdoor_exercise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benefits_DIY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benefits_DIY_improves_air_quality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benefits_DIY_improves_other_health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benefits_HEPA_improves_lung_health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benefits_HEPA_improves_other_health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benefits_indoor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benefits_indoor_improves_air_quality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benefits_indoor_improves_other_health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burden_HEPA_noise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burden_HEPA_other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burden_HEPA_upfront_cost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burden_diy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burden_diy_other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burden_hepa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burden_mask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burden_mask_other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burden_mask_well_being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check_outdoor_AQ_govt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check_outdoor_AQ_govt_FireSmoke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check_outdoor_AQ_method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effectsize_HEPA_air_quality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effectsize_HEPA_present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effectsize_mask_present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effectsize_mask_reduce_exposure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filter_air_vehicle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monitor_indoor_AQ</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stay_indoors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target_audience_present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target_group_children_infants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target_group_pregnant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wear_mask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wear_mask_KN95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wear_mask_N95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wear_mask_against_specified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wear_mask_respirator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author_accreditation_present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author_additional_info_present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author_individual_level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author_names_present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benefits_DIY_improves_lung_health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benefits_indoor_improves_lung_health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benefits_indoor_improves_other_non_health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burden_HEPA_main_cost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burden_diy_main_cost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burden_diy_noise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burden_indoor_work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burden_mask_cost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burden_mask_work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burden_outdoor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burden_outdoor_well_being</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burden_outdoor_work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check_outdoor_AQ_IQair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check_outdoor_AQ_PurpleAir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dev_process_described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effectsize_DIY_air_quality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effectsize_DIY_lung_health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effectsize_DIY_other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effectsize_DIY_other_health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effectsize_DIY_present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effectsize_HEPA_lung_health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effectsize_HEPA_other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effectsize_HEPA_other_health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effectsize_burden_DIY_air_quality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effectsize_burden_DIY_lung_health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effectsize_burden_DIY_other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effectsize_burden_DIY_other_health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effectsize_burden_DIY_present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effectsize_burden_HEPA_air_quality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effectsize_burden_HEPA_lung_health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effectsize_burden_HEPA_other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effectsize_burden_HEPA_other_health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effectsize_burden_HEPA_present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effectsize_burden_mask_lung_health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effectsize_burden_mask_other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effectsize_burden_mask_other_health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effectsize_burden_mask_present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effectsize_burden_mask_reduce_exposure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effectsize_burden_other_action_present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effectsize_burden_reduce_exercise_lung_health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effectsize_burden_reduce_exercise_other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effectsize_burden_reduce_exercise_other_health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effectsize_burden_reduce_exercise_present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effectsize_burden_reduce_exercise_reduce_exposure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effectsize_burden_stay_indoors_lung_health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effectsize_burden_stay_indoors_other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effectsize_burden_stay_indoors_other_health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effectsize_burden_stay_indoors_present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effectsize_burden_stay_indoors_reduce_exposure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effectsize_mask_lung_health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effectsize_mask_other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effectsize_mask_other_health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effectsize_other_action_present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effectsize_reduce_exercise_lung_health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effectsize_reduce_exercise_other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effectsize_reduce_exercise_other_health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effectsize_reduce_exercise_present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effectsize_reduce_exercise_reduce_exposure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effectsize_stay_indoors_lung_health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effectsize_stay_indoors_other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effectsize_stay_indoors_other_health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effectsize_stay_indoors_present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effectsize_stay_indoors_reduce_exposure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evidence_quality_DIY</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evidence_quality_HEPA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evidence_quality_mask</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evidence_quality_other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evidence_quality_present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evidence_quality_reduce_exercise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evidence_quality_stay_indoors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guidance_goal_informs_decisions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guidance_goal_other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guidance_goal_present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guidance_goal_protect_health_general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guidance_goal_protect_health_other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guidance_goal_protect_lung_health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include_wfs_health_action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indoor_monitor_action_specified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indoor_monitor_type_specified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language_chinese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language_french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language_hindi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language_other_specified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language_punjabi</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language_spanish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multi_language_available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references_scientific_publications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target_audience_general_pop</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target_group_current_lung_disease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target_group_current_other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target_group_current_other_health</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target_group_older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wear_mask_other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wear_mask_surgical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NA</w:t>
            </w:r>
          </w:p>
        </w:tc>
      </w:tr>
    </w:tbl>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Wildfire Public Health Guidance Content Analysis</dc:title>
  <dc:creator>Spencer Lee</dc:creator>
  <cp:keywords/>
  <dcterms:created xsi:type="dcterms:W3CDTF">2026-09-11T23:38:01Z</dcterms:created>
  <dcterms:modified xsi:type="dcterms:W3CDTF">2026-09-11T23:38:01Z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2026-09-11</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