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FF081" w14:textId="77777777" w:rsidR="00732E46" w:rsidRDefault="00732E46">
      <w:pPr>
        <w:widowControl w:val="0"/>
        <w:pBdr>
          <w:top w:val="nil"/>
          <w:left w:val="nil"/>
          <w:bottom w:val="nil"/>
          <w:right w:val="nil"/>
          <w:between w:val="nil"/>
        </w:pBdr>
        <w:spacing w:line="276" w:lineRule="auto"/>
      </w:pPr>
      <w:bookmarkStart w:id="0" w:name="_Hlk72918270"/>
      <w:bookmarkEnd w:id="0"/>
    </w:p>
    <w:p w14:paraId="3B4C117A" w14:textId="77777777" w:rsidR="008E4F03" w:rsidRDefault="000F2C11" w:rsidP="00002FAF">
      <w:pPr>
        <w:pStyle w:val="Title"/>
        <w:framePr w:w="0" w:hSpace="0" w:vSpace="0" w:wrap="auto" w:vAnchor="margin" w:hAnchor="text" w:xAlign="left" w:yAlign="inline"/>
        <w:rPr>
          <w:rFonts w:ascii="Symbol" w:eastAsia="Symbol" w:hAnsi="Symbol" w:cs="Symbol"/>
          <w:color w:val="000000"/>
          <w:sz w:val="18"/>
          <w:szCs w:val="18"/>
        </w:rPr>
        <w:sectPr w:rsidR="008E4F03" w:rsidSect="008E4F03">
          <w:headerReference w:type="default" r:id="rId9"/>
          <w:footnotePr>
            <w:numFmt w:val="chicago"/>
          </w:footnotePr>
          <w:type w:val="continuous"/>
          <w:pgSz w:w="12240" w:h="15840"/>
          <w:pgMar w:top="1008" w:right="936" w:bottom="1008" w:left="936" w:header="432" w:footer="432" w:gutter="0"/>
          <w:pgNumType w:start="1"/>
          <w:cols w:num="2" w:space="720" w:equalWidth="0">
            <w:col w:w="5040" w:space="288"/>
            <w:col w:w="5040" w:space="0"/>
          </w:cols>
        </w:sectPr>
      </w:pPr>
      <w:r w:rsidRPr="004063A4">
        <w:rPr>
          <w:vanish/>
          <w:color w:val="000000"/>
          <w:sz w:val="18"/>
          <w:szCs w:val="18"/>
          <w:vertAlign w:val="superscript"/>
        </w:rPr>
        <w:footnoteReference w:id="1"/>
      </w:r>
    </w:p>
    <w:p w14:paraId="59AFAD81" w14:textId="29D5C820" w:rsidR="00002FAF" w:rsidRDefault="003C7FC9" w:rsidP="00002FAF">
      <w:pPr>
        <w:pStyle w:val="Title"/>
        <w:framePr w:w="0" w:hSpace="0" w:vSpace="0" w:wrap="auto" w:vAnchor="margin" w:hAnchor="text" w:xAlign="left" w:yAlign="inline"/>
      </w:pPr>
      <w:r>
        <w:t xml:space="preserve">Snazzy Title: </w:t>
      </w:r>
      <w:r w:rsidR="00F7780B">
        <w:t>Snazzy Subtitle</w:t>
      </w:r>
    </w:p>
    <w:p w14:paraId="47CA69F1" w14:textId="12055E41" w:rsidR="00732E46" w:rsidRDefault="00732E46">
      <w:pPr>
        <w:widowControl w:val="0"/>
        <w:pBdr>
          <w:top w:val="nil"/>
          <w:left w:val="nil"/>
          <w:bottom w:val="nil"/>
          <w:right w:val="nil"/>
          <w:between w:val="nil"/>
        </w:pBdr>
        <w:spacing w:line="252" w:lineRule="auto"/>
        <w:jc w:val="both"/>
        <w:rPr>
          <w:color w:val="000000"/>
          <w:sz w:val="18"/>
          <w:szCs w:val="18"/>
        </w:rPr>
      </w:pPr>
    </w:p>
    <w:p w14:paraId="66416825" w14:textId="2C2165E6" w:rsidR="00002FAF" w:rsidRPr="00B1380E" w:rsidRDefault="00E94F92" w:rsidP="00B1380E">
      <w:pPr>
        <w:pBdr>
          <w:top w:val="nil"/>
          <w:left w:val="nil"/>
          <w:bottom w:val="nil"/>
          <w:right w:val="nil"/>
          <w:between w:val="nil"/>
        </w:pBdr>
        <w:spacing w:after="320"/>
        <w:jc w:val="center"/>
        <w:rPr>
          <w:color w:val="000000"/>
          <w:sz w:val="22"/>
          <w:szCs w:val="22"/>
        </w:rPr>
        <w:sectPr w:rsidR="00002FAF" w:rsidRPr="00B1380E" w:rsidSect="00002FAF">
          <w:type w:val="continuous"/>
          <w:pgSz w:w="12240" w:h="15840"/>
          <w:pgMar w:top="1008" w:right="936" w:bottom="1008" w:left="936" w:header="432" w:footer="432" w:gutter="0"/>
          <w:pgNumType w:start="1"/>
          <w:cols w:space="288"/>
        </w:sectPr>
      </w:pPr>
      <w:bookmarkStart w:id="1" w:name="_heading=h.gjdgxs" w:colFirst="0" w:colLast="0"/>
      <w:bookmarkEnd w:id="1"/>
      <w:r>
        <w:rPr>
          <w:color w:val="000000"/>
          <w:sz w:val="22"/>
          <w:szCs w:val="22"/>
        </w:rPr>
        <w:t>T</w:t>
      </w:r>
      <w:r w:rsidR="00B1380E">
        <w:rPr>
          <w:color w:val="000000"/>
          <w:sz w:val="22"/>
          <w:szCs w:val="22"/>
        </w:rPr>
        <w:t>yler</w:t>
      </w:r>
      <w:r>
        <w:rPr>
          <w:color w:val="000000"/>
          <w:sz w:val="22"/>
          <w:szCs w:val="22"/>
        </w:rPr>
        <w:t xml:space="preserve"> Davidson</w:t>
      </w:r>
      <w:r w:rsidR="000F2C11">
        <w:rPr>
          <w:color w:val="000000"/>
          <w:sz w:val="22"/>
          <w:szCs w:val="22"/>
        </w:rPr>
        <w:t xml:space="preserve">, </w:t>
      </w:r>
      <w:r w:rsidR="007212B5">
        <w:rPr>
          <w:color w:val="000000"/>
          <w:sz w:val="22"/>
          <w:szCs w:val="22"/>
        </w:rPr>
        <w:t>S</w:t>
      </w:r>
      <w:r w:rsidR="00B1380E">
        <w:rPr>
          <w:color w:val="000000"/>
          <w:sz w:val="22"/>
          <w:szCs w:val="22"/>
        </w:rPr>
        <w:t>pencer</w:t>
      </w:r>
      <w:r w:rsidR="007212B5">
        <w:rPr>
          <w:color w:val="000000"/>
          <w:sz w:val="22"/>
          <w:szCs w:val="22"/>
        </w:rPr>
        <w:t xml:space="preserve"> Egan</w:t>
      </w:r>
      <w:r w:rsidR="000F2C11">
        <w:rPr>
          <w:color w:val="000000"/>
          <w:sz w:val="22"/>
          <w:szCs w:val="22"/>
        </w:rPr>
        <w:t xml:space="preserve">, </w:t>
      </w:r>
      <w:r w:rsidR="00B1380E">
        <w:rPr>
          <w:color w:val="000000"/>
          <w:sz w:val="22"/>
          <w:szCs w:val="22"/>
        </w:rPr>
        <w:t>Aldo Jefferson, Frank Waggoner</w:t>
      </w:r>
    </w:p>
    <w:p w14:paraId="4430B388" w14:textId="342C73BC" w:rsidR="00732E46" w:rsidRDefault="000F2C11">
      <w:pPr>
        <w:pBdr>
          <w:top w:val="nil"/>
          <w:left w:val="nil"/>
          <w:bottom w:val="nil"/>
          <w:right w:val="nil"/>
          <w:between w:val="nil"/>
        </w:pBdr>
        <w:spacing w:before="20"/>
        <w:ind w:firstLine="202"/>
        <w:jc w:val="both"/>
        <w:rPr>
          <w:b/>
          <w:color w:val="000000"/>
          <w:sz w:val="18"/>
          <w:szCs w:val="18"/>
        </w:rPr>
      </w:pPr>
      <w:r>
        <w:rPr>
          <w:b/>
          <w:i/>
          <w:color w:val="000000"/>
          <w:sz w:val="18"/>
          <w:szCs w:val="18"/>
        </w:rPr>
        <w:t>Abstract</w:t>
      </w:r>
      <w:r>
        <w:rPr>
          <w:b/>
          <w:color w:val="000000"/>
          <w:sz w:val="18"/>
          <w:szCs w:val="18"/>
        </w:rPr>
        <w:t>—</w:t>
      </w:r>
      <w:r w:rsidR="00A071DD" w:rsidRPr="00A071DD">
        <w:rPr>
          <w:b/>
          <w:sz w:val="18"/>
          <w:szCs w:val="18"/>
        </w:rPr>
        <w:t>Energy system planning and modeling is a critical step in designing power systems that operate safely and reliably for electricity consumers. The need for developing accurate plans is even more important when considering that many federal, state, and local governments have set aggressive goals for transitioning to high-</w:t>
      </w:r>
      <w:r w:rsidR="009C1AF6" w:rsidRPr="00A071DD">
        <w:rPr>
          <w:b/>
          <w:sz w:val="18"/>
          <w:szCs w:val="18"/>
        </w:rPr>
        <w:t>penetration renewable</w:t>
      </w:r>
      <w:r w:rsidR="00A071DD" w:rsidRPr="00A071DD">
        <w:rPr>
          <w:b/>
          <w:sz w:val="18"/>
          <w:szCs w:val="18"/>
        </w:rPr>
        <w:t xml:space="preserve"> energy systems over the next 30 years. Thus, there exists the need to create high fidelity models for power system transitions that take into account resource availability, grid stability, and system cost, amongst other factors. There are several challenges that must be addressed when considering what a 100% renewable energy system will look like. These include the intermittent nature of wind and solar power, operator regulations that require certain levels of load carrying capability, daily and seasonal changes in load, and predicted changes to the load itself over time. The following report presents a plan for a 100% renewable energy system for the City of San Diego that aims to estimate what generator capacities will be required to meet demand and what costs will be associated with such a system. It also addresses ancillary services and utility rate structures.</w:t>
      </w:r>
    </w:p>
    <w:p w14:paraId="1B643D01" w14:textId="77777777" w:rsidR="00732E46" w:rsidRDefault="00732E46"/>
    <w:p w14:paraId="5D351EFE" w14:textId="2243F83C" w:rsidR="00732E46" w:rsidRDefault="000F2C11" w:rsidP="004063A4">
      <w:pPr>
        <w:pBdr>
          <w:top w:val="nil"/>
          <w:left w:val="nil"/>
          <w:bottom w:val="nil"/>
          <w:right w:val="nil"/>
          <w:between w:val="nil"/>
        </w:pBdr>
        <w:ind w:firstLine="202"/>
        <w:jc w:val="both"/>
      </w:pPr>
      <w:bookmarkStart w:id="2" w:name="bookmark=id.30j0zll" w:colFirst="0" w:colLast="0"/>
      <w:bookmarkEnd w:id="2"/>
      <w:r>
        <w:rPr>
          <w:b/>
          <w:i/>
          <w:color w:val="000000"/>
          <w:sz w:val="18"/>
          <w:szCs w:val="18"/>
        </w:rPr>
        <w:t>Index Terms</w:t>
      </w:r>
      <w:r>
        <w:rPr>
          <w:b/>
          <w:color w:val="000000"/>
          <w:sz w:val="18"/>
          <w:szCs w:val="18"/>
        </w:rPr>
        <w:t>—</w:t>
      </w:r>
      <w:r w:rsidR="00855783" w:rsidRPr="00855783">
        <w:rPr>
          <w:b/>
          <w:color w:val="000000"/>
          <w:sz w:val="18"/>
          <w:szCs w:val="18"/>
        </w:rPr>
        <w:t>Battery Storage, Capacity Expansion Modeling, Demand Response, Effective Load Carrying Capability, Electric Vehicles, Energy Modeling, Geothermal Energy, Renewable Energy, Reserve Margins, Residential Solar, Resource Adequacy, Solar Energy, Time-of-Use Utility Rates, Wind Energy.</w:t>
      </w:r>
    </w:p>
    <w:p w14:paraId="59F2D0B6" w14:textId="11E53DD7" w:rsidR="00732E46" w:rsidRDefault="00DB3364" w:rsidP="00DB3364">
      <w:pPr>
        <w:pStyle w:val="Heading1"/>
      </w:pPr>
      <w:r>
        <w:t xml:space="preserve">I. </w:t>
      </w:r>
      <w:r w:rsidR="000F2C11">
        <w:t>I</w:t>
      </w:r>
      <w:r w:rsidR="000F2C11">
        <w:rPr>
          <w:sz w:val="16"/>
          <w:szCs w:val="16"/>
        </w:rPr>
        <w:t>NTRODUCTION</w:t>
      </w:r>
    </w:p>
    <w:p w14:paraId="43794709" w14:textId="72D8734C" w:rsidR="004063A4" w:rsidRPr="004063A4" w:rsidRDefault="00F7780B" w:rsidP="004063A4">
      <w:pPr>
        <w:keepNext/>
        <w:framePr w:dropCap="drop" w:lines="3" w:wrap="around" w:vAnchor="text" w:hAnchor="text"/>
        <w:pBdr>
          <w:top w:val="nil"/>
          <w:left w:val="nil"/>
        </w:pBdr>
        <w:spacing w:line="724" w:lineRule="exact"/>
        <w:jc w:val="both"/>
        <w:textAlignment w:val="baseline"/>
        <w:rPr>
          <w:smallCaps/>
          <w:color w:val="000000"/>
          <w:position w:val="-9"/>
          <w:sz w:val="97"/>
        </w:rPr>
      </w:pPr>
      <w:r>
        <w:rPr>
          <w:smallCaps/>
          <w:color w:val="000000"/>
          <w:position w:val="-9"/>
          <w:sz w:val="97"/>
        </w:rPr>
        <w:t>E</w:t>
      </w:r>
    </w:p>
    <w:p w14:paraId="2175D894" w14:textId="77777777" w:rsidR="00023C10" w:rsidRDefault="00643BB5" w:rsidP="001C0A09">
      <w:pPr>
        <w:widowControl w:val="0"/>
        <w:pBdr>
          <w:top w:val="nil"/>
          <w:left w:val="nil"/>
          <w:bottom w:val="nil"/>
          <w:right w:val="nil"/>
          <w:between w:val="nil"/>
        </w:pBdr>
        <w:spacing w:line="252" w:lineRule="auto"/>
        <w:jc w:val="both"/>
        <w:rPr>
          <w:color w:val="000000"/>
        </w:rPr>
      </w:pPr>
      <w:r>
        <w:rPr>
          <w:smallCaps/>
          <w:color w:val="000000"/>
        </w:rPr>
        <w:t>n</w:t>
      </w:r>
      <w:r w:rsidR="00F7780B">
        <w:rPr>
          <w:smallCaps/>
          <w:color w:val="000000"/>
        </w:rPr>
        <w:t>ergy</w:t>
      </w:r>
      <w:r w:rsidR="000F2C11">
        <w:rPr>
          <w:color w:val="000000"/>
        </w:rPr>
        <w:t xml:space="preserve"> </w:t>
      </w:r>
      <w:r w:rsidR="00F7780B" w:rsidRPr="00F7780B">
        <w:rPr>
          <w:color w:val="000000"/>
        </w:rPr>
        <w:t>systems are expensive, high impact assets that are relevant to nearly every aspect of day-to-day life. As the world continues to rely more on renewable energy resources, there will follow a growing need to build accurate system models that ensure capital investments are worthwhile and provide long-term stability and reliability to power grids. Energy systems are also multifaceted and can take many forms depending on the objective and of the system and the load they serve.</w:t>
      </w:r>
    </w:p>
    <w:p w14:paraId="272D3D0F" w14:textId="71DF6014" w:rsidR="00F7780B" w:rsidRPr="00F7780B" w:rsidRDefault="00F7780B" w:rsidP="00023C10">
      <w:pPr>
        <w:widowControl w:val="0"/>
        <w:pBdr>
          <w:top w:val="nil"/>
          <w:left w:val="nil"/>
          <w:bottom w:val="nil"/>
          <w:right w:val="nil"/>
          <w:between w:val="nil"/>
        </w:pBdr>
        <w:spacing w:line="252" w:lineRule="auto"/>
        <w:ind w:firstLine="720"/>
        <w:jc w:val="both"/>
        <w:rPr>
          <w:color w:val="000000"/>
        </w:rPr>
      </w:pPr>
      <w:r w:rsidRPr="00F7780B">
        <w:rPr>
          <w:color w:val="000000"/>
        </w:rPr>
        <w:t xml:space="preserve">The goals of this project were to create an energy plan for a 100% renewable energy system that is able to serve a provided load at the lowest cost while maintaining grid reliability. The load provided was time-synchronous, so a secondary objective was to build a time-synchronous model that addressed these goals at each timestep for which there was load data. A scaled down load profile of San Diego Gas and Electric (SDG&amp;E) at 5-minute intervals was the primary model input. The load profile was from 2012 so weather data from the same year was used to model weather-dependent generators like wind power and solar photovoltaics (PV).  The geographic area in question was constrained to the municipal borders of the City of San Diego and land within 50 miles of those borders in any direction. Only renewable energy generation technologies </w:t>
      </w:r>
      <w:r w:rsidRPr="00F7780B">
        <w:rPr>
          <w:color w:val="000000"/>
        </w:rPr>
        <w:t>were considered. A “renewable” energy source was defined as a resource that occurs naturally or would naturally replenish itself with time. This included: wind energy, solar energy, hydroelectric energy and geothermal energy. Storage technologies such as lithium ion batteries and pumped-hydro storage were also considered renewable if they were charged using a renewable technology. It was also assumed that the power system would utilize existing transmission lines with the only cost incurred being spur costs. The theoretical completion year for the energy system was 2025. It was assumed that there would be no lead times on construction and capital costs of generators would reflect projected prices for 2025. It was also assumed that if any existing generating plants were to be utilized, they would be built brand-new and therefore be subject to full capital cost. ICTs were applied to solar, wind, and geothermal generator costs based on actual federal credit rates in 2022.</w:t>
      </w:r>
    </w:p>
    <w:p w14:paraId="4FF6E300" w14:textId="0D8C39C0" w:rsidR="00643BB5" w:rsidRDefault="00F7780B" w:rsidP="00F7780B">
      <w:pPr>
        <w:widowControl w:val="0"/>
        <w:pBdr>
          <w:top w:val="nil"/>
          <w:left w:val="nil"/>
          <w:bottom w:val="nil"/>
          <w:right w:val="nil"/>
          <w:between w:val="nil"/>
        </w:pBdr>
        <w:spacing w:line="252" w:lineRule="auto"/>
        <w:jc w:val="both"/>
        <w:rPr>
          <w:color w:val="000000"/>
        </w:rPr>
      </w:pPr>
      <w:r w:rsidRPr="00F7780B">
        <w:rPr>
          <w:color w:val="000000"/>
        </w:rPr>
        <w:tab/>
        <w:t>To build an accurate model, data on existing conditions was gathered to determine what capacity of renewable energy was already available. Plants in operation, plants under construction, and plants in the planning phase were all considered. Solar and wind resource availability data was gathered based on the locations of existing generator plants. Models of each generator type were created to generate output profiles based on 2012 resource data. Requirements for system generators beyond serving the provided load were also considered. These included projecting changes to load based on EV and residential solar adoption, resource adequacy requirements, n-1 contingency, and reserve margins. Cost data associated with each generator and storage technology was gathered and included capital, fixed O&amp;M, and variable O&amp;M costs. All of the data collected was configured as inputs to a capacity expansion model. The model was run and used to determine the most cost effective total capacity mix, generation mix at each timestep, and total project costs. Finally, a utility rate structure was constructed.</w:t>
      </w:r>
      <w:r w:rsidR="009E6B81">
        <w:rPr>
          <w:color w:val="000000"/>
        </w:rPr>
        <w:t xml:space="preserve"> </w:t>
      </w:r>
    </w:p>
    <w:p w14:paraId="17F70C16" w14:textId="30323E7B" w:rsidR="00732E46" w:rsidRDefault="00732E46">
      <w:pPr>
        <w:widowControl w:val="0"/>
        <w:pBdr>
          <w:top w:val="nil"/>
          <w:left w:val="nil"/>
          <w:bottom w:val="nil"/>
          <w:right w:val="nil"/>
          <w:between w:val="nil"/>
        </w:pBdr>
        <w:spacing w:line="252" w:lineRule="auto"/>
        <w:ind w:firstLine="202"/>
        <w:jc w:val="both"/>
        <w:rPr>
          <w:color w:val="000000"/>
        </w:rPr>
      </w:pPr>
    </w:p>
    <w:p w14:paraId="7B97602F" w14:textId="7B4109DD" w:rsidR="00732E46" w:rsidRDefault="00DB3364" w:rsidP="00DB3364">
      <w:pPr>
        <w:pStyle w:val="Heading1"/>
      </w:pPr>
      <w:r>
        <w:t xml:space="preserve">II. </w:t>
      </w:r>
      <w:r w:rsidR="00015024">
        <w:t>Existing Conditions</w:t>
      </w:r>
    </w:p>
    <w:p w14:paraId="534A61AA" w14:textId="6F59193C" w:rsidR="00732E46" w:rsidRDefault="006128AD">
      <w:pPr>
        <w:widowControl w:val="0"/>
        <w:pBdr>
          <w:top w:val="nil"/>
          <w:left w:val="nil"/>
          <w:bottom w:val="nil"/>
          <w:right w:val="nil"/>
          <w:between w:val="nil"/>
        </w:pBdr>
        <w:spacing w:line="252" w:lineRule="auto"/>
        <w:ind w:firstLine="202"/>
        <w:jc w:val="both"/>
        <w:rPr>
          <w:color w:val="000000"/>
        </w:rPr>
      </w:pPr>
      <w:r w:rsidRPr="006128AD">
        <w:rPr>
          <w:color w:val="000000"/>
        </w:rPr>
        <w:t xml:space="preserve">To begin with existing conditions, data gathering the information for current generators within a fifty mile radius of San Diego County was found using the EIA (Energy Information Administration) interactive map [1](Citation). This interactive tool has information for all types of generators within a user defined area. Using the filter tool to display only renewable energy and transmission lines within the limits initially given by project requirements yielded the following </w:t>
      </w:r>
      <w:r w:rsidRPr="006128AD">
        <w:rPr>
          <w:color w:val="000000"/>
        </w:rPr>
        <w:lastRenderedPageBreak/>
        <w:t>map:</w:t>
      </w:r>
    </w:p>
    <w:p w14:paraId="4829F58D" w14:textId="1B07B97E" w:rsidR="006128AD" w:rsidRDefault="006128AD" w:rsidP="006128AD">
      <w:pPr>
        <w:widowControl w:val="0"/>
        <w:pBdr>
          <w:top w:val="nil"/>
          <w:left w:val="nil"/>
          <w:bottom w:val="nil"/>
          <w:right w:val="nil"/>
          <w:between w:val="nil"/>
        </w:pBdr>
        <w:spacing w:line="252" w:lineRule="auto"/>
        <w:ind w:firstLine="202"/>
        <w:jc w:val="center"/>
      </w:pPr>
      <w:r>
        <w:rPr>
          <w:rFonts w:ascii="Arial" w:hAnsi="Arial" w:cs="Arial"/>
          <w:noProof/>
          <w:color w:val="000000"/>
          <w:bdr w:val="none" w:sz="0" w:space="0" w:color="auto" w:frame="1"/>
        </w:rPr>
        <w:drawing>
          <wp:inline distT="0" distB="0" distL="0" distR="0" wp14:anchorId="63A4C36A" wp14:editId="1155937C">
            <wp:extent cx="3063240" cy="1729105"/>
            <wp:effectExtent l="0" t="0" r="3810" b="4445"/>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63240" cy="1729105"/>
                    </a:xfrm>
                    <a:prstGeom prst="rect">
                      <a:avLst/>
                    </a:prstGeom>
                    <a:noFill/>
                    <a:ln>
                      <a:noFill/>
                    </a:ln>
                  </pic:spPr>
                </pic:pic>
              </a:graphicData>
            </a:graphic>
          </wp:inline>
        </w:drawing>
      </w:r>
    </w:p>
    <w:p w14:paraId="1263C827" w14:textId="59A2AA0D" w:rsidR="006128AD" w:rsidRPr="00556A7E" w:rsidRDefault="00556A7E" w:rsidP="006128AD">
      <w:pPr>
        <w:widowControl w:val="0"/>
        <w:pBdr>
          <w:top w:val="nil"/>
          <w:left w:val="nil"/>
          <w:bottom w:val="nil"/>
          <w:right w:val="nil"/>
          <w:between w:val="nil"/>
        </w:pBdr>
        <w:spacing w:line="252" w:lineRule="auto"/>
        <w:ind w:firstLine="202"/>
        <w:jc w:val="center"/>
      </w:pPr>
      <w:r w:rsidRPr="00556A7E">
        <w:rPr>
          <w:i/>
          <w:iCs/>
        </w:rPr>
        <w:t>Fig XX: EIA map with filters for renewable energy generators and transmission lines</w:t>
      </w:r>
    </w:p>
    <w:p w14:paraId="6BE76E8F" w14:textId="77777777" w:rsidR="009174E9" w:rsidRDefault="009174E9" w:rsidP="0096199E">
      <w:pPr>
        <w:widowControl w:val="0"/>
        <w:pBdr>
          <w:top w:val="nil"/>
          <w:left w:val="nil"/>
          <w:bottom w:val="nil"/>
          <w:right w:val="nil"/>
          <w:between w:val="nil"/>
        </w:pBdr>
        <w:spacing w:line="252" w:lineRule="auto"/>
        <w:ind w:firstLine="144"/>
        <w:jc w:val="both"/>
        <w:rPr>
          <w:color w:val="000000"/>
        </w:rPr>
      </w:pPr>
    </w:p>
    <w:p w14:paraId="3EB8FD4C" w14:textId="061B1D74" w:rsidR="00732E46" w:rsidRDefault="009174E9" w:rsidP="0096199E">
      <w:pPr>
        <w:widowControl w:val="0"/>
        <w:pBdr>
          <w:top w:val="nil"/>
          <w:left w:val="nil"/>
          <w:bottom w:val="nil"/>
          <w:right w:val="nil"/>
          <w:between w:val="nil"/>
        </w:pBdr>
        <w:spacing w:line="252" w:lineRule="auto"/>
        <w:ind w:firstLine="144"/>
        <w:jc w:val="both"/>
        <w:rPr>
          <w:color w:val="000000"/>
        </w:rPr>
      </w:pPr>
      <w:r w:rsidRPr="009174E9">
        <w:rPr>
          <w:color w:val="000000"/>
        </w:rPr>
        <w:t>During our research we found details such as generating capacity and we broke down this capacity by generator type to derive total generating capacity of assets in the area. Using reasonable assumptions for omitting pilot projects the following table shows each total generating capacity per technology.</w:t>
      </w:r>
    </w:p>
    <w:p w14:paraId="5945B099" w14:textId="7947035A" w:rsidR="009174E9" w:rsidRDefault="009174E9" w:rsidP="009174E9">
      <w:pPr>
        <w:widowControl w:val="0"/>
        <w:pBdr>
          <w:top w:val="nil"/>
          <w:left w:val="nil"/>
          <w:bottom w:val="nil"/>
          <w:right w:val="nil"/>
          <w:between w:val="nil"/>
        </w:pBdr>
        <w:spacing w:line="252" w:lineRule="auto"/>
        <w:ind w:firstLine="144"/>
        <w:jc w:val="center"/>
        <w:rPr>
          <w:color w:val="000000"/>
        </w:rPr>
      </w:pPr>
    </w:p>
    <w:p w14:paraId="34589ED7" w14:textId="16D7C243" w:rsidR="00DE334B" w:rsidRDefault="00DE334B" w:rsidP="009174E9">
      <w:pPr>
        <w:widowControl w:val="0"/>
        <w:pBdr>
          <w:top w:val="nil"/>
          <w:left w:val="nil"/>
          <w:bottom w:val="nil"/>
          <w:right w:val="nil"/>
          <w:between w:val="nil"/>
        </w:pBdr>
        <w:spacing w:line="252" w:lineRule="auto"/>
        <w:ind w:firstLine="144"/>
        <w:jc w:val="center"/>
        <w:rPr>
          <w:color w:val="000000"/>
        </w:rPr>
      </w:pPr>
      <w:r>
        <w:rPr>
          <w:rFonts w:ascii="Arial" w:hAnsi="Arial" w:cs="Arial"/>
          <w:noProof/>
          <w:color w:val="000000"/>
          <w:bdr w:val="none" w:sz="0" w:space="0" w:color="auto" w:frame="1"/>
        </w:rPr>
        <w:drawing>
          <wp:inline distT="0" distB="0" distL="0" distR="0" wp14:anchorId="0B8A937B" wp14:editId="35444354">
            <wp:extent cx="3063240" cy="778510"/>
            <wp:effectExtent l="0" t="0" r="3810" b="254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3240" cy="778510"/>
                    </a:xfrm>
                    <a:prstGeom prst="rect">
                      <a:avLst/>
                    </a:prstGeom>
                    <a:noFill/>
                    <a:ln>
                      <a:noFill/>
                    </a:ln>
                  </pic:spPr>
                </pic:pic>
              </a:graphicData>
            </a:graphic>
          </wp:inline>
        </w:drawing>
      </w:r>
    </w:p>
    <w:p w14:paraId="6E444886" w14:textId="573A21E8" w:rsidR="00DE334B" w:rsidRDefault="00DE334B" w:rsidP="009174E9">
      <w:pPr>
        <w:widowControl w:val="0"/>
        <w:pBdr>
          <w:top w:val="nil"/>
          <w:left w:val="nil"/>
          <w:bottom w:val="nil"/>
          <w:right w:val="nil"/>
          <w:between w:val="nil"/>
        </w:pBdr>
        <w:spacing w:line="252" w:lineRule="auto"/>
        <w:ind w:firstLine="144"/>
        <w:jc w:val="center"/>
        <w:rPr>
          <w:color w:val="000000"/>
        </w:rPr>
      </w:pPr>
      <w:r w:rsidRPr="00DE334B">
        <w:rPr>
          <w:color w:val="000000"/>
        </w:rPr>
        <w:t>Table XX: Breakdown of generating assets by resource type</w:t>
      </w:r>
    </w:p>
    <w:p w14:paraId="6C33A070" w14:textId="139EDCC1" w:rsidR="00DE334B" w:rsidRDefault="00DE334B" w:rsidP="009174E9">
      <w:pPr>
        <w:widowControl w:val="0"/>
        <w:pBdr>
          <w:top w:val="nil"/>
          <w:left w:val="nil"/>
          <w:bottom w:val="nil"/>
          <w:right w:val="nil"/>
          <w:between w:val="nil"/>
        </w:pBdr>
        <w:spacing w:line="252" w:lineRule="auto"/>
        <w:ind w:firstLine="144"/>
        <w:jc w:val="center"/>
        <w:rPr>
          <w:color w:val="000000"/>
        </w:rPr>
      </w:pPr>
    </w:p>
    <w:p w14:paraId="50879986" w14:textId="7775B806" w:rsidR="00DE334B" w:rsidRDefault="005F74EB" w:rsidP="00DE334B">
      <w:pPr>
        <w:widowControl w:val="0"/>
        <w:pBdr>
          <w:top w:val="nil"/>
          <w:left w:val="nil"/>
          <w:bottom w:val="nil"/>
          <w:right w:val="nil"/>
          <w:between w:val="nil"/>
        </w:pBdr>
        <w:spacing w:line="252" w:lineRule="auto"/>
        <w:ind w:firstLine="144"/>
        <w:jc w:val="both"/>
        <w:rPr>
          <w:color w:val="000000"/>
        </w:rPr>
      </w:pPr>
      <w:r w:rsidRPr="005F74EB">
        <w:rPr>
          <w:color w:val="000000"/>
        </w:rPr>
        <w:t xml:space="preserve">The EIA database also contains information for each generating station monthly production data. Finding existing monthly data from each facility would be a valuable resource to have to be able to compare with </w:t>
      </w:r>
      <w:proofErr w:type="spellStart"/>
      <w:r w:rsidRPr="005F74EB">
        <w:rPr>
          <w:color w:val="000000"/>
        </w:rPr>
        <w:t>GenX</w:t>
      </w:r>
      <w:proofErr w:type="spellEnd"/>
      <w:r w:rsidRPr="005F74EB">
        <w:rPr>
          <w:color w:val="000000"/>
        </w:rPr>
        <w:t xml:space="preserve"> model to be able to determine accuracy of model predictions compared to existing generation data for each technology. The generating year selected was 2012 as it was the same year that weather data for </w:t>
      </w:r>
      <w:proofErr w:type="spellStart"/>
      <w:r w:rsidRPr="005F74EB">
        <w:rPr>
          <w:color w:val="000000"/>
        </w:rPr>
        <w:t>GenX</w:t>
      </w:r>
      <w:proofErr w:type="spellEnd"/>
      <w:r w:rsidRPr="005F74EB">
        <w:rPr>
          <w:color w:val="000000"/>
        </w:rPr>
        <w:t xml:space="preserve"> model would be used. The problem with this was many generators in the area were not operational in 2012 as they were built after this year. This presented a challenge but luckily some facilities did have information dating back to that year. The information that was available was for Kumeyaay Wind and for ISH Solar and Univ. of California San Diego, the monthly production graphs for wind and solar facilities are shown in the tables below.</w:t>
      </w:r>
    </w:p>
    <w:p w14:paraId="7A21BE87" w14:textId="7B974716" w:rsidR="005F74EB" w:rsidRDefault="005F74EB" w:rsidP="00DE334B">
      <w:pPr>
        <w:widowControl w:val="0"/>
        <w:pBdr>
          <w:top w:val="nil"/>
          <w:left w:val="nil"/>
          <w:bottom w:val="nil"/>
          <w:right w:val="nil"/>
          <w:between w:val="nil"/>
        </w:pBdr>
        <w:spacing w:line="252" w:lineRule="auto"/>
        <w:ind w:firstLine="144"/>
        <w:jc w:val="both"/>
        <w:rPr>
          <w:color w:val="000000"/>
        </w:rPr>
      </w:pPr>
    </w:p>
    <w:p w14:paraId="758F158B" w14:textId="5F21B095" w:rsidR="005F74EB" w:rsidRDefault="005F74EB" w:rsidP="005F74EB">
      <w:pPr>
        <w:widowControl w:val="0"/>
        <w:pBdr>
          <w:top w:val="nil"/>
          <w:left w:val="nil"/>
          <w:bottom w:val="nil"/>
          <w:right w:val="nil"/>
          <w:between w:val="nil"/>
        </w:pBdr>
        <w:spacing w:line="252" w:lineRule="auto"/>
        <w:ind w:firstLine="144"/>
        <w:jc w:val="center"/>
        <w:rPr>
          <w:color w:val="000000"/>
        </w:rPr>
      </w:pPr>
      <w:r>
        <w:rPr>
          <w:rFonts w:ascii="Arial" w:hAnsi="Arial" w:cs="Arial"/>
          <w:noProof/>
          <w:color w:val="000000"/>
          <w:bdr w:val="none" w:sz="0" w:space="0" w:color="auto" w:frame="1"/>
        </w:rPr>
        <w:drawing>
          <wp:inline distT="0" distB="0" distL="0" distR="0" wp14:anchorId="65253865" wp14:editId="5BC63D12">
            <wp:extent cx="3063240" cy="1551940"/>
            <wp:effectExtent l="0" t="0" r="381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63240" cy="1551940"/>
                    </a:xfrm>
                    <a:prstGeom prst="rect">
                      <a:avLst/>
                    </a:prstGeom>
                    <a:noFill/>
                    <a:ln>
                      <a:noFill/>
                    </a:ln>
                  </pic:spPr>
                </pic:pic>
              </a:graphicData>
            </a:graphic>
          </wp:inline>
        </w:drawing>
      </w:r>
    </w:p>
    <w:p w14:paraId="2A803B31" w14:textId="146B9255" w:rsidR="005F74EB" w:rsidRDefault="005F74EB" w:rsidP="005F74EB">
      <w:pPr>
        <w:widowControl w:val="0"/>
        <w:pBdr>
          <w:top w:val="nil"/>
          <w:left w:val="nil"/>
          <w:bottom w:val="nil"/>
          <w:right w:val="nil"/>
          <w:between w:val="nil"/>
        </w:pBdr>
        <w:spacing w:line="252" w:lineRule="auto"/>
        <w:ind w:firstLine="144"/>
        <w:jc w:val="center"/>
        <w:rPr>
          <w:color w:val="000000"/>
        </w:rPr>
      </w:pPr>
    </w:p>
    <w:p w14:paraId="7DD97DF3" w14:textId="0246D9DB" w:rsidR="005F74EB" w:rsidRDefault="00E94AC5" w:rsidP="005F74EB">
      <w:pPr>
        <w:widowControl w:val="0"/>
        <w:pBdr>
          <w:top w:val="nil"/>
          <w:left w:val="nil"/>
          <w:bottom w:val="nil"/>
          <w:right w:val="nil"/>
          <w:between w:val="nil"/>
        </w:pBdr>
        <w:spacing w:line="252" w:lineRule="auto"/>
        <w:ind w:firstLine="144"/>
        <w:jc w:val="center"/>
        <w:rPr>
          <w:color w:val="000000"/>
        </w:rPr>
      </w:pPr>
      <w:r>
        <w:rPr>
          <w:rFonts w:ascii="Arial" w:hAnsi="Arial" w:cs="Arial"/>
          <w:noProof/>
          <w:color w:val="000000"/>
          <w:bdr w:val="none" w:sz="0" w:space="0" w:color="auto" w:frame="1"/>
        </w:rPr>
        <w:drawing>
          <wp:inline distT="0" distB="0" distL="0" distR="0" wp14:anchorId="2A1E7EB5" wp14:editId="4CC37AB2">
            <wp:extent cx="3063240" cy="1546860"/>
            <wp:effectExtent l="0" t="0" r="381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63240" cy="1546860"/>
                    </a:xfrm>
                    <a:prstGeom prst="rect">
                      <a:avLst/>
                    </a:prstGeom>
                    <a:noFill/>
                    <a:ln>
                      <a:noFill/>
                    </a:ln>
                  </pic:spPr>
                </pic:pic>
              </a:graphicData>
            </a:graphic>
          </wp:inline>
        </w:drawing>
      </w:r>
    </w:p>
    <w:p w14:paraId="73205C34" w14:textId="56EF6CA3" w:rsidR="00E94AC5" w:rsidRDefault="00E94AC5" w:rsidP="005F74EB">
      <w:pPr>
        <w:widowControl w:val="0"/>
        <w:pBdr>
          <w:top w:val="nil"/>
          <w:left w:val="nil"/>
          <w:bottom w:val="nil"/>
          <w:right w:val="nil"/>
          <w:between w:val="nil"/>
        </w:pBdr>
        <w:spacing w:line="252" w:lineRule="auto"/>
        <w:ind w:firstLine="144"/>
        <w:jc w:val="center"/>
        <w:rPr>
          <w:color w:val="000000"/>
        </w:rPr>
      </w:pPr>
      <w:r w:rsidRPr="00E94AC5">
        <w:rPr>
          <w:color w:val="000000"/>
        </w:rPr>
        <w:t>FIG XX: Wind and solar monthly generation reported data for 2012</w:t>
      </w:r>
    </w:p>
    <w:p w14:paraId="3A279DCE" w14:textId="1CDDB397" w:rsidR="00E94AC5" w:rsidRDefault="00E94AC5" w:rsidP="005F74EB">
      <w:pPr>
        <w:widowControl w:val="0"/>
        <w:pBdr>
          <w:top w:val="nil"/>
          <w:left w:val="nil"/>
          <w:bottom w:val="nil"/>
          <w:right w:val="nil"/>
          <w:between w:val="nil"/>
        </w:pBdr>
        <w:spacing w:line="252" w:lineRule="auto"/>
        <w:ind w:firstLine="144"/>
        <w:jc w:val="center"/>
        <w:rPr>
          <w:color w:val="000000"/>
        </w:rPr>
      </w:pPr>
    </w:p>
    <w:p w14:paraId="5293769E" w14:textId="77777777" w:rsidR="00E94AC5" w:rsidRPr="00E94AC5" w:rsidRDefault="00E94AC5" w:rsidP="00E94AC5">
      <w:pPr>
        <w:widowControl w:val="0"/>
        <w:pBdr>
          <w:top w:val="nil"/>
          <w:left w:val="nil"/>
          <w:bottom w:val="nil"/>
          <w:right w:val="nil"/>
          <w:between w:val="nil"/>
        </w:pBdr>
        <w:spacing w:line="252" w:lineRule="auto"/>
        <w:ind w:firstLine="144"/>
        <w:jc w:val="both"/>
        <w:rPr>
          <w:color w:val="000000"/>
        </w:rPr>
      </w:pPr>
      <w:r w:rsidRPr="00E94AC5">
        <w:rPr>
          <w:color w:val="000000"/>
        </w:rPr>
        <w:t xml:space="preserve">This monthly generating data was compared with </w:t>
      </w:r>
      <w:proofErr w:type="spellStart"/>
      <w:r w:rsidRPr="00E94AC5">
        <w:rPr>
          <w:color w:val="000000"/>
        </w:rPr>
        <w:t>GenX</w:t>
      </w:r>
      <w:proofErr w:type="spellEnd"/>
      <w:r w:rsidRPr="00E94AC5">
        <w:rPr>
          <w:color w:val="000000"/>
        </w:rPr>
        <w:t xml:space="preserve"> models with similar characteristics to determine a confidence level that the model was accurate and could be a reliable model going forward.</w:t>
      </w:r>
    </w:p>
    <w:p w14:paraId="003F73D6" w14:textId="2507DBC5" w:rsidR="00E94AC5" w:rsidRDefault="00E94AC5" w:rsidP="00E94AC5">
      <w:pPr>
        <w:widowControl w:val="0"/>
        <w:pBdr>
          <w:top w:val="nil"/>
          <w:left w:val="nil"/>
          <w:bottom w:val="nil"/>
          <w:right w:val="nil"/>
          <w:between w:val="nil"/>
        </w:pBdr>
        <w:spacing w:line="252" w:lineRule="auto"/>
        <w:ind w:firstLine="144"/>
        <w:jc w:val="both"/>
        <w:rPr>
          <w:color w:val="000000"/>
        </w:rPr>
      </w:pPr>
      <w:r w:rsidRPr="00E94AC5">
        <w:rPr>
          <w:color w:val="000000"/>
        </w:rPr>
        <w:tab/>
        <w:t xml:space="preserve">Another existing condition which evaluation was required was the load profile for the area for which this project consisted of. This was provided in 5 minute data intervals and further dissection was needed to correctly place in load bins to determine time periods where load requirements were very close throughout the year. This was used by </w:t>
      </w:r>
      <w:proofErr w:type="spellStart"/>
      <w:r w:rsidRPr="00E94AC5">
        <w:rPr>
          <w:color w:val="000000"/>
        </w:rPr>
        <w:t>GenX</w:t>
      </w:r>
      <w:proofErr w:type="spellEnd"/>
      <w:r w:rsidRPr="00E94AC5">
        <w:rPr>
          <w:color w:val="000000"/>
        </w:rPr>
        <w:t xml:space="preserve"> model to effectively calculate what generation available depending on the time of the year would be necessary to meet that particular time period’s load. The dissected model for the load can be seen in the following graph:</w:t>
      </w:r>
    </w:p>
    <w:p w14:paraId="3986D06F" w14:textId="410C50DC" w:rsidR="00E94AC5" w:rsidRDefault="00222076" w:rsidP="00222076">
      <w:pPr>
        <w:widowControl w:val="0"/>
        <w:pBdr>
          <w:top w:val="nil"/>
          <w:left w:val="nil"/>
          <w:bottom w:val="nil"/>
          <w:right w:val="nil"/>
          <w:between w:val="nil"/>
        </w:pBdr>
        <w:spacing w:line="252" w:lineRule="auto"/>
        <w:ind w:firstLine="144"/>
        <w:jc w:val="center"/>
        <w:rPr>
          <w:color w:val="000000"/>
        </w:rPr>
      </w:pPr>
      <w:r>
        <w:rPr>
          <w:rFonts w:ascii="Arial" w:hAnsi="Arial" w:cs="Arial"/>
          <w:noProof/>
          <w:color w:val="000000"/>
          <w:bdr w:val="single" w:sz="8" w:space="0" w:color="000000" w:frame="1"/>
        </w:rPr>
        <w:drawing>
          <wp:inline distT="0" distB="0" distL="0" distR="0" wp14:anchorId="3799803B" wp14:editId="4DAA2DFA">
            <wp:extent cx="3059698" cy="1970314"/>
            <wp:effectExtent l="0" t="0" r="762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79761" cy="1983234"/>
                    </a:xfrm>
                    <a:prstGeom prst="rect">
                      <a:avLst/>
                    </a:prstGeom>
                    <a:noFill/>
                    <a:ln>
                      <a:noFill/>
                    </a:ln>
                  </pic:spPr>
                </pic:pic>
              </a:graphicData>
            </a:graphic>
          </wp:inline>
        </w:drawing>
      </w:r>
    </w:p>
    <w:p w14:paraId="1086DFBE" w14:textId="115F606F" w:rsidR="00222076" w:rsidRDefault="00222076" w:rsidP="00222076">
      <w:pPr>
        <w:widowControl w:val="0"/>
        <w:pBdr>
          <w:top w:val="nil"/>
          <w:left w:val="nil"/>
          <w:bottom w:val="nil"/>
          <w:right w:val="nil"/>
          <w:between w:val="nil"/>
        </w:pBdr>
        <w:spacing w:line="252" w:lineRule="auto"/>
        <w:ind w:firstLine="144"/>
        <w:jc w:val="center"/>
        <w:rPr>
          <w:color w:val="000000"/>
        </w:rPr>
      </w:pPr>
      <w:r w:rsidRPr="00222076">
        <w:rPr>
          <w:color w:val="000000"/>
        </w:rPr>
        <w:t>FIG XX: 2012 yearly load profile broken in to load groups</w:t>
      </w:r>
    </w:p>
    <w:p w14:paraId="13034550" w14:textId="7F86D05F" w:rsidR="00222076" w:rsidRDefault="00222076" w:rsidP="00222076">
      <w:pPr>
        <w:widowControl w:val="0"/>
        <w:pBdr>
          <w:top w:val="nil"/>
          <w:left w:val="nil"/>
          <w:bottom w:val="nil"/>
          <w:right w:val="nil"/>
          <w:between w:val="nil"/>
        </w:pBdr>
        <w:spacing w:line="252" w:lineRule="auto"/>
        <w:ind w:firstLine="144"/>
        <w:jc w:val="center"/>
        <w:rPr>
          <w:color w:val="000000"/>
        </w:rPr>
      </w:pPr>
    </w:p>
    <w:p w14:paraId="71F4C332" w14:textId="072D9525" w:rsidR="00222076" w:rsidRDefault="00704ADE" w:rsidP="00222076">
      <w:pPr>
        <w:widowControl w:val="0"/>
        <w:pBdr>
          <w:top w:val="nil"/>
          <w:left w:val="nil"/>
          <w:bottom w:val="nil"/>
          <w:right w:val="nil"/>
          <w:between w:val="nil"/>
        </w:pBdr>
        <w:spacing w:line="252" w:lineRule="auto"/>
        <w:ind w:firstLine="144"/>
        <w:jc w:val="both"/>
        <w:rPr>
          <w:color w:val="000000"/>
        </w:rPr>
      </w:pPr>
      <w:r w:rsidRPr="00704ADE">
        <w:rPr>
          <w:color w:val="000000"/>
        </w:rPr>
        <w:t>Combining these two pieces of information proved useful to properly determine the needs and current system capabilities to meet this demand.</w:t>
      </w:r>
    </w:p>
    <w:p w14:paraId="237E02B1" w14:textId="77777777" w:rsidR="009174E9" w:rsidRDefault="009174E9" w:rsidP="0096199E">
      <w:pPr>
        <w:widowControl w:val="0"/>
        <w:pBdr>
          <w:top w:val="nil"/>
          <w:left w:val="nil"/>
          <w:bottom w:val="nil"/>
          <w:right w:val="nil"/>
          <w:between w:val="nil"/>
        </w:pBdr>
        <w:spacing w:line="252" w:lineRule="auto"/>
        <w:ind w:firstLine="144"/>
        <w:jc w:val="both"/>
        <w:rPr>
          <w:color w:val="000000"/>
        </w:rPr>
      </w:pPr>
    </w:p>
    <w:p w14:paraId="59DA313D" w14:textId="706DABAA" w:rsidR="00732E46" w:rsidRDefault="00DB3364" w:rsidP="00DB3364">
      <w:pPr>
        <w:pStyle w:val="Heading1"/>
      </w:pPr>
      <w:r>
        <w:t xml:space="preserve">III. </w:t>
      </w:r>
      <w:r w:rsidR="00704ADE">
        <w:t>Generation Requirements</w:t>
      </w:r>
    </w:p>
    <w:p w14:paraId="229FC8D4" w14:textId="7CC751CA" w:rsidR="00732E46" w:rsidRDefault="006514FE" w:rsidP="0096199E">
      <w:pPr>
        <w:widowControl w:val="0"/>
        <w:pBdr>
          <w:top w:val="nil"/>
          <w:left w:val="nil"/>
          <w:bottom w:val="nil"/>
          <w:right w:val="nil"/>
          <w:between w:val="nil"/>
        </w:pBdr>
        <w:spacing w:line="252" w:lineRule="auto"/>
        <w:ind w:firstLine="202"/>
        <w:jc w:val="both"/>
      </w:pPr>
      <w:r>
        <w:rPr>
          <w:color w:val="000000"/>
          <w:spacing w:val="-4"/>
        </w:rPr>
        <w:t>U</w:t>
      </w:r>
      <w:r w:rsidR="000F2C11" w:rsidRPr="00E57D3D">
        <w:rPr>
          <w:color w:val="000000"/>
          <w:spacing w:val="-4"/>
        </w:rPr>
        <w:t>se either the Microsoft Equation Editor</w:t>
      </w:r>
      <w:r w:rsidR="000F2C11" w:rsidRPr="00E57D3D">
        <w:rPr>
          <w:spacing w:val="-4"/>
        </w:rPr>
        <w:t xml:space="preserve"> </w:t>
      </w:r>
      <w:r w:rsidR="000F2C11" w:rsidRPr="00E57D3D">
        <w:rPr>
          <w:color w:val="000000"/>
          <w:spacing w:val="-4"/>
        </w:rPr>
        <w:t xml:space="preserve">or </w:t>
      </w:r>
      <w:r w:rsidR="00660F88">
        <w:rPr>
          <w:color w:val="000000"/>
          <w:spacing w:val="-4"/>
        </w:rPr>
        <w:t xml:space="preserve">the </w:t>
      </w:r>
      <w:proofErr w:type="spellStart"/>
      <w:r w:rsidR="00660F88">
        <w:rPr>
          <w:color w:val="000000"/>
          <w:spacing w:val="-4"/>
        </w:rPr>
        <w:t>MathType</w:t>
      </w:r>
      <w:proofErr w:type="spellEnd"/>
      <w:r w:rsidR="00660F88">
        <w:rPr>
          <w:color w:val="000000"/>
          <w:spacing w:val="-4"/>
        </w:rPr>
        <w:t xml:space="preserve"> plugin, </w:t>
      </w:r>
      <w:r>
        <w:rPr>
          <w:color w:val="000000"/>
          <w:spacing w:val="-4"/>
        </w:rPr>
        <w:t>which can be obtained</w:t>
      </w:r>
      <w:r w:rsidR="00660F88">
        <w:rPr>
          <w:color w:val="000000"/>
          <w:spacing w:val="-4"/>
        </w:rPr>
        <w:t xml:space="preserve"> from </w:t>
      </w:r>
    </w:p>
    <w:p w14:paraId="0599A3FA" w14:textId="72346F61" w:rsidR="00704ADE" w:rsidRDefault="00704ADE" w:rsidP="0096199E">
      <w:pPr>
        <w:widowControl w:val="0"/>
        <w:pBdr>
          <w:top w:val="nil"/>
          <w:left w:val="nil"/>
          <w:bottom w:val="nil"/>
          <w:right w:val="nil"/>
          <w:between w:val="nil"/>
        </w:pBdr>
        <w:spacing w:line="252" w:lineRule="auto"/>
        <w:ind w:firstLine="202"/>
        <w:jc w:val="both"/>
      </w:pPr>
    </w:p>
    <w:p w14:paraId="60A1D9F7" w14:textId="4C52FB77" w:rsidR="00704ADE" w:rsidRDefault="00C72AB0" w:rsidP="0096199E">
      <w:pPr>
        <w:widowControl w:val="0"/>
        <w:pBdr>
          <w:top w:val="nil"/>
          <w:left w:val="nil"/>
          <w:bottom w:val="nil"/>
          <w:right w:val="nil"/>
          <w:between w:val="nil"/>
        </w:pBdr>
        <w:spacing w:line="252" w:lineRule="auto"/>
        <w:ind w:firstLine="202"/>
        <w:jc w:val="both"/>
        <w:rPr>
          <w:color w:val="000000"/>
        </w:rPr>
      </w:pPr>
      <w:r w:rsidRPr="00C72AB0">
        <w:rPr>
          <w:color w:val="000000"/>
        </w:rPr>
        <w:t xml:space="preserve">To evaluate the potential of each renewable resource, models for each generator type were created. These included a model for utility-scale solar, residential solar, utility-scale wind, utility-scale geothermal, and utility-scale hydropower. The utility-scale solar and wind models were created using </w:t>
      </w:r>
      <w:proofErr w:type="spellStart"/>
      <w:r w:rsidRPr="00C72AB0">
        <w:rPr>
          <w:color w:val="000000"/>
        </w:rPr>
        <w:t>PySAM</w:t>
      </w:r>
      <w:proofErr w:type="spellEnd"/>
      <w:r w:rsidRPr="00C72AB0">
        <w:rPr>
          <w:color w:val="000000"/>
        </w:rPr>
        <w:t xml:space="preserve"> </w:t>
      </w:r>
      <w:r w:rsidRPr="00C72AB0">
        <w:rPr>
          <w:color w:val="000000"/>
        </w:rPr>
        <w:lastRenderedPageBreak/>
        <w:t xml:space="preserve">and used existing plant locations and total capacities as iterative inputs, with each plant modeled individually at 30-minute time steps. The power output profiles for each generation type were then aggregated into two time series files, one for wind and one for solar. The solar model was created using a generic PV Watts Power Purchase Agreement SAM model with single-axis tracking, bifacial modules. A 1.3 DC/AC ratio was used with a 96% inverter efficiency. Initial values for soiling and shading losses were 3% and 2% respectively. An azimuth angle of 180° (due south) was used for all models. A utility-solar control model was also generated to validate the assumptions made. This was done by modeling the 2012 outputs for the ISH Solar and Univ. of California San Diego plants and comparing them to their actual output data. This analysis found that total annual modeled energy generation exceeded actual generation by roughly 20%. The shading and soiling losses of the generic model were adjusted to 8% and 5.5% respectively. This brought the modeled output to within a 10% of actual output, an acceptable margin of error. Figure X below shows the results of this control analysis. It should be noted that the (2) plants in question were brought online in 2011 and were not operating at full capacity for the first (3) months of 2012. Data from these months were therefore treated as outliers and excluded. The wind model was created using a generic </w:t>
      </w:r>
      <w:proofErr w:type="spellStart"/>
      <w:r w:rsidRPr="00C72AB0">
        <w:rPr>
          <w:color w:val="000000"/>
        </w:rPr>
        <w:t>Windpower</w:t>
      </w:r>
      <w:proofErr w:type="spellEnd"/>
      <w:r w:rsidRPr="00C72AB0">
        <w:rPr>
          <w:color w:val="000000"/>
        </w:rPr>
        <w:t xml:space="preserve"> Power Purchase Agreement SAM model using spec data from a Vestas V150 4.2 MW turbine. This design had a 150m rotor diameter and hub height of 105m. A shear coefficient of 0.2 as assumed [2] (Turbine Specs).</w:t>
      </w:r>
    </w:p>
    <w:p w14:paraId="2685F167" w14:textId="7B8AC8D7" w:rsidR="00C72AB0" w:rsidRDefault="00C72AB0" w:rsidP="0096199E">
      <w:pPr>
        <w:widowControl w:val="0"/>
        <w:pBdr>
          <w:top w:val="nil"/>
          <w:left w:val="nil"/>
          <w:bottom w:val="nil"/>
          <w:right w:val="nil"/>
          <w:between w:val="nil"/>
        </w:pBdr>
        <w:spacing w:line="252" w:lineRule="auto"/>
        <w:ind w:firstLine="202"/>
        <w:jc w:val="both"/>
        <w:rPr>
          <w:color w:val="000000"/>
        </w:rPr>
      </w:pPr>
    </w:p>
    <w:p w14:paraId="1647EACD" w14:textId="7DE5D574" w:rsidR="00C72AB0" w:rsidRDefault="004F5E0F" w:rsidP="004F5E0F">
      <w:pPr>
        <w:widowControl w:val="0"/>
        <w:pBdr>
          <w:top w:val="nil"/>
          <w:left w:val="nil"/>
          <w:bottom w:val="nil"/>
          <w:right w:val="nil"/>
          <w:between w:val="nil"/>
        </w:pBdr>
        <w:spacing w:line="252" w:lineRule="auto"/>
        <w:ind w:firstLine="202"/>
        <w:jc w:val="center"/>
        <w:rPr>
          <w:color w:val="000000"/>
        </w:rPr>
      </w:pPr>
      <w:r>
        <w:rPr>
          <w:rFonts w:ascii="Arial" w:hAnsi="Arial" w:cs="Arial"/>
          <w:noProof/>
          <w:color w:val="000000"/>
          <w:bdr w:val="single" w:sz="2" w:space="0" w:color="595959" w:frame="1"/>
        </w:rPr>
        <w:drawing>
          <wp:inline distT="0" distB="0" distL="0" distR="0" wp14:anchorId="19281CC4" wp14:editId="6A4CC240">
            <wp:extent cx="3063240" cy="1864360"/>
            <wp:effectExtent l="0" t="0" r="3810" b="254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3240" cy="1864360"/>
                    </a:xfrm>
                    <a:prstGeom prst="rect">
                      <a:avLst/>
                    </a:prstGeom>
                    <a:noFill/>
                    <a:ln>
                      <a:noFill/>
                    </a:ln>
                  </pic:spPr>
                </pic:pic>
              </a:graphicData>
            </a:graphic>
          </wp:inline>
        </w:drawing>
      </w:r>
      <w:r w:rsidRPr="004F5E0F">
        <w:rPr>
          <w:color w:val="000000"/>
        </w:rPr>
        <w:t>Figure X. PV Model Control Analysis</w:t>
      </w:r>
    </w:p>
    <w:p w14:paraId="753ABB06" w14:textId="6925C6FE" w:rsidR="004F5E0F" w:rsidRDefault="004F5E0F" w:rsidP="004F5E0F">
      <w:pPr>
        <w:widowControl w:val="0"/>
        <w:pBdr>
          <w:top w:val="nil"/>
          <w:left w:val="nil"/>
          <w:bottom w:val="nil"/>
          <w:right w:val="nil"/>
          <w:between w:val="nil"/>
        </w:pBdr>
        <w:spacing w:line="252" w:lineRule="auto"/>
        <w:ind w:firstLine="202"/>
        <w:jc w:val="center"/>
        <w:rPr>
          <w:color w:val="000000"/>
        </w:rPr>
      </w:pPr>
    </w:p>
    <w:p w14:paraId="489A7718" w14:textId="77777777" w:rsidR="00B465A9" w:rsidRPr="00B465A9" w:rsidRDefault="00B465A9" w:rsidP="00B465A9">
      <w:pPr>
        <w:widowControl w:val="0"/>
        <w:pBdr>
          <w:top w:val="nil"/>
          <w:left w:val="nil"/>
          <w:bottom w:val="nil"/>
          <w:right w:val="nil"/>
          <w:between w:val="nil"/>
        </w:pBdr>
        <w:spacing w:line="252" w:lineRule="auto"/>
        <w:ind w:firstLine="202"/>
        <w:jc w:val="both"/>
        <w:rPr>
          <w:color w:val="000000"/>
        </w:rPr>
      </w:pPr>
      <w:r w:rsidRPr="00B465A9">
        <w:rPr>
          <w:color w:val="000000"/>
        </w:rPr>
        <w:t>The residential solar model was created using a Detailed PV Power Purchase Agreement SAM model. A single location in the center of San Diego was selected for resource data. The module selected was LG Electronics Inc. LG400Q1C-A6 and the inverter selected was SolarEdge Technologies Ltd: SE11400H-US [208V]. Systems were assumed to have a fixed axis, as is typical for residential solar. (3) residential solar models were generated with azimuth angles of 90°, 180°, and 270°. The total capacity assigned to each model followed the breakdown of actual azimuth angle data from California Distributed Generation Statistics for residential solar panels. The details of this breakdown can be found in section X. A total capacity of 40 MW of residential solar was modeled.</w:t>
      </w:r>
    </w:p>
    <w:p w14:paraId="68D7B92B" w14:textId="77777777" w:rsidR="00B465A9" w:rsidRPr="00B465A9" w:rsidRDefault="00B465A9" w:rsidP="00B465A9">
      <w:pPr>
        <w:widowControl w:val="0"/>
        <w:pBdr>
          <w:top w:val="nil"/>
          <w:left w:val="nil"/>
          <w:bottom w:val="nil"/>
          <w:right w:val="nil"/>
          <w:between w:val="nil"/>
        </w:pBdr>
        <w:spacing w:line="252" w:lineRule="auto"/>
        <w:ind w:firstLine="202"/>
        <w:jc w:val="both"/>
        <w:rPr>
          <w:color w:val="000000"/>
        </w:rPr>
      </w:pPr>
      <w:r w:rsidRPr="00B465A9">
        <w:rPr>
          <w:color w:val="000000"/>
        </w:rPr>
        <w:tab/>
        <w:t xml:space="preserve">The hydroelectric generator model was created using </w:t>
      </w:r>
      <w:r w:rsidRPr="00B465A9">
        <w:rPr>
          <w:color w:val="000000"/>
        </w:rPr>
        <w:t xml:space="preserve">actual output and capacity factor data from EIA for the (2) plants considered within the area in question: Bear Valley (1.4MW) and Rancho </w:t>
      </w:r>
      <w:proofErr w:type="spellStart"/>
      <w:r w:rsidRPr="00B465A9">
        <w:rPr>
          <w:color w:val="000000"/>
        </w:rPr>
        <w:t>Penasquitos</w:t>
      </w:r>
      <w:proofErr w:type="spellEnd"/>
      <w:r w:rsidRPr="00B465A9">
        <w:rPr>
          <w:color w:val="000000"/>
        </w:rPr>
        <w:t xml:space="preserve"> (4.6MW).</w:t>
      </w:r>
    </w:p>
    <w:p w14:paraId="220AC0C7" w14:textId="77777777" w:rsidR="00190B02" w:rsidRPr="00190B02" w:rsidRDefault="00B465A9" w:rsidP="00190B02">
      <w:pPr>
        <w:widowControl w:val="0"/>
        <w:pBdr>
          <w:top w:val="nil"/>
          <w:left w:val="nil"/>
          <w:bottom w:val="nil"/>
          <w:right w:val="nil"/>
          <w:between w:val="nil"/>
        </w:pBdr>
        <w:spacing w:line="252" w:lineRule="auto"/>
        <w:ind w:firstLine="202"/>
        <w:jc w:val="both"/>
        <w:rPr>
          <w:color w:val="000000"/>
        </w:rPr>
      </w:pPr>
      <w:r w:rsidRPr="00B465A9">
        <w:rPr>
          <w:color w:val="000000"/>
        </w:rPr>
        <w:tab/>
        <w:t>The geothermal model was created using a Geothermal PPA SAM model. The geothermal resource was evaluated based on NREL’s U.S. geothermal resource maps [3] [Geothermal Resource]. Due to the lack of hydrothermal resources within 50 miles of San Diego, enhanced geothermal plants were selected as the plant design. An area near San Diego with relatively high favorability for enhanced geothermal resources was then identified. Due to lack of data on actual resource temperatures, conservative estimates were made when modeling these generators. Resource temperatures of 190°C at a depth of 3km were chosen based on typical, low-end operating conditions of these plants [4] [ENHACNED GEOTHERMAL]. A binary-cycle was selected as the heat-converter for these plants due to its favorability for low temperature resources [5] [BINARY-CYCLE].</w:t>
      </w:r>
      <w:r w:rsidR="00190B02">
        <w:rPr>
          <w:color w:val="000000"/>
        </w:rPr>
        <w:t xml:space="preserve"> </w:t>
      </w:r>
      <w:r w:rsidR="00190B02" w:rsidRPr="00190B02">
        <w:rPr>
          <w:color w:val="000000"/>
        </w:rPr>
        <w:t xml:space="preserve">Reserve capacities implemented to meet necessities of a large incursion of VREs (Variable Renewable Energy) is very hard to estimate as there is debate on the correct amount for a 100% renewable energy macro grid. For this project it was decided to use two different reserve strategies [6]  (Book Citation). The first is a load following reserve, these are very fast acting resources that fill in the gap during normal operations should weather resources drop such as a large cloud passing a major part of solar generation or wind taking a dip in wind speed. This phenomena will cause fluctuations in frequency which can compromise grid stability negatively. To prevent this the use of Battery Storage as load following reserves will provide needed stability to a 100% renewable energy grid. Load following resources will act as shock absorbers to these momentary conditions of major difference between generation and demand. Examples of these markets are Frequency regulation and Fast Frequency response which will be used in our proposed strategy to keep a reliable and stable grid with large penetration of VREs. </w:t>
      </w:r>
    </w:p>
    <w:p w14:paraId="55F51617" w14:textId="31B442D1" w:rsidR="00732E46" w:rsidRDefault="00190B02" w:rsidP="00190B02">
      <w:pPr>
        <w:widowControl w:val="0"/>
        <w:pBdr>
          <w:top w:val="nil"/>
          <w:left w:val="nil"/>
          <w:bottom w:val="nil"/>
          <w:right w:val="nil"/>
          <w:between w:val="nil"/>
        </w:pBdr>
        <w:spacing w:line="252" w:lineRule="auto"/>
        <w:ind w:firstLine="202"/>
        <w:jc w:val="both"/>
        <w:rPr>
          <w:color w:val="000000"/>
        </w:rPr>
      </w:pPr>
      <w:r w:rsidRPr="00190B02">
        <w:rPr>
          <w:color w:val="000000"/>
        </w:rPr>
        <w:tab/>
        <w:t xml:space="preserve">Secondary reserves will also be required to be able to be dispatched for longer term durations to combat power imbalance or generator failures. These contingency reserves will account for 15% load at any given time and should be dispatched between 2 to 15 mins after an event deems it necessary. These reserves are made to last a longer time than load following reserves and give the system longer term stability. In this project’s model a contingency reserve of 15% was selected based on existing grid system operators as well as generator plant sizes in this system [6] (Book </w:t>
      </w:r>
      <w:proofErr w:type="spellStart"/>
      <w:r w:rsidRPr="00190B02">
        <w:rPr>
          <w:color w:val="000000"/>
        </w:rPr>
        <w:t>CItation</w:t>
      </w:r>
      <w:proofErr w:type="spellEnd"/>
      <w:r w:rsidRPr="00190B02">
        <w:rPr>
          <w:color w:val="000000"/>
        </w:rPr>
        <w:t>).</w:t>
      </w:r>
    </w:p>
    <w:p w14:paraId="6B7411FB" w14:textId="5EE2C404" w:rsidR="00190B02" w:rsidRDefault="00190B02" w:rsidP="00190B02">
      <w:pPr>
        <w:widowControl w:val="0"/>
        <w:pBdr>
          <w:top w:val="nil"/>
          <w:left w:val="nil"/>
          <w:bottom w:val="nil"/>
          <w:right w:val="nil"/>
          <w:between w:val="nil"/>
        </w:pBdr>
        <w:spacing w:line="252" w:lineRule="auto"/>
        <w:ind w:firstLine="202"/>
        <w:jc w:val="both"/>
        <w:rPr>
          <w:color w:val="000000"/>
        </w:rPr>
      </w:pPr>
    </w:p>
    <w:p w14:paraId="3C86B4C8" w14:textId="550641BE" w:rsidR="00190B02" w:rsidRDefault="00190B02" w:rsidP="00190B02">
      <w:pPr>
        <w:widowControl w:val="0"/>
        <w:pBdr>
          <w:top w:val="nil"/>
          <w:left w:val="nil"/>
          <w:bottom w:val="nil"/>
          <w:right w:val="nil"/>
          <w:between w:val="nil"/>
        </w:pBdr>
        <w:spacing w:line="252" w:lineRule="auto"/>
        <w:ind w:firstLine="202"/>
        <w:jc w:val="both"/>
      </w:pPr>
      <w:r w:rsidRPr="00190B02">
        <w:t xml:space="preserve">To better project how the use of energy would change by the year 2025, a baseline understanding of the current customer base was needed. We approximated our rate base as a fixed percentage of the current SDGE rate base, calculated as the fraction of the total annual energy consumption in the provided load profile divided by the SDGE’s projected “managed consumption” in 2022 [7] (ref). The managed consumption figure includes BTM generation offsetting load.  Using this methodology, we estimated our rate base as 1.92% of SDGE’s. To determine the projected amount of distributed solar </w:t>
      </w:r>
      <w:r w:rsidRPr="00190B02">
        <w:lastRenderedPageBreak/>
        <w:t xml:space="preserve">generation for 2025, some scaling and linear regression techniques were deployed. First, data was collected from the California Distributed Generation Statistics database [8] (CDGS). This dataset includes information on all interconnected solar projects in the state, including data on SDG&amp;E territory. The SDG&amp;E territory data was filtered to include only projects approved after 2012 (the year that the provided load data correlates to). After this year, a total of 1,674 MW of distributed solar power was installed in the SDG&amp;E territory. Scaling this down with the aforementioned 1.92% scaling factor produces an estimated 32MW of distributed generation by 2022. A linear regression was then applied to this data to approximate the amount of solar generation by 2025. The data was also divided into three respective cardinal directions to better estimate energy production in the later stages of modeling. A graph depicting this analysis can be seen in Figure T1 below. By 2025, the total distributed solar generation will be 40MW. To model this in </w:t>
      </w:r>
      <w:proofErr w:type="spellStart"/>
      <w:r w:rsidRPr="00190B02">
        <w:t>GenX</w:t>
      </w:r>
      <w:proofErr w:type="spellEnd"/>
      <w:r w:rsidRPr="00190B02">
        <w:t>, 32MW was treated as existing capacity at zero cost that cannot be curtailed. The additional 8MW by 2025 was modeled as capacity that will be built for zero cost and will be able to be curtailed. To be clear, this is a policy choice on our behalf; we plan to respect the NEM contract of existing customers without the threat of curtailment, but reserve the right to curtail generation from any new generation installed starting in 2023.</w:t>
      </w:r>
    </w:p>
    <w:p w14:paraId="6C14F6FA" w14:textId="7B53D6AB" w:rsidR="00190B02" w:rsidRDefault="00190B02" w:rsidP="00190B02">
      <w:pPr>
        <w:widowControl w:val="0"/>
        <w:pBdr>
          <w:top w:val="nil"/>
          <w:left w:val="nil"/>
          <w:bottom w:val="nil"/>
          <w:right w:val="nil"/>
          <w:between w:val="nil"/>
        </w:pBdr>
        <w:spacing w:line="252" w:lineRule="auto"/>
        <w:ind w:firstLine="202"/>
        <w:jc w:val="both"/>
      </w:pPr>
    </w:p>
    <w:p w14:paraId="5A5F5614" w14:textId="276C04CD" w:rsidR="00190B02" w:rsidRDefault="001577B0" w:rsidP="00190B02">
      <w:pPr>
        <w:widowControl w:val="0"/>
        <w:pBdr>
          <w:top w:val="nil"/>
          <w:left w:val="nil"/>
          <w:bottom w:val="nil"/>
          <w:right w:val="nil"/>
          <w:between w:val="nil"/>
        </w:pBdr>
        <w:spacing w:line="252" w:lineRule="auto"/>
        <w:ind w:firstLine="202"/>
        <w:jc w:val="center"/>
      </w:pPr>
      <w:r>
        <w:rPr>
          <w:rFonts w:ascii="Arial" w:hAnsi="Arial" w:cs="Arial"/>
          <w:noProof/>
          <w:color w:val="000000"/>
          <w:bdr w:val="single" w:sz="2" w:space="0" w:color="000000" w:frame="1"/>
        </w:rPr>
        <w:drawing>
          <wp:inline distT="0" distB="0" distL="0" distR="0" wp14:anchorId="73BF3FEE" wp14:editId="2C1C825F">
            <wp:extent cx="3063240" cy="2439035"/>
            <wp:effectExtent l="0" t="0" r="381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3240" cy="2439035"/>
                    </a:xfrm>
                    <a:prstGeom prst="rect">
                      <a:avLst/>
                    </a:prstGeom>
                    <a:noFill/>
                    <a:ln>
                      <a:noFill/>
                    </a:ln>
                  </pic:spPr>
                </pic:pic>
              </a:graphicData>
            </a:graphic>
          </wp:inline>
        </w:drawing>
      </w:r>
      <w:r w:rsidRPr="001577B0">
        <w:t>Figure T1: Distributed solar generation in San Diego scaled down. 32MW in 2022, 40MW predicted in 2025. Broken between East facing, South facing, and West facing panels.</w:t>
      </w:r>
    </w:p>
    <w:p w14:paraId="7600ED6F" w14:textId="5828158C" w:rsidR="00D834D1" w:rsidRDefault="00D834D1" w:rsidP="00190B02">
      <w:pPr>
        <w:widowControl w:val="0"/>
        <w:pBdr>
          <w:top w:val="nil"/>
          <w:left w:val="nil"/>
          <w:bottom w:val="nil"/>
          <w:right w:val="nil"/>
          <w:between w:val="nil"/>
        </w:pBdr>
        <w:spacing w:line="252" w:lineRule="auto"/>
        <w:ind w:firstLine="202"/>
        <w:jc w:val="center"/>
      </w:pPr>
    </w:p>
    <w:p w14:paraId="14CF8B0E" w14:textId="0FF11E91" w:rsidR="00074902" w:rsidRDefault="00691378" w:rsidP="00074902">
      <w:pPr>
        <w:widowControl w:val="0"/>
        <w:pBdr>
          <w:top w:val="nil"/>
          <w:left w:val="nil"/>
          <w:bottom w:val="nil"/>
          <w:right w:val="nil"/>
          <w:between w:val="nil"/>
        </w:pBdr>
        <w:spacing w:line="252" w:lineRule="auto"/>
        <w:ind w:firstLine="202"/>
        <w:jc w:val="both"/>
      </w:pPr>
      <w:r w:rsidRPr="00691378">
        <w:t xml:space="preserve">A similar approach was employed for estimating the expected electric vehicle load on the system. Due to the availability of data, we used EVs in San Diego county as a proxy for EVs in SDGE territory (which is essentially just San Diego county with a sliver of orange county as well). EV adoption trends were gathered from the California Energy </w:t>
      </w:r>
      <w:proofErr w:type="spellStart"/>
      <w:r w:rsidRPr="00691378">
        <w:t>Commision</w:t>
      </w:r>
      <w:proofErr w:type="spellEnd"/>
      <w:r w:rsidRPr="00691378">
        <w:t xml:space="preserve"> (ref), and we employed logistic regression to estimate that there will be about 285,000 EVs SDG&amp;E territory in 2025. To create a load profile that accurately portrays this charging load, a software tool called EVI-Pro by NREL was used [9] (reference). The load profile was generated with a 5 </w:t>
      </w:r>
      <w:r w:rsidRPr="00691378">
        <w:t>minute interval over the course of the day and scaled down using the scaling factor of 1.92% from before. This was then added to each day of the original provided load, increasing it by about 4MW on average. By including this additional load, our model will be able to account for the increasing number of electric vehicles on the road by 2025.</w:t>
      </w:r>
    </w:p>
    <w:p w14:paraId="302E6B3B" w14:textId="7FD48601" w:rsidR="00A16D1D" w:rsidRDefault="00A16D1D" w:rsidP="00074902">
      <w:pPr>
        <w:widowControl w:val="0"/>
        <w:pBdr>
          <w:top w:val="nil"/>
          <w:left w:val="nil"/>
          <w:bottom w:val="nil"/>
          <w:right w:val="nil"/>
          <w:between w:val="nil"/>
        </w:pBdr>
        <w:spacing w:line="252" w:lineRule="auto"/>
        <w:ind w:firstLine="202"/>
        <w:jc w:val="both"/>
      </w:pPr>
    </w:p>
    <w:p w14:paraId="1725D0D2" w14:textId="64B16A44" w:rsidR="00A16D1D" w:rsidRDefault="00A16D1D" w:rsidP="00A16D1D">
      <w:pPr>
        <w:widowControl w:val="0"/>
        <w:pBdr>
          <w:top w:val="nil"/>
          <w:left w:val="nil"/>
          <w:bottom w:val="nil"/>
          <w:right w:val="nil"/>
          <w:between w:val="nil"/>
        </w:pBdr>
        <w:spacing w:line="252" w:lineRule="auto"/>
        <w:ind w:firstLine="202"/>
        <w:jc w:val="center"/>
      </w:pPr>
    </w:p>
    <w:p w14:paraId="6A8E0041" w14:textId="77777777" w:rsidR="00074902" w:rsidRDefault="00074902" w:rsidP="00190B02">
      <w:pPr>
        <w:widowControl w:val="0"/>
        <w:pBdr>
          <w:top w:val="nil"/>
          <w:left w:val="nil"/>
          <w:bottom w:val="nil"/>
          <w:right w:val="nil"/>
          <w:between w:val="nil"/>
        </w:pBdr>
        <w:spacing w:line="252" w:lineRule="auto"/>
        <w:ind w:firstLine="202"/>
        <w:jc w:val="center"/>
      </w:pPr>
    </w:p>
    <w:p w14:paraId="453D3507" w14:textId="3ECD1C89" w:rsidR="00074902" w:rsidRDefault="00074902" w:rsidP="00D834D1">
      <w:pPr>
        <w:pStyle w:val="Heading1"/>
      </w:pPr>
      <w:r>
        <w:t>IV</w:t>
      </w:r>
      <w:r w:rsidR="00D834D1">
        <w:t>.</w:t>
      </w:r>
      <w:r w:rsidR="00614CA6">
        <w:t xml:space="preserve"> System Modeling</w:t>
      </w:r>
    </w:p>
    <w:p w14:paraId="5DCC788D" w14:textId="464AA3E8" w:rsidR="00614CA6" w:rsidRDefault="00614CA6" w:rsidP="00614CA6">
      <w:pPr>
        <w:jc w:val="both"/>
      </w:pPr>
      <w:r w:rsidRPr="00614CA6">
        <w:t xml:space="preserve">In order to find the optimal generation mix and investment decisions required to satisfy load, the data collected during the generation requirements phase of the project was run through </w:t>
      </w:r>
      <w:proofErr w:type="spellStart"/>
      <w:r w:rsidRPr="00614CA6">
        <w:t>GenX</w:t>
      </w:r>
      <w:proofErr w:type="spellEnd"/>
      <w:r w:rsidRPr="00614CA6">
        <w:t xml:space="preserve">, a capacity expansion modeling software. The objective function of the optimization was cost, with constraints coming from various inputs such as total available generator capacity and ramp rates. Another important input to the model was ELCC factor, discussed in the generator assumptions section below. Financial inputs for annual capital cost ($ / MW), annual fixed O&amp;M cost ($ / MW), and variable O&amp;M cost ($ / MWh) for each generator were also required. Municipal bond rates and ITCs for renewable technologies were also given as inputs. The main financial inputs to the </w:t>
      </w:r>
      <w:proofErr w:type="spellStart"/>
      <w:r w:rsidRPr="00614CA6">
        <w:t>GenX</w:t>
      </w:r>
      <w:proofErr w:type="spellEnd"/>
      <w:r w:rsidRPr="00614CA6">
        <w:t xml:space="preserve"> model can be found in Table X below. A municipal bond rate of 3% was used in the model to calculate interest rates associated with investments BOND RATES. A demand response program was also factored into </w:t>
      </w:r>
      <w:proofErr w:type="spellStart"/>
      <w:r w:rsidRPr="00614CA6">
        <w:t>GenX</w:t>
      </w:r>
      <w:proofErr w:type="spellEnd"/>
      <w:r w:rsidRPr="00614CA6">
        <w:t>. This included an 8% participation rate at $20-savings / kWh and a 1% participation rate $5-savings / kWh.</w:t>
      </w:r>
    </w:p>
    <w:p w14:paraId="387EE515" w14:textId="77271C62" w:rsidR="00614CA6" w:rsidRDefault="00614CA6" w:rsidP="00614CA6">
      <w:pPr>
        <w:jc w:val="both"/>
      </w:pPr>
    </w:p>
    <w:p w14:paraId="3278DFED" w14:textId="4D5D61EB" w:rsidR="00614CA6" w:rsidRDefault="00294FF8" w:rsidP="00614CA6">
      <w:pPr>
        <w:jc w:val="center"/>
      </w:pPr>
      <w:r>
        <w:rPr>
          <w:rFonts w:ascii="Arial" w:hAnsi="Arial" w:cs="Arial"/>
          <w:noProof/>
          <w:color w:val="000000"/>
          <w:bdr w:val="none" w:sz="0" w:space="0" w:color="auto" w:frame="1"/>
        </w:rPr>
        <w:drawing>
          <wp:inline distT="0" distB="0" distL="0" distR="0" wp14:anchorId="267674FF" wp14:editId="3B29CAFF">
            <wp:extent cx="3074126" cy="732208"/>
            <wp:effectExtent l="0" t="0" r="0" b="0"/>
            <wp:docPr id="8" name="Picture 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15341" cy="742025"/>
                    </a:xfrm>
                    <a:prstGeom prst="rect">
                      <a:avLst/>
                    </a:prstGeom>
                    <a:noFill/>
                    <a:ln>
                      <a:noFill/>
                    </a:ln>
                  </pic:spPr>
                </pic:pic>
              </a:graphicData>
            </a:graphic>
          </wp:inline>
        </w:drawing>
      </w:r>
    </w:p>
    <w:p w14:paraId="12824094" w14:textId="631F394B" w:rsidR="00294FF8" w:rsidRDefault="00294FF8" w:rsidP="00614CA6">
      <w:pPr>
        <w:jc w:val="center"/>
        <w:rPr>
          <w:i/>
          <w:iCs/>
        </w:rPr>
      </w:pPr>
      <w:r>
        <w:rPr>
          <w:i/>
          <w:iCs/>
        </w:rPr>
        <w:t>Table XX: Caption blah blah</w:t>
      </w:r>
    </w:p>
    <w:p w14:paraId="3FE5DD3E" w14:textId="70657C0C" w:rsidR="00294FF8" w:rsidRDefault="00294FF8" w:rsidP="00614CA6">
      <w:pPr>
        <w:jc w:val="center"/>
      </w:pPr>
    </w:p>
    <w:p w14:paraId="0054C11D" w14:textId="48C616E8" w:rsidR="00294FF8" w:rsidRDefault="00377374" w:rsidP="00377374">
      <w:pPr>
        <w:jc w:val="both"/>
      </w:pPr>
      <w:r w:rsidRPr="00377374">
        <w:t xml:space="preserve">For the generator types selected, several assumptions needed to be made that are required by </w:t>
      </w:r>
      <w:proofErr w:type="spellStart"/>
      <w:r w:rsidRPr="00377374">
        <w:t>GenX</w:t>
      </w:r>
      <w:proofErr w:type="spellEnd"/>
      <w:r w:rsidRPr="00377374">
        <w:t xml:space="preserve">. Ramps rates are an important consideration for the model to dispatch power appropriately. The maximum ramp rates of wind, solar, and battery storage was assumed to be 100% per minute. A 15% per min ramp rate was chosen for hydro [10] (reference) and geothermal power [11] (reference). All generator types have a minimum power output of 0% except for geothermal at 10% (when committed). To ensure our portfolio met </w:t>
      </w:r>
      <w:proofErr w:type="spellStart"/>
      <w:r w:rsidRPr="00377374">
        <w:t>Caliifornia’s</w:t>
      </w:r>
      <w:proofErr w:type="spellEnd"/>
      <w:r w:rsidRPr="00377374">
        <w:t xml:space="preserve"> resource adequacy standards, we added an RA constraint to our </w:t>
      </w:r>
      <w:proofErr w:type="spellStart"/>
      <w:r w:rsidRPr="00377374">
        <w:t>GenX</w:t>
      </w:r>
      <w:proofErr w:type="spellEnd"/>
      <w:r w:rsidRPr="00377374">
        <w:t xml:space="preserve"> model, which requires a planning reserve margin to be maintained at all periods in the simulation. To model unavailability due to unforced outages or resource unavailability, we used the effective load carrying capability (ELCC) for each resource in our model, as estimated by the CPUC for 2035 in their 30MMT greenhouse gas scenario (ref). While not perfect, the portfolio of the 30MMT scenario should most closely match our portfolio, and therefore the ELCC’s should be similar. With more </w:t>
      </w:r>
      <w:proofErr w:type="spellStart"/>
      <w:r w:rsidRPr="00377374">
        <w:t>years worth</w:t>
      </w:r>
      <w:proofErr w:type="spellEnd"/>
      <w:r w:rsidRPr="00377374">
        <w:t xml:space="preserve"> of load data we would be able to run an ELCC calculation ourselves to improve the accuracy of our model. We note here that this RA requirement </w:t>
      </w:r>
      <w:r w:rsidRPr="00377374">
        <w:lastRenderedPageBreak/>
        <w:t>drove the bulk of the investment in our portfolio, with shadow prices reaching nearly $36,000/MWh for a few hours in July.</w:t>
      </w:r>
    </w:p>
    <w:p w14:paraId="7269A09D" w14:textId="4773DED3" w:rsidR="00716E75" w:rsidRDefault="00716E75" w:rsidP="00716E75">
      <w:pPr>
        <w:ind w:firstLine="720"/>
        <w:jc w:val="both"/>
      </w:pPr>
      <w:r w:rsidRPr="00716E75">
        <w:t xml:space="preserve">After running the </w:t>
      </w:r>
      <w:proofErr w:type="spellStart"/>
      <w:r w:rsidRPr="00716E75">
        <w:t>GenX</w:t>
      </w:r>
      <w:proofErr w:type="spellEnd"/>
      <w:r w:rsidRPr="00716E75">
        <w:t xml:space="preserve"> model, a portfolio describing the required generating capacity mix was produced. This mix represents the amount of installed generator capacity that is needed to meet our load while also adhering to our various constraints. Figure T2 below shows the complete breakdown of the generation mix.</w:t>
      </w:r>
    </w:p>
    <w:p w14:paraId="43382F47" w14:textId="77777777" w:rsidR="004431EB" w:rsidRDefault="004431EB" w:rsidP="00716E75">
      <w:pPr>
        <w:ind w:firstLine="720"/>
        <w:jc w:val="both"/>
      </w:pPr>
    </w:p>
    <w:p w14:paraId="438135B0" w14:textId="5D7A7C7A" w:rsidR="00716E75" w:rsidRDefault="004431EB" w:rsidP="004431EB">
      <w:pPr>
        <w:jc w:val="center"/>
      </w:pPr>
      <w:r>
        <w:rPr>
          <w:rFonts w:ascii="Arial" w:hAnsi="Arial" w:cs="Arial"/>
          <w:noProof/>
          <w:color w:val="000000"/>
          <w:bdr w:val="none" w:sz="0" w:space="0" w:color="auto" w:frame="1"/>
        </w:rPr>
        <w:drawing>
          <wp:inline distT="0" distB="0" distL="0" distR="0" wp14:anchorId="26CF14BF" wp14:editId="3A5B9232">
            <wp:extent cx="2522912" cy="1773988"/>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3877" cy="1781698"/>
                    </a:xfrm>
                    <a:prstGeom prst="rect">
                      <a:avLst/>
                    </a:prstGeom>
                    <a:noFill/>
                    <a:ln>
                      <a:noFill/>
                    </a:ln>
                  </pic:spPr>
                </pic:pic>
              </a:graphicData>
            </a:graphic>
          </wp:inline>
        </w:drawing>
      </w:r>
    </w:p>
    <w:p w14:paraId="3F062B50" w14:textId="28227D17" w:rsidR="004431EB" w:rsidRDefault="002F2C93" w:rsidP="004431EB">
      <w:pPr>
        <w:jc w:val="center"/>
      </w:pPr>
      <w:r w:rsidRPr="002F2C93">
        <w:t>Figure T2: Proposed Installed Capacity Mix. Note that distributed generation is broken into existing and new installations.</w:t>
      </w:r>
    </w:p>
    <w:p w14:paraId="4E25AFB9" w14:textId="16D33A48" w:rsidR="002F2C93" w:rsidRDefault="002F2C93" w:rsidP="004431EB">
      <w:pPr>
        <w:jc w:val="center"/>
      </w:pPr>
    </w:p>
    <w:p w14:paraId="406F891D" w14:textId="6A2960BB" w:rsidR="002F2C93" w:rsidRDefault="00C227C8" w:rsidP="00C227C8">
      <w:pPr>
        <w:jc w:val="both"/>
      </w:pPr>
      <w:r w:rsidRPr="00C227C8">
        <w:t>There are several items of note with this breakdown. Rather than having any pumped hydro storage, the model deemed that it was more optimal to meet all storage requirements using 35.23MW of 8-hour Li-Ion Batteries. This is only 10% of the current battery power capacity in San Diego. At this power level, 280MWh of batteries are needed. Additionally, the model also calls for nearly three times as much capacity for utility-scale solar compared to what is currently installed in the area surrounding San Diego. But with more than 5kWh/m2/day of global horizontal solar irradiance in the San Diego area, this should not be an issue [12] (reference). The wind capacity that is needed is lower than the current capacity at only 50MW. A small amount of hydropower needs to be used at 6MW alongside 85MW of enhanced geothermal power.</w:t>
      </w:r>
    </w:p>
    <w:p w14:paraId="5070CB76" w14:textId="123A4C6E" w:rsidR="00C227C8" w:rsidRDefault="00C227C8" w:rsidP="00C227C8">
      <w:pPr>
        <w:jc w:val="both"/>
      </w:pPr>
    </w:p>
    <w:p w14:paraId="6192D447" w14:textId="41256FAE" w:rsidR="00C227C8" w:rsidRDefault="00C227C8" w:rsidP="00C227C8">
      <w:pPr>
        <w:jc w:val="center"/>
      </w:pPr>
      <w:r>
        <w:rPr>
          <w:rFonts w:ascii="Arial" w:hAnsi="Arial" w:cs="Arial"/>
          <w:noProof/>
          <w:color w:val="000000"/>
          <w:bdr w:val="none" w:sz="0" w:space="0" w:color="auto" w:frame="1"/>
        </w:rPr>
        <w:drawing>
          <wp:inline distT="0" distB="0" distL="0" distR="0" wp14:anchorId="2BC52202" wp14:editId="3620F676">
            <wp:extent cx="2992755" cy="2098675"/>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2755" cy="2098675"/>
                    </a:xfrm>
                    <a:prstGeom prst="rect">
                      <a:avLst/>
                    </a:prstGeom>
                    <a:noFill/>
                    <a:ln>
                      <a:noFill/>
                    </a:ln>
                  </pic:spPr>
                </pic:pic>
              </a:graphicData>
            </a:graphic>
          </wp:inline>
        </w:drawing>
      </w:r>
    </w:p>
    <w:p w14:paraId="543A3AA7" w14:textId="7A94A457" w:rsidR="00C227C8" w:rsidRDefault="00F736D0" w:rsidP="00C227C8">
      <w:pPr>
        <w:jc w:val="center"/>
      </w:pPr>
      <w:r w:rsidRPr="00F736D0">
        <w:t>Figure X. Dispatch Stack for Week in July When Grid is Most Stressed</w:t>
      </w:r>
    </w:p>
    <w:p w14:paraId="3371A2AE" w14:textId="297AB777" w:rsidR="00F736D0" w:rsidRDefault="00F736D0" w:rsidP="00C227C8">
      <w:pPr>
        <w:jc w:val="center"/>
      </w:pPr>
    </w:p>
    <w:p w14:paraId="63DD2A4B" w14:textId="3D8470EE" w:rsidR="00F736D0" w:rsidRDefault="00F736D0" w:rsidP="00F736D0">
      <w:pPr>
        <w:jc w:val="both"/>
      </w:pPr>
      <w:r w:rsidRPr="00F736D0">
        <w:t xml:space="preserve">A dispatch stack for a week in July is shown above in Figure X. The time of most stress on the grid occurs when load is high but </w:t>
      </w:r>
      <w:r w:rsidRPr="00F736D0">
        <w:t>the solar resource is relatively low. It should be noted that during this time period, the system relies heavily on geothermal energy which causes daily spikes in LMP due its relatively high variable cost. This demonstrates the value in investment for geothermal energy as a dispatchable generator with high ELCC.</w:t>
      </w:r>
    </w:p>
    <w:p w14:paraId="1CED30DB" w14:textId="52780598" w:rsidR="00F736D0" w:rsidRDefault="00F736D0" w:rsidP="00F736D0">
      <w:pPr>
        <w:jc w:val="both"/>
      </w:pPr>
    </w:p>
    <w:p w14:paraId="617B6F5C" w14:textId="46B8BBD6" w:rsidR="00F736D0" w:rsidRDefault="007F65DA" w:rsidP="007F65DA">
      <w:pPr>
        <w:jc w:val="center"/>
      </w:pPr>
      <w:r>
        <w:rPr>
          <w:rFonts w:ascii="Arial" w:hAnsi="Arial" w:cs="Arial"/>
          <w:noProof/>
          <w:color w:val="000000"/>
          <w:bdr w:val="none" w:sz="0" w:space="0" w:color="auto" w:frame="1"/>
        </w:rPr>
        <w:drawing>
          <wp:inline distT="0" distB="0" distL="0" distR="0" wp14:anchorId="33A92EBD" wp14:editId="44D8A82E">
            <wp:extent cx="2923540" cy="2057400"/>
            <wp:effectExtent l="0" t="0" r="0" b="0"/>
            <wp:docPr id="15" name="Picture 15" descr="A picture containing text, writing implement, stationary,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writing implement, stationary, penc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3540" cy="2057400"/>
                    </a:xfrm>
                    <a:prstGeom prst="rect">
                      <a:avLst/>
                    </a:prstGeom>
                    <a:noFill/>
                    <a:ln>
                      <a:noFill/>
                    </a:ln>
                  </pic:spPr>
                </pic:pic>
              </a:graphicData>
            </a:graphic>
          </wp:inline>
        </w:drawing>
      </w:r>
    </w:p>
    <w:p w14:paraId="380AD364" w14:textId="42155090" w:rsidR="007F65DA" w:rsidRDefault="007F65DA" w:rsidP="007F65DA">
      <w:pPr>
        <w:jc w:val="center"/>
      </w:pPr>
      <w:r>
        <w:t>Caption</w:t>
      </w:r>
    </w:p>
    <w:p w14:paraId="46C082F2" w14:textId="626C6790" w:rsidR="007F65DA" w:rsidRDefault="007F65DA" w:rsidP="007F65DA">
      <w:pPr>
        <w:jc w:val="center"/>
      </w:pPr>
    </w:p>
    <w:p w14:paraId="73CDDD7F" w14:textId="77777777" w:rsidR="007F65DA" w:rsidRDefault="007F65DA" w:rsidP="007F65DA">
      <w:pPr>
        <w:jc w:val="both"/>
      </w:pPr>
    </w:p>
    <w:p w14:paraId="2AE8D44E" w14:textId="484BB164" w:rsidR="00C227C8" w:rsidRDefault="007F65DA" w:rsidP="007F65DA">
      <w:pPr>
        <w:ind w:firstLine="720"/>
        <w:jc w:val="both"/>
      </w:pPr>
      <w:r w:rsidRPr="007F65DA">
        <w:t>A dispatch stack for a week in November is shown above in Figure X. During the week of lowest solar resource, the grid is shown to be relying heavily on wind power but also geothermal energy. LMP is also seen to spike when geothermal energy is used or when batteries that were charged using geothermal energy are being discharged.</w:t>
      </w:r>
    </w:p>
    <w:p w14:paraId="1AE1195B" w14:textId="48966B3C" w:rsidR="007F65DA" w:rsidRDefault="007F65DA" w:rsidP="007F65DA">
      <w:pPr>
        <w:ind w:firstLine="720"/>
        <w:jc w:val="both"/>
      </w:pPr>
    </w:p>
    <w:p w14:paraId="1EBB5640" w14:textId="2690C9D3" w:rsidR="005073DA" w:rsidRDefault="005073DA" w:rsidP="005073DA">
      <w:pPr>
        <w:ind w:firstLine="720"/>
        <w:jc w:val="both"/>
      </w:pPr>
      <w:r>
        <w:t xml:space="preserve">Achieving a 100% renewable energy grid for San Diego may be achievable but will it meet the current market prices to make it a financially sound investment. Using the cost assumptions mentioned in previous section to determine the financial metrics obtained from this project the table below summarizes </w:t>
      </w:r>
    </w:p>
    <w:p w14:paraId="1B9B6BA9" w14:textId="5145D1F4" w:rsidR="005073DA" w:rsidRDefault="005073DA" w:rsidP="005073DA">
      <w:pPr>
        <w:jc w:val="center"/>
      </w:pPr>
      <w:r>
        <w:rPr>
          <w:rFonts w:ascii="Arial" w:hAnsi="Arial" w:cs="Arial"/>
          <w:noProof/>
          <w:color w:val="000000"/>
          <w:bdr w:val="none" w:sz="0" w:space="0" w:color="auto" w:frame="1"/>
        </w:rPr>
        <w:drawing>
          <wp:inline distT="0" distB="0" distL="0" distR="0" wp14:anchorId="3DD8970B" wp14:editId="291F090E">
            <wp:extent cx="3063240" cy="962025"/>
            <wp:effectExtent l="0" t="0" r="3810" b="952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3240" cy="962025"/>
                    </a:xfrm>
                    <a:prstGeom prst="rect">
                      <a:avLst/>
                    </a:prstGeom>
                    <a:noFill/>
                    <a:ln>
                      <a:noFill/>
                    </a:ln>
                  </pic:spPr>
                </pic:pic>
              </a:graphicData>
            </a:graphic>
          </wp:inline>
        </w:drawing>
      </w:r>
    </w:p>
    <w:p w14:paraId="4D9CB8F5" w14:textId="26AB2160" w:rsidR="007F65DA" w:rsidRDefault="005073DA" w:rsidP="005073DA">
      <w:pPr>
        <w:ind w:firstLine="720"/>
        <w:jc w:val="center"/>
      </w:pPr>
      <w:r>
        <w:t>Table XX: Financial costs compared to current costs of energy (Citation)</w:t>
      </w:r>
    </w:p>
    <w:p w14:paraId="0E2C17B3" w14:textId="4C95EDDE" w:rsidR="005073DA" w:rsidRDefault="005073DA" w:rsidP="005073DA">
      <w:pPr>
        <w:ind w:firstLine="720"/>
        <w:jc w:val="center"/>
      </w:pPr>
    </w:p>
    <w:p w14:paraId="4AEFCB52" w14:textId="77777777" w:rsidR="00CE32A9" w:rsidRDefault="00CE32A9" w:rsidP="00CE32A9">
      <w:pPr>
        <w:ind w:firstLine="720"/>
        <w:jc w:val="both"/>
      </w:pPr>
      <w:r>
        <w:t xml:space="preserve">Table above shows the annual costs broken down by services and adjustments. Levelized cost of energy refers to raw price for generating 1 kWh considering all associated costs to produce. This is then broken down to a yearly rate for which each year of the lifetime of the project one unit of energy will cost. Annual Capital Costs are the capital expenses required to purchase and build new generators to meet this model parameters over the lifetime of each generation facility (Geothermal: 30 years , Solar: 25 years, Wind: 20 years, Battery Storage: 10 years)  Annual variable costs are costs which are dependent on current market prices, tax credits, O&amp;M costs; demand response payments are payments expected for incentive programs for ratepayers who choose to participate in these programs estimations are based off of 1.92% of current </w:t>
      </w:r>
      <w:r>
        <w:lastRenderedPageBreak/>
        <w:t xml:space="preserve">SDG&amp;E population. Annual Energy billing payments are estimated payments for the net energy generated in any given year to the generators. This yielded total annual costs of 186 Million dollars yearly cost or Levelized Cost of Energy (LCOE) 0.424/kWh this value is almost triple the current SDG&amp;E LCOE of 0.149$/kWh. </w:t>
      </w:r>
    </w:p>
    <w:p w14:paraId="6C57D67D" w14:textId="77777777" w:rsidR="00CE32A9" w:rsidRDefault="00CE32A9" w:rsidP="00CE32A9">
      <w:pPr>
        <w:ind w:firstLine="720"/>
        <w:jc w:val="both"/>
      </w:pPr>
    </w:p>
    <w:p w14:paraId="00CC611D" w14:textId="77777777" w:rsidR="00CE32A9" w:rsidRDefault="00CE32A9" w:rsidP="00CE32A9">
      <w:pPr>
        <w:ind w:firstLine="720"/>
        <w:jc w:val="both"/>
      </w:pPr>
      <w:r>
        <w:t>Utility Rate Structure</w:t>
      </w:r>
    </w:p>
    <w:p w14:paraId="566F8C58" w14:textId="7472D931" w:rsidR="001577B0" w:rsidRDefault="00CE32A9" w:rsidP="00CE32A9">
      <w:pPr>
        <w:ind w:firstLine="720"/>
        <w:jc w:val="both"/>
      </w:pPr>
      <w:r>
        <w:t>We are calling for a rate structure that is reflective of how costs are incurred. With a generation mix that has near-zero marginal costs much of the time, but is capacity constrained in a small concentration of hours, incentivizing customers to consume electricity when it is plentiful and conserve when it is scarce will be much more important with our generation mix. We propose passing through the average LMP for each hour of the day, meaning that energy will be virtually free during times with good solar production, and pricing rising towards the marginal cost of geothermal ($46/MWh) during the evening hours in late summer. We also plan to pass through RA shadow prices (expected to peak at $34,800/MWh), but spread these costs out over the entire year for each customer so that bills are not an order of magnitude higher in August than in all other months. We plan to inform customers via text when RA periods are expected in order to facilitate conservation. For T&amp;D costs, we propose keeping rates the same as they are now, but are open to the idea of restructuring those rates with coincident peak pricing as well in order to further incentivize conservation when it is needed most.</w:t>
      </w:r>
    </w:p>
    <w:p w14:paraId="34DD075D" w14:textId="4A394D81" w:rsidR="00732E46" w:rsidRDefault="00DB3364" w:rsidP="00DB3364">
      <w:pPr>
        <w:pStyle w:val="Heading1"/>
      </w:pPr>
      <w:r>
        <w:t xml:space="preserve">V. </w:t>
      </w:r>
      <w:r w:rsidR="000F2C11">
        <w:t>Conclusion</w:t>
      </w:r>
    </w:p>
    <w:p w14:paraId="39F2D911" w14:textId="77777777" w:rsidR="00CE32A9" w:rsidRPr="00CE32A9" w:rsidRDefault="00CE32A9" w:rsidP="00CE32A9">
      <w:pPr>
        <w:pStyle w:val="Heading2"/>
        <w:rPr>
          <w:i w:val="0"/>
        </w:rPr>
      </w:pPr>
      <w:r w:rsidRPr="00CE32A9">
        <w:rPr>
          <w:i w:val="0"/>
        </w:rPr>
        <w:t xml:space="preserve">The goal of this project was to develop a 100% renewable energy plan for the City of San Diego given a load profile and geographic constraints. This was done by evaluating the existing conditions of San Diego’s grid, building models for renewable energy generators, and evaluating generator requirements beyond serving the load. The outcomes of this research and analysis were used in a capacity expansion model to determine generator capacity and investment requirements. </w:t>
      </w:r>
    </w:p>
    <w:p w14:paraId="347E3AF1" w14:textId="77777777" w:rsidR="00CE32A9" w:rsidRPr="00CE32A9" w:rsidRDefault="00CE32A9" w:rsidP="00CE32A9">
      <w:pPr>
        <w:pStyle w:val="Heading2"/>
        <w:rPr>
          <w:i w:val="0"/>
        </w:rPr>
      </w:pPr>
    </w:p>
    <w:p w14:paraId="1E703947" w14:textId="7ABDEF82" w:rsidR="00732E46" w:rsidRDefault="00CE32A9" w:rsidP="00CE32A9">
      <w:pPr>
        <w:pStyle w:val="Heading2"/>
      </w:pPr>
      <w:r w:rsidRPr="00CE32A9">
        <w:rPr>
          <w:i w:val="0"/>
        </w:rPr>
        <w:t>We are confident that our proposed generation portfolio represents the most cost effective portfolio that meets the requirements of 100% renewable energy while maintaining reliability. Costs are significantly higher than current SDGE supply costs, but this is the price of sprinting so quickly to a full 100% renewable mandate. We note that relaxing the constraint to even just 95% renewable would likely lead to a significant reduction in costs given that natural gas plants have significantly lower capital costs than geothermal while providing similar levels of resource adequacy (the constraint driving the bulk of our expenses). Taking a more holistic view, the added costs in electricity due to the 100% renewable requirement is small in comparison to the benefits of leading the nation towards a renewable energy future</w:t>
      </w:r>
      <w:r w:rsidR="000F2C11">
        <w:t xml:space="preserve">. </w:t>
      </w:r>
    </w:p>
    <w:p w14:paraId="52521F00" w14:textId="77777777" w:rsidR="00732E46" w:rsidRDefault="000F2C11">
      <w:pPr>
        <w:keepNext/>
        <w:pBdr>
          <w:top w:val="nil"/>
          <w:left w:val="nil"/>
          <w:bottom w:val="nil"/>
          <w:right w:val="nil"/>
          <w:between w:val="nil"/>
        </w:pBdr>
        <w:spacing w:before="240" w:after="80"/>
        <w:jc w:val="center"/>
        <w:rPr>
          <w:smallCaps/>
          <w:color w:val="000000"/>
        </w:rPr>
      </w:pPr>
      <w:r>
        <w:rPr>
          <w:smallCaps/>
          <w:color w:val="000000"/>
        </w:rPr>
        <w:t>Appendix</w:t>
      </w:r>
    </w:p>
    <w:p w14:paraId="337C2468" w14:textId="77777777" w:rsidR="00732E46" w:rsidRDefault="000F2C11">
      <w:pPr>
        <w:widowControl w:val="0"/>
        <w:pBdr>
          <w:top w:val="nil"/>
          <w:left w:val="nil"/>
          <w:bottom w:val="nil"/>
          <w:right w:val="nil"/>
          <w:between w:val="nil"/>
        </w:pBdr>
        <w:spacing w:line="252" w:lineRule="auto"/>
        <w:ind w:firstLine="202"/>
        <w:jc w:val="both"/>
        <w:rPr>
          <w:color w:val="000000"/>
        </w:rPr>
      </w:pPr>
      <w:r>
        <w:rPr>
          <w:color w:val="000000"/>
        </w:rPr>
        <w:t>Appendixes, if needed, appear before the acknowledgment.</w:t>
      </w:r>
    </w:p>
    <w:p w14:paraId="3C8D88B7" w14:textId="77777777" w:rsidR="00732E46" w:rsidRDefault="000F2C11">
      <w:pPr>
        <w:keepNext/>
        <w:pBdr>
          <w:top w:val="nil"/>
          <w:left w:val="nil"/>
          <w:bottom w:val="nil"/>
          <w:right w:val="nil"/>
          <w:between w:val="nil"/>
        </w:pBdr>
        <w:spacing w:before="240" w:after="80"/>
        <w:jc w:val="center"/>
        <w:rPr>
          <w:smallCaps/>
          <w:color w:val="000000"/>
        </w:rPr>
      </w:pPr>
      <w:r>
        <w:rPr>
          <w:smallCaps/>
          <w:color w:val="000000"/>
        </w:rPr>
        <w:t>Acknowledgment</w:t>
      </w:r>
    </w:p>
    <w:p w14:paraId="1CC2B3A4" w14:textId="77777777" w:rsidR="00732E46" w:rsidRDefault="000F2C11">
      <w:pPr>
        <w:widowControl w:val="0"/>
        <w:pBdr>
          <w:top w:val="nil"/>
          <w:left w:val="nil"/>
          <w:bottom w:val="nil"/>
          <w:right w:val="nil"/>
          <w:between w:val="nil"/>
        </w:pBdr>
        <w:spacing w:line="252" w:lineRule="auto"/>
        <w:ind w:firstLine="202"/>
        <w:jc w:val="both"/>
        <w:rPr>
          <w:color w:val="000000"/>
        </w:rPr>
      </w:pPr>
      <w:r>
        <w:rPr>
          <w:color w:val="000000"/>
        </w:rPr>
        <w:t>The preferred spelling of the word “acknowledgment” in American English is without an “e” after the “g.” Use the singular heading even if you have many acknowledgments. Avoid expressions such as “One of us (S.B.A.) would like to thank ... .” Instead, write “F. A. Author thanks ... .” In most cases, sponsor and financial support acknowledgments are placed in the unnumbered footnote on the first page, not here.</w:t>
      </w:r>
    </w:p>
    <w:p w14:paraId="74726847" w14:textId="77777777" w:rsidR="00732E46" w:rsidRDefault="000F2C11" w:rsidP="00932FBA">
      <w:pPr>
        <w:pStyle w:val="Heading1"/>
        <w:ind w:left="1170"/>
        <w:jc w:val="left"/>
      </w:pPr>
      <w:bookmarkStart w:id="3" w:name="_heading=h.ji51hl1e8dp3" w:colFirst="0" w:colLast="0"/>
      <w:bookmarkEnd w:id="3"/>
      <w:r>
        <w:t>References and Footnotes</w:t>
      </w:r>
    </w:p>
    <w:p w14:paraId="6417537E" w14:textId="3B3D54D6" w:rsidR="00732E46" w:rsidRDefault="00EF6430" w:rsidP="00EF6430">
      <w:pPr>
        <w:pStyle w:val="Heading2"/>
        <w:numPr>
          <w:ilvl w:val="0"/>
          <w:numId w:val="0"/>
        </w:numPr>
        <w:tabs>
          <w:tab w:val="left" w:pos="180"/>
        </w:tabs>
        <w:ind w:left="90"/>
      </w:pPr>
      <w:r>
        <w:t xml:space="preserve">A. </w:t>
      </w:r>
      <w:r w:rsidR="000F2C11">
        <w:t>References</w:t>
      </w:r>
    </w:p>
    <w:p w14:paraId="6DEAF198" w14:textId="6AC0F2D2" w:rsidR="00732E46" w:rsidRDefault="000F2C11">
      <w:pPr>
        <w:widowControl w:val="0"/>
        <w:pBdr>
          <w:top w:val="nil"/>
          <w:left w:val="nil"/>
          <w:bottom w:val="nil"/>
          <w:right w:val="nil"/>
          <w:between w:val="nil"/>
        </w:pBdr>
        <w:spacing w:line="252" w:lineRule="auto"/>
        <w:ind w:firstLine="202"/>
        <w:jc w:val="both"/>
        <w:rPr>
          <w:color w:val="000000"/>
        </w:rPr>
      </w:pPr>
      <w:r>
        <w:rPr>
          <w:color w:val="000000"/>
        </w:rPr>
        <w:t xml:space="preserve">References need not be cited in text. When they are, they appear on the line, in square brackets, inside the punctuation. Multiple references are each numbered with separate brackets. When citing a section in a book, please give the relevant page numbers. In text, refer simply to the reference number. Do not use “Ref.” or “reference” except at the beginning of a sentence: “Reference [3] shows ... .” Please do not use automatic endnotes in </w:t>
      </w:r>
      <w:r>
        <w:rPr>
          <w:i/>
          <w:color w:val="000000"/>
        </w:rPr>
        <w:t>Word</w:t>
      </w:r>
      <w:r>
        <w:rPr>
          <w:color w:val="000000"/>
        </w:rPr>
        <w:t>, rather, type the reference list at the end of the paper using the “References” style.</w:t>
      </w:r>
    </w:p>
    <w:p w14:paraId="694358D7" w14:textId="1DB68CD7" w:rsidR="00732E46" w:rsidRDefault="000F2C11">
      <w:pPr>
        <w:widowControl w:val="0"/>
        <w:pBdr>
          <w:top w:val="nil"/>
          <w:left w:val="nil"/>
          <w:bottom w:val="nil"/>
          <w:right w:val="nil"/>
          <w:between w:val="nil"/>
        </w:pBdr>
        <w:spacing w:line="252" w:lineRule="auto"/>
        <w:ind w:firstLine="144"/>
        <w:jc w:val="both"/>
        <w:rPr>
          <w:color w:val="000000"/>
        </w:rPr>
      </w:pPr>
      <w:r>
        <w:rPr>
          <w:color w:val="000000"/>
        </w:rPr>
        <w:t xml:space="preserve">Reference numbers are set flush left and form a column of their own, hanging out beyond the body of the reference. The reference numbers are on the line, enclosed in square brackets. In all references, the given name of the author or editor is abbreviated to the initial only and precedes the last name. Use them all; use </w:t>
      </w:r>
      <w:r>
        <w:rPr>
          <w:i/>
          <w:color w:val="000000"/>
        </w:rPr>
        <w:t>et al</w:t>
      </w:r>
      <w:r>
        <w:rPr>
          <w:color w:val="000000"/>
        </w:rPr>
        <w:t>. only if names are not given or if t</w:t>
      </w:r>
      <w:r>
        <w:t>here are more than 6 authors</w:t>
      </w:r>
      <w:r>
        <w:rPr>
          <w:color w:val="000000"/>
        </w:rPr>
        <w:t xml:space="preserve">. Use commas around Jr., Sr., and III in names. Abbreviate conference titles. When citing IEEE </w:t>
      </w:r>
      <w:r>
        <w:t>T</w:t>
      </w:r>
      <w:r>
        <w:rPr>
          <w:color w:val="000000"/>
        </w:rPr>
        <w:t xml:space="preserve">ransactions, provide the issue number, page range, volume number, </w:t>
      </w:r>
      <w:r>
        <w:t xml:space="preserve">month if available, and </w:t>
      </w:r>
      <w:r>
        <w:rPr>
          <w:color w:val="000000"/>
        </w:rPr>
        <w:t xml:space="preserve">year. When referencing a patent, provide the day and the month of issue, or application. References may not include all information; please obtain and include relevant information. Do not combine references. There must be only one reference with each number. If there is a URL included with the reference, it can be included at the end of the reference. </w:t>
      </w:r>
    </w:p>
    <w:p w14:paraId="57B41D6D" w14:textId="7971CD77" w:rsidR="00732E46" w:rsidRDefault="000F2C11">
      <w:pPr>
        <w:widowControl w:val="0"/>
        <w:pBdr>
          <w:top w:val="nil"/>
          <w:left w:val="nil"/>
          <w:bottom w:val="nil"/>
          <w:right w:val="nil"/>
          <w:between w:val="nil"/>
        </w:pBdr>
        <w:spacing w:line="252" w:lineRule="auto"/>
        <w:ind w:firstLine="144"/>
        <w:jc w:val="both"/>
        <w:rPr>
          <w:color w:val="000000"/>
        </w:rPr>
      </w:pPr>
      <w:r>
        <w:rPr>
          <w:color w:val="000000"/>
        </w:rPr>
        <w:t xml:space="preserve">Other than books, capitalize only the first word in </w:t>
      </w:r>
      <w:r>
        <w:t>an article</w:t>
      </w:r>
      <w:r>
        <w:rPr>
          <w:color w:val="000000"/>
        </w:rPr>
        <w:t xml:space="preserve"> title, except for proper nouns and element symbols. For </w:t>
      </w:r>
      <w:r>
        <w:t xml:space="preserve">articles </w:t>
      </w:r>
      <w:r>
        <w:rPr>
          <w:color w:val="000000"/>
        </w:rPr>
        <w:t xml:space="preserve">published in translation journals, please give the English citation first, followed by the original foreign-language citation. See the end of this document for formats and examples of common references. For a complete discussion of references and their formats, see the </w:t>
      </w:r>
      <w:r w:rsidRPr="005C68BC">
        <w:rPr>
          <w:i/>
          <w:iCs/>
          <w:color w:val="000000"/>
        </w:rPr>
        <w:t xml:space="preserve">IEEE Editorial </w:t>
      </w:r>
      <w:r w:rsidRPr="005C68BC">
        <w:rPr>
          <w:i/>
          <w:iCs/>
        </w:rPr>
        <w:t>S</w:t>
      </w:r>
      <w:r w:rsidRPr="005C68BC">
        <w:rPr>
          <w:i/>
          <w:iCs/>
          <w:color w:val="000000"/>
        </w:rPr>
        <w:t xml:space="preserve">tyle </w:t>
      </w:r>
      <w:r w:rsidRPr="005C68BC">
        <w:rPr>
          <w:i/>
          <w:iCs/>
        </w:rPr>
        <w:t>M</w:t>
      </w:r>
      <w:r w:rsidRPr="005C68BC">
        <w:rPr>
          <w:i/>
          <w:iCs/>
          <w:color w:val="000000"/>
        </w:rPr>
        <w:t>anual</w:t>
      </w:r>
      <w:r>
        <w:rPr>
          <w:color w:val="000000"/>
        </w:rPr>
        <w:t xml:space="preserve"> </w:t>
      </w:r>
      <w:r w:rsidR="00A530D2">
        <w:rPr>
          <w:i/>
          <w:iCs/>
          <w:color w:val="000000"/>
        </w:rPr>
        <w:t xml:space="preserve">for Authors </w:t>
      </w:r>
      <w:r>
        <w:rPr>
          <w:color w:val="000000"/>
        </w:rPr>
        <w:t xml:space="preserve">at </w:t>
      </w:r>
      <w:hyperlink r:id="rId22">
        <w:r>
          <w:rPr>
            <w:color w:val="1155CC"/>
            <w:sz w:val="19"/>
            <w:szCs w:val="19"/>
            <w:highlight w:val="white"/>
            <w:u w:val="single"/>
          </w:rPr>
          <w:t>https://journals.ieeeauthorcenter.ieee.org/create-your-ieee-journal-article/create-the-text-of-your-article/ieee-editorial-style-manual/</w:t>
        </w:r>
      </w:hyperlink>
      <w:r>
        <w:rPr>
          <w:color w:val="000000"/>
        </w:rPr>
        <w:t>.</w:t>
      </w:r>
    </w:p>
    <w:p w14:paraId="1DE45720" w14:textId="77777777" w:rsidR="001F512A" w:rsidRDefault="001F512A">
      <w:pPr>
        <w:widowControl w:val="0"/>
        <w:pBdr>
          <w:top w:val="nil"/>
          <w:left w:val="nil"/>
          <w:bottom w:val="nil"/>
          <w:right w:val="nil"/>
          <w:between w:val="nil"/>
        </w:pBdr>
        <w:spacing w:line="252" w:lineRule="auto"/>
        <w:ind w:firstLine="144"/>
        <w:jc w:val="both"/>
        <w:rPr>
          <w:color w:val="000000"/>
        </w:rPr>
      </w:pPr>
    </w:p>
    <w:p w14:paraId="33D9B8F6" w14:textId="4F3C62E8" w:rsidR="00732E46" w:rsidRDefault="00EF6430" w:rsidP="00EF6430">
      <w:pPr>
        <w:pStyle w:val="Heading2"/>
        <w:numPr>
          <w:ilvl w:val="0"/>
          <w:numId w:val="0"/>
        </w:numPr>
      </w:pPr>
      <w:r>
        <w:t xml:space="preserve">B. </w:t>
      </w:r>
      <w:r w:rsidR="000F2C11">
        <w:t>Footnotes</w:t>
      </w:r>
    </w:p>
    <w:p w14:paraId="42999174" w14:textId="2A5100B6" w:rsidR="00732E46" w:rsidRDefault="000F2C11">
      <w:pPr>
        <w:widowControl w:val="0"/>
        <w:pBdr>
          <w:top w:val="nil"/>
          <w:left w:val="nil"/>
          <w:bottom w:val="nil"/>
          <w:right w:val="nil"/>
          <w:between w:val="nil"/>
        </w:pBdr>
        <w:spacing w:line="252" w:lineRule="auto"/>
        <w:ind w:firstLine="202"/>
        <w:jc w:val="both"/>
        <w:rPr>
          <w:color w:val="000000"/>
        </w:rPr>
      </w:pPr>
      <w:r>
        <w:rPr>
          <w:color w:val="000000"/>
        </w:rPr>
        <w:t xml:space="preserve">Number footnotes separately in superscripts (Insert | </w:t>
      </w:r>
      <w:r>
        <w:rPr>
          <w:color w:val="000000"/>
        </w:rPr>
        <w:lastRenderedPageBreak/>
        <w:t>Footnote).</w:t>
      </w:r>
      <w:r w:rsidRPr="001B0334">
        <w:rPr>
          <w:color w:val="000000"/>
          <w:vertAlign w:val="superscript"/>
        </w:rPr>
        <w:footnoteReference w:id="2"/>
      </w:r>
      <w:r>
        <w:rPr>
          <w:color w:val="000000"/>
        </w:rPr>
        <w:t xml:space="preserve"> Place the actual footnote at the bottom of the column in which it is cited; do not put footnotes in the reference list (endnotes). Use letters for table footnotes (see Table I). </w:t>
      </w:r>
    </w:p>
    <w:p w14:paraId="4CEB8735" w14:textId="21956F37" w:rsidR="00732E46" w:rsidRDefault="000F2C11" w:rsidP="00DB3364">
      <w:pPr>
        <w:pStyle w:val="Heading1"/>
      </w:pPr>
      <w:r>
        <w:t xml:space="preserve">Submitting Your </w:t>
      </w:r>
      <w:r w:rsidR="00E57D3D" w:rsidRPr="00E57D3D">
        <w:t>Article</w:t>
      </w:r>
      <w:r w:rsidR="00E57D3D">
        <w:t xml:space="preserve"> </w:t>
      </w:r>
      <w:r>
        <w:t>for Review</w:t>
      </w:r>
    </w:p>
    <w:p w14:paraId="02AED5B9" w14:textId="281E4866" w:rsidR="00732E46" w:rsidRDefault="00EF6430" w:rsidP="00EF6430">
      <w:pPr>
        <w:pStyle w:val="Heading2"/>
        <w:numPr>
          <w:ilvl w:val="0"/>
          <w:numId w:val="0"/>
        </w:numPr>
      </w:pPr>
      <w:r>
        <w:t xml:space="preserve">A. </w:t>
      </w:r>
      <w:r w:rsidR="000F2C11">
        <w:t xml:space="preserve">Review Stage Using </w:t>
      </w:r>
      <w:proofErr w:type="spellStart"/>
      <w:r w:rsidR="000F2C11">
        <w:t>ScholarOne</w:t>
      </w:r>
      <w:proofErr w:type="spellEnd"/>
      <w:r w:rsidR="000F2C11">
        <w:t xml:space="preserve"> Manuscripts</w:t>
      </w:r>
    </w:p>
    <w:p w14:paraId="11B24C45" w14:textId="087C76F6" w:rsidR="00732E46" w:rsidRDefault="000F2C11" w:rsidP="00E57D3D">
      <w:pPr>
        <w:tabs>
          <w:tab w:val="left" w:pos="360"/>
        </w:tabs>
        <w:ind w:firstLine="360"/>
        <w:jc w:val="both"/>
      </w:pPr>
      <w:r>
        <w:rPr>
          <w:color w:val="000000"/>
        </w:rPr>
        <w:t xml:space="preserve">Contributions to the Transactions, Journals, and Letters may be submitted electronically on IEEE’s online manuscript submission and peer-review system, </w:t>
      </w:r>
      <w:proofErr w:type="spellStart"/>
      <w:r>
        <w:rPr>
          <w:color w:val="000000"/>
        </w:rPr>
        <w:t>ScholarOne</w:t>
      </w:r>
      <w:proofErr w:type="spellEnd"/>
      <w:r>
        <w:rPr>
          <w:color w:val="000000"/>
        </w:rPr>
        <w:t xml:space="preserve"> Manuscripts. You </w:t>
      </w:r>
      <w:r>
        <w:t xml:space="preserve">can get help choosing the correct publication for your manuscript as well as find their corresponding </w:t>
      </w:r>
      <w:proofErr w:type="spellStart"/>
      <w:r>
        <w:t>ScholarOne</w:t>
      </w:r>
      <w:proofErr w:type="spellEnd"/>
      <w:r>
        <w:t xml:space="preserve"> Manuscripts peer review site using the tools listed at</w:t>
      </w:r>
      <w:r w:rsidR="00E57D3D">
        <w:t xml:space="preserve"> </w:t>
      </w:r>
      <w:hyperlink r:id="rId23">
        <w:r>
          <w:rPr>
            <w:color w:val="0000FF"/>
            <w:u w:val="single"/>
          </w:rPr>
          <w:t>http://www.ieee.org/publications_standards/publications/authors/authors_submission.html</w:t>
        </w:r>
      </w:hyperlink>
      <w:r>
        <w:rPr>
          <w:color w:val="000000"/>
        </w:rPr>
        <w:t xml:space="preserve"> </w:t>
      </w:r>
      <w:r>
        <w:t xml:space="preserve">Once you have chosen your publication and navigated to the </w:t>
      </w:r>
      <w:proofErr w:type="spellStart"/>
      <w:r>
        <w:t>ScholarOne</w:t>
      </w:r>
      <w:proofErr w:type="spellEnd"/>
      <w:r>
        <w:t xml:space="preserve"> site, check first to see if you have an existing account. If there is none, please create a new account. After logging in, go to your Author Center and click “Start New Submission.”</w:t>
      </w:r>
    </w:p>
    <w:p w14:paraId="0024B00E" w14:textId="70846DB2" w:rsidR="00732E46" w:rsidRDefault="000F2C11">
      <w:pPr>
        <w:tabs>
          <w:tab w:val="left" w:pos="360"/>
        </w:tabs>
        <w:jc w:val="both"/>
      </w:pPr>
      <w:r>
        <w:tab/>
        <w:t>Along with other information, you will be asked to select the manuscript type from the journal’s pre-determined list of options</w:t>
      </w:r>
      <w:r w:rsidR="00E45781">
        <w:t>.</w:t>
      </w:r>
      <w:r>
        <w:t xml:space="preserve"> Depending on the journal, there are various steps to the submission process; please make sure to carefully answer all of the submission questions presented to you. At the end of each step you must click “Save and Continue”; just uploading the paper is not sufficient. After the last step, you should see a confirmation that the submission is complete. You should also receive an e-mail confirmation. For inquiries regarding the submission of your paper on </w:t>
      </w:r>
      <w:proofErr w:type="spellStart"/>
      <w:r>
        <w:t>ScholarOne</w:t>
      </w:r>
      <w:proofErr w:type="spellEnd"/>
      <w:r>
        <w:t xml:space="preserve"> Manuscripts, please contact </w:t>
      </w:r>
      <w:r>
        <w:rPr>
          <w:color w:val="1155CC"/>
        </w:rPr>
        <w:t>oprs-support@ieee.org</w:t>
      </w:r>
      <w:r>
        <w:t xml:space="preserve"> or call +1 732 465 5861.</w:t>
      </w:r>
    </w:p>
    <w:p w14:paraId="1A82A7C6" w14:textId="0ADD441D" w:rsidR="00732E46" w:rsidRDefault="000F2C11">
      <w:pPr>
        <w:tabs>
          <w:tab w:val="left" w:pos="360"/>
        </w:tabs>
        <w:jc w:val="both"/>
      </w:pPr>
      <w:r>
        <w:tab/>
      </w:r>
      <w:proofErr w:type="spellStart"/>
      <w:r>
        <w:t>ScholarOne</w:t>
      </w:r>
      <w:proofErr w:type="spellEnd"/>
      <w:r>
        <w:t xml:space="preserve"> Manuscripts will accept files for review in various formats. </w:t>
      </w:r>
      <w:r w:rsidR="0080720F">
        <w:t>T</w:t>
      </w:r>
      <w:r>
        <w:t>here is a “Journal Home</w:t>
      </w:r>
      <w:r w:rsidR="0080720F">
        <w:t>”</w:t>
      </w:r>
      <w:r>
        <w:t xml:space="preserve"> link on the log-in page of each </w:t>
      </w:r>
      <w:proofErr w:type="spellStart"/>
      <w:r>
        <w:t>ScholarOne</w:t>
      </w:r>
      <w:proofErr w:type="spellEnd"/>
      <w:r>
        <w:t xml:space="preserve"> Manuscripts site that will bring you to the journal’s homepage with their detailed requirements; please check these guidelines for your particular journal before you submit.  </w:t>
      </w:r>
    </w:p>
    <w:p w14:paraId="03B9F038" w14:textId="77777777" w:rsidR="001F512A" w:rsidRDefault="001F512A">
      <w:pPr>
        <w:tabs>
          <w:tab w:val="left" w:pos="360"/>
        </w:tabs>
        <w:jc w:val="both"/>
      </w:pPr>
    </w:p>
    <w:p w14:paraId="21CD2FA6" w14:textId="224F6972" w:rsidR="00732E46" w:rsidRDefault="00EF6430" w:rsidP="00EF6430">
      <w:pPr>
        <w:pStyle w:val="Heading2"/>
        <w:numPr>
          <w:ilvl w:val="0"/>
          <w:numId w:val="0"/>
        </w:numPr>
      </w:pPr>
      <w:r>
        <w:t xml:space="preserve">B. </w:t>
      </w:r>
      <w:r w:rsidR="000F2C11">
        <w:t xml:space="preserve">Final Stage Using </w:t>
      </w:r>
      <w:proofErr w:type="spellStart"/>
      <w:r w:rsidR="000F2C11">
        <w:t>ScholarOne</w:t>
      </w:r>
      <w:proofErr w:type="spellEnd"/>
      <w:r w:rsidR="000F2C11">
        <w:t xml:space="preserve"> Manuscripts</w:t>
      </w:r>
    </w:p>
    <w:p w14:paraId="57A9A954" w14:textId="48F21AC0" w:rsidR="00732E46" w:rsidRDefault="000F2C11">
      <w:pPr>
        <w:shd w:val="clear" w:color="auto" w:fill="FFFFFF"/>
        <w:tabs>
          <w:tab w:val="left" w:pos="360"/>
        </w:tabs>
        <w:jc w:val="both"/>
      </w:pPr>
      <w:r>
        <w:t xml:space="preserve">Upon acceptance, you will receive an email with specific instructions regarding the submission of your final files. To avoid any delays in publication, please be sure to follow these instructions. </w:t>
      </w:r>
      <w:r w:rsidR="0080720F">
        <w:t>Fi</w:t>
      </w:r>
      <w:r>
        <w:t xml:space="preserve">nal submissions should include source files of your accepted manuscript, high quality graphic files (if not embedded in your source file), and a formatted pdf file. The accepted version of your manuscript will also be sent to the IEEE publication teams for a comparison to the final files to ensure no significant or unauthorized changes were made after acceptance. If you have any questions regarding the final submission process, please contact the administrative contact for the journal. </w:t>
      </w:r>
    </w:p>
    <w:p w14:paraId="22D1D3EF" w14:textId="46CC450C" w:rsidR="00732E46" w:rsidRDefault="000F2C11">
      <w:pPr>
        <w:shd w:val="clear" w:color="auto" w:fill="FFFFFF"/>
        <w:tabs>
          <w:tab w:val="left" w:pos="360"/>
        </w:tabs>
        <w:jc w:val="both"/>
      </w:pPr>
      <w:r>
        <w:tab/>
        <w:t xml:space="preserve">When submitting your final files on a hybrid OA journal you will have the opportunity to designate your article as “open access” if you agree to pay the IEEE open access fee. Please select the appropriate choice. Immediately after you have submitted your final files through </w:t>
      </w:r>
      <w:proofErr w:type="spellStart"/>
      <w:r>
        <w:t>ScholarOne</w:t>
      </w:r>
      <w:proofErr w:type="spellEnd"/>
      <w:r>
        <w:t xml:space="preserve"> Manuscripts you </w:t>
      </w:r>
      <w:r>
        <w:t xml:space="preserve">will be automatically redirected to the IEEE electronic copyright form wizard. Please complete the copyright at that time to avoid publication delays. </w:t>
      </w:r>
    </w:p>
    <w:p w14:paraId="66BC3830" w14:textId="77777777" w:rsidR="00732E46" w:rsidRDefault="00732E46">
      <w:pPr>
        <w:widowControl w:val="0"/>
        <w:pBdr>
          <w:top w:val="nil"/>
          <w:left w:val="nil"/>
          <w:bottom w:val="nil"/>
          <w:right w:val="nil"/>
          <w:between w:val="nil"/>
        </w:pBdr>
        <w:spacing w:line="252" w:lineRule="auto"/>
        <w:jc w:val="both"/>
        <w:rPr>
          <w:color w:val="000000"/>
        </w:rPr>
      </w:pPr>
    </w:p>
    <w:p w14:paraId="5DC46466" w14:textId="618BA0BF" w:rsidR="00732E46" w:rsidRDefault="00EF6430" w:rsidP="00EF6430">
      <w:pPr>
        <w:pStyle w:val="Heading2"/>
        <w:numPr>
          <w:ilvl w:val="0"/>
          <w:numId w:val="0"/>
        </w:numPr>
      </w:pPr>
      <w:r>
        <w:t xml:space="preserve">C. </w:t>
      </w:r>
      <w:r w:rsidR="000F2C11">
        <w:t>Copyright Form</w:t>
      </w:r>
    </w:p>
    <w:p w14:paraId="524C8A86" w14:textId="4D816C12" w:rsidR="00732E46" w:rsidRDefault="000F2C11">
      <w:pPr>
        <w:widowControl w:val="0"/>
        <w:pBdr>
          <w:top w:val="nil"/>
          <w:left w:val="nil"/>
          <w:bottom w:val="nil"/>
          <w:right w:val="nil"/>
          <w:between w:val="nil"/>
        </w:pBdr>
        <w:spacing w:line="252" w:lineRule="auto"/>
        <w:ind w:firstLine="202"/>
        <w:jc w:val="both"/>
        <w:rPr>
          <w:color w:val="000000"/>
        </w:rPr>
      </w:pPr>
      <w:r>
        <w:rPr>
          <w:color w:val="222222"/>
          <w:highlight w:val="white"/>
        </w:rPr>
        <w:t>Authors must submit an electronic IEEE Copyright Form (</w:t>
      </w:r>
      <w:proofErr w:type="spellStart"/>
      <w:r>
        <w:rPr>
          <w:color w:val="222222"/>
          <w:highlight w:val="white"/>
        </w:rPr>
        <w:t>eCF</w:t>
      </w:r>
      <w:proofErr w:type="spellEnd"/>
      <w:r>
        <w:rPr>
          <w:color w:val="222222"/>
          <w:highlight w:val="white"/>
        </w:rPr>
        <w:t xml:space="preserve">) upon submitting their final manuscript files. You can access the </w:t>
      </w:r>
      <w:proofErr w:type="spellStart"/>
      <w:r>
        <w:rPr>
          <w:color w:val="222222"/>
          <w:highlight w:val="white"/>
        </w:rPr>
        <w:t>eCF</w:t>
      </w:r>
      <w:proofErr w:type="spellEnd"/>
      <w:r>
        <w:rPr>
          <w:color w:val="222222"/>
          <w:highlight w:val="white"/>
        </w:rPr>
        <w:t xml:space="preserve"> system through your manuscript submission system or through the Author Gateway. You are responsible for obtaining any necessary approvals and/or security clearances. For additional information on intellectual property rights, visit the IEEE Intellectual Property Rights department web page at </w:t>
      </w:r>
      <w:hyperlink r:id="rId24">
        <w:r>
          <w:rPr>
            <w:color w:val="1155CC"/>
            <w:highlight w:val="white"/>
            <w:u w:val="single"/>
          </w:rPr>
          <w:t>https://www.ieee.org/publications/rights/index.html</w:t>
        </w:r>
      </w:hyperlink>
      <w:hyperlink r:id="rId25">
        <w:r>
          <w:rPr>
            <w:color w:val="1155CC"/>
            <w:highlight w:val="white"/>
            <w:u w:val="single"/>
          </w:rPr>
          <w:t xml:space="preserve"> </w:t>
        </w:r>
      </w:hyperlink>
    </w:p>
    <w:p w14:paraId="5D6B1EFA" w14:textId="77777777" w:rsidR="00732E46" w:rsidRDefault="000F2C11" w:rsidP="00932FBA">
      <w:pPr>
        <w:pStyle w:val="Heading1"/>
        <w:ind w:left="1170"/>
        <w:jc w:val="left"/>
      </w:pPr>
      <w:r>
        <w:t>IEEE Guidelines and Policies</w:t>
      </w:r>
    </w:p>
    <w:p w14:paraId="71905707" w14:textId="07BCE7F3" w:rsidR="00732E46" w:rsidRDefault="000F2C11">
      <w:pPr>
        <w:widowControl w:val="0"/>
        <w:pBdr>
          <w:top w:val="nil"/>
          <w:left w:val="nil"/>
          <w:bottom w:val="nil"/>
          <w:right w:val="nil"/>
          <w:between w:val="nil"/>
        </w:pBdr>
        <w:spacing w:line="252" w:lineRule="auto"/>
        <w:jc w:val="both"/>
        <w:rPr>
          <w:color w:val="000000"/>
        </w:rPr>
      </w:pPr>
      <w:r>
        <w:rPr>
          <w:color w:val="222222"/>
          <w:highlight w:val="white"/>
        </w:rPr>
        <w:t xml:space="preserve">A full overview of IEEE publishing guidelines and policies can be found at </w:t>
      </w:r>
      <w:hyperlink r:id="rId26">
        <w:r>
          <w:rPr>
            <w:color w:val="1155CC"/>
            <w:highlight w:val="white"/>
            <w:u w:val="single"/>
          </w:rPr>
          <w:t>https://journals.ieeeauthorcenter.ieee.org/become-an-ieee-journal-author/publishing-ethics/guidelines-and-policies/</w:t>
        </w:r>
      </w:hyperlink>
      <w:r>
        <w:rPr>
          <w:color w:val="222222"/>
          <w:highlight w:val="white"/>
        </w:rPr>
        <w:t xml:space="preserve">. They are designed to help authors understand and navigate the publishing process successfully. </w:t>
      </w:r>
      <w:r w:rsidR="00E45781">
        <w:rPr>
          <w:color w:val="222222"/>
          <w:highlight w:val="white"/>
        </w:rPr>
        <w:t>L</w:t>
      </w:r>
      <w:r>
        <w:rPr>
          <w:color w:val="222222"/>
          <w:highlight w:val="white"/>
        </w:rPr>
        <w:t>earn more about IEEE’s fundamental publishing guidelines and principles, submission and peer review policies, post-publication policies, and guidelines on advertising, accessibility, and data privacy.</w:t>
      </w:r>
    </w:p>
    <w:p w14:paraId="49678B33" w14:textId="77777777" w:rsidR="00732E46" w:rsidRDefault="000F2C11">
      <w:pPr>
        <w:keepNext/>
        <w:pBdr>
          <w:top w:val="nil"/>
          <w:left w:val="nil"/>
          <w:bottom w:val="nil"/>
          <w:right w:val="nil"/>
          <w:between w:val="nil"/>
        </w:pBdr>
        <w:spacing w:before="240" w:after="80"/>
        <w:jc w:val="center"/>
        <w:rPr>
          <w:color w:val="222222"/>
          <w:sz w:val="16"/>
          <w:szCs w:val="16"/>
        </w:rPr>
      </w:pPr>
      <w:r>
        <w:rPr>
          <w:smallCaps/>
          <w:color w:val="000000"/>
        </w:rPr>
        <w:t>References</w:t>
      </w:r>
    </w:p>
    <w:p w14:paraId="2453ED7C" w14:textId="77777777" w:rsidR="00732E46" w:rsidRDefault="000F2C11">
      <w:pPr>
        <w:rPr>
          <w:rFonts w:ascii="Times" w:eastAsia="Times" w:hAnsi="Times" w:cs="Times"/>
          <w:i/>
        </w:rPr>
      </w:pPr>
      <w:r>
        <w:rPr>
          <w:rFonts w:ascii="Times" w:eastAsia="Times" w:hAnsi="Times" w:cs="Times"/>
          <w:i/>
        </w:rPr>
        <w:t>Basic format for periodicals:</w:t>
      </w:r>
    </w:p>
    <w:p w14:paraId="42CA6C3D" w14:textId="7D09D7BB" w:rsidR="00732E46" w:rsidRDefault="000F2C11">
      <w:pPr>
        <w:rPr>
          <w:sz w:val="16"/>
          <w:szCs w:val="16"/>
          <w:highlight w:val="white"/>
        </w:rPr>
      </w:pPr>
      <w:r>
        <w:rPr>
          <w:sz w:val="16"/>
          <w:szCs w:val="16"/>
        </w:rPr>
        <w:t xml:space="preserve">J. K. Author, “Name of paper,” </w:t>
      </w:r>
      <w:r>
        <w:rPr>
          <w:i/>
          <w:sz w:val="16"/>
          <w:szCs w:val="16"/>
        </w:rPr>
        <w:t>Abbrev. Title of Periodical</w:t>
      </w:r>
      <w:r>
        <w:rPr>
          <w:sz w:val="16"/>
          <w:szCs w:val="16"/>
        </w:rPr>
        <w:t xml:space="preserve">, vol. </w:t>
      </w:r>
      <w:r>
        <w:rPr>
          <w:sz w:val="16"/>
          <w:szCs w:val="16"/>
          <w:highlight w:val="white"/>
        </w:rPr>
        <w:t xml:space="preserve">x, no. x, pp. xxx-xxx, Abbrev. Month, year, </w:t>
      </w:r>
      <w:proofErr w:type="spellStart"/>
      <w:r>
        <w:rPr>
          <w:sz w:val="16"/>
          <w:szCs w:val="16"/>
          <w:highlight w:val="white"/>
        </w:rPr>
        <w:t>doi</w:t>
      </w:r>
      <w:proofErr w:type="spellEnd"/>
      <w:r>
        <w:rPr>
          <w:sz w:val="16"/>
          <w:szCs w:val="16"/>
          <w:highlight w:val="white"/>
        </w:rPr>
        <w:t>: 10.1109.XXX.123456</w:t>
      </w:r>
      <w:r w:rsidR="001E7EDB">
        <w:rPr>
          <w:sz w:val="16"/>
          <w:szCs w:val="16"/>
          <w:highlight w:val="white"/>
        </w:rPr>
        <w:t>7</w:t>
      </w:r>
      <w:r>
        <w:rPr>
          <w:sz w:val="16"/>
          <w:szCs w:val="16"/>
          <w:highlight w:val="white"/>
        </w:rPr>
        <w:t>.</w:t>
      </w:r>
    </w:p>
    <w:p w14:paraId="6AA730DB" w14:textId="77777777" w:rsidR="00732E46" w:rsidRDefault="000F2C11">
      <w:pPr>
        <w:rPr>
          <w:rFonts w:ascii="Times" w:eastAsia="Times" w:hAnsi="Times" w:cs="Times"/>
          <w:i/>
        </w:rPr>
      </w:pPr>
      <w:r>
        <w:rPr>
          <w:rFonts w:ascii="Times" w:eastAsia="Times" w:hAnsi="Times" w:cs="Times"/>
          <w:i/>
        </w:rPr>
        <w:t>Periodicals using article numbers:</w:t>
      </w:r>
    </w:p>
    <w:p w14:paraId="2B0A3374" w14:textId="41B71D60" w:rsidR="00732E46" w:rsidRDefault="000F2C11">
      <w:pPr>
        <w:rPr>
          <w:sz w:val="16"/>
          <w:szCs w:val="16"/>
          <w:highlight w:val="white"/>
        </w:rPr>
      </w:pPr>
      <w:r>
        <w:rPr>
          <w:sz w:val="16"/>
          <w:szCs w:val="16"/>
        </w:rPr>
        <w:t xml:space="preserve">J. K. Author, “Name of paper,” </w:t>
      </w:r>
      <w:r>
        <w:rPr>
          <w:i/>
          <w:sz w:val="16"/>
          <w:szCs w:val="16"/>
        </w:rPr>
        <w:t>Abbrev. Title of Periodical</w:t>
      </w:r>
      <w:r>
        <w:rPr>
          <w:sz w:val="16"/>
          <w:szCs w:val="16"/>
        </w:rPr>
        <w:t xml:space="preserve">, vol. </w:t>
      </w:r>
      <w:r>
        <w:rPr>
          <w:sz w:val="16"/>
          <w:szCs w:val="16"/>
          <w:highlight w:val="white"/>
        </w:rPr>
        <w:t xml:space="preserve">x, no. x, Abbrev. Month, year, Art. no. </w:t>
      </w:r>
      <w:proofErr w:type="spellStart"/>
      <w:r>
        <w:rPr>
          <w:sz w:val="16"/>
          <w:szCs w:val="16"/>
          <w:highlight w:val="white"/>
        </w:rPr>
        <w:t>xxxxx</w:t>
      </w:r>
      <w:proofErr w:type="spellEnd"/>
      <w:r>
        <w:rPr>
          <w:sz w:val="16"/>
          <w:szCs w:val="16"/>
          <w:highlight w:val="white"/>
        </w:rPr>
        <w:t xml:space="preserve">, </w:t>
      </w:r>
      <w:proofErr w:type="spellStart"/>
      <w:r>
        <w:rPr>
          <w:sz w:val="16"/>
          <w:szCs w:val="16"/>
          <w:highlight w:val="white"/>
        </w:rPr>
        <w:t>doi</w:t>
      </w:r>
      <w:proofErr w:type="spellEnd"/>
      <w:r>
        <w:rPr>
          <w:sz w:val="16"/>
          <w:szCs w:val="16"/>
          <w:highlight w:val="white"/>
        </w:rPr>
        <w:t>: 10.1109.XXX.123456</w:t>
      </w:r>
      <w:r w:rsidR="001E7EDB">
        <w:rPr>
          <w:sz w:val="16"/>
          <w:szCs w:val="16"/>
          <w:highlight w:val="white"/>
        </w:rPr>
        <w:t>7</w:t>
      </w:r>
      <w:r>
        <w:rPr>
          <w:sz w:val="16"/>
          <w:szCs w:val="16"/>
          <w:highlight w:val="white"/>
        </w:rPr>
        <w:t>.</w:t>
      </w:r>
    </w:p>
    <w:p w14:paraId="4164A037" w14:textId="77777777" w:rsidR="00732E46" w:rsidRDefault="00732E46">
      <w:pPr>
        <w:rPr>
          <w:rFonts w:ascii="Times" w:eastAsia="Times" w:hAnsi="Times" w:cs="Times"/>
        </w:rPr>
      </w:pPr>
    </w:p>
    <w:p w14:paraId="4C6324DD" w14:textId="77777777" w:rsidR="00732E46" w:rsidRDefault="000F2C11">
      <w:pPr>
        <w:rPr>
          <w:i/>
        </w:rPr>
      </w:pPr>
      <w:r>
        <w:rPr>
          <w:i/>
        </w:rPr>
        <w:t>Examples:</w:t>
      </w:r>
    </w:p>
    <w:p w14:paraId="128A05AF" w14:textId="0AF91FFB" w:rsidR="00732E46" w:rsidRDefault="00932FBA" w:rsidP="00EF6430">
      <w:pPr>
        <w:pStyle w:val="Heading1"/>
        <w:numPr>
          <w:ilvl w:val="0"/>
          <w:numId w:val="7"/>
        </w:numPr>
        <w:spacing w:before="0" w:after="0"/>
        <w:ind w:left="270" w:hanging="270"/>
        <w:jc w:val="both"/>
      </w:pPr>
      <w:r w:rsidRPr="00932FBA">
        <w:rPr>
          <w:smallCaps w:val="0"/>
          <w:sz w:val="16"/>
          <w:szCs w:val="16"/>
        </w:rPr>
        <w:t xml:space="preserve">J. U. Duncombe, “Infrared navigation—Part I: An assessment of feasibility,” </w:t>
      </w:r>
      <w:r w:rsidRPr="00932FBA">
        <w:rPr>
          <w:i/>
          <w:smallCaps w:val="0"/>
          <w:sz w:val="16"/>
          <w:szCs w:val="16"/>
        </w:rPr>
        <w:t>IEEE Trans. Electron Devices</w:t>
      </w:r>
      <w:r w:rsidRPr="00932FBA">
        <w:rPr>
          <w:smallCaps w:val="0"/>
          <w:sz w:val="16"/>
          <w:szCs w:val="16"/>
        </w:rPr>
        <w:t xml:space="preserve">, vol. ED-11, no. 1, pp. 34–39, Jan. 1959, </w:t>
      </w:r>
      <w:proofErr w:type="spellStart"/>
      <w:r w:rsidRPr="00932FBA">
        <w:rPr>
          <w:smallCaps w:val="0"/>
          <w:sz w:val="16"/>
          <w:szCs w:val="16"/>
        </w:rPr>
        <w:t>doi</w:t>
      </w:r>
      <w:proofErr w:type="spellEnd"/>
      <w:r w:rsidRPr="00932FBA">
        <w:rPr>
          <w:smallCaps w:val="0"/>
          <w:sz w:val="16"/>
          <w:szCs w:val="16"/>
        </w:rPr>
        <w:t xml:space="preserve">: </w:t>
      </w:r>
      <w:r w:rsidRPr="00932FBA">
        <w:rPr>
          <w:rFonts w:ascii="Times" w:eastAsia="Times" w:hAnsi="Times" w:cs="Times"/>
          <w:smallCaps w:val="0"/>
          <w:sz w:val="16"/>
          <w:szCs w:val="16"/>
        </w:rPr>
        <w:t>10.1109/TED.2016.2628402</w:t>
      </w:r>
      <w:r w:rsidR="000F2C11" w:rsidRPr="00932FBA">
        <w:rPr>
          <w:sz w:val="16"/>
          <w:szCs w:val="16"/>
        </w:rPr>
        <w:t>.</w:t>
      </w:r>
    </w:p>
    <w:p w14:paraId="5408C46B" w14:textId="77777777" w:rsidR="00732E46" w:rsidRDefault="000F2C11" w:rsidP="00EF6430">
      <w:pPr>
        <w:numPr>
          <w:ilvl w:val="0"/>
          <w:numId w:val="1"/>
        </w:numPr>
        <w:ind w:left="270" w:hanging="270"/>
        <w:jc w:val="both"/>
      </w:pPr>
      <w:r>
        <w:rPr>
          <w:sz w:val="16"/>
          <w:szCs w:val="16"/>
        </w:rPr>
        <w:t xml:space="preserve">E. P. Wigner, “Theory of traveling-wave optical laser,” </w:t>
      </w:r>
      <w:r>
        <w:rPr>
          <w:i/>
          <w:sz w:val="16"/>
          <w:szCs w:val="16"/>
        </w:rPr>
        <w:t>Phys. Rev</w:t>
      </w:r>
      <w:r>
        <w:rPr>
          <w:sz w:val="16"/>
          <w:szCs w:val="16"/>
        </w:rPr>
        <w:t>., vol. 134, pp. A635–A646, Dec. 1965.</w:t>
      </w:r>
    </w:p>
    <w:p w14:paraId="6F641F66" w14:textId="77777777" w:rsidR="00732E46" w:rsidRDefault="000F2C11" w:rsidP="00EF6430">
      <w:pPr>
        <w:numPr>
          <w:ilvl w:val="0"/>
          <w:numId w:val="1"/>
        </w:numPr>
        <w:ind w:left="270" w:hanging="270"/>
        <w:jc w:val="both"/>
      </w:pPr>
      <w:r>
        <w:rPr>
          <w:sz w:val="16"/>
          <w:szCs w:val="16"/>
        </w:rPr>
        <w:t xml:space="preserve">P. </w:t>
      </w:r>
      <w:proofErr w:type="spellStart"/>
      <w:r>
        <w:rPr>
          <w:sz w:val="16"/>
          <w:szCs w:val="16"/>
        </w:rPr>
        <w:t>Kopyt</w:t>
      </w:r>
      <w:proofErr w:type="spellEnd"/>
      <w:r>
        <w:rPr>
          <w:sz w:val="16"/>
          <w:szCs w:val="16"/>
        </w:rPr>
        <w:t xml:space="preserve"> </w:t>
      </w:r>
      <w:r>
        <w:rPr>
          <w:i/>
          <w:sz w:val="16"/>
          <w:szCs w:val="16"/>
        </w:rPr>
        <w:t>et al., “</w:t>
      </w:r>
      <w:r>
        <w:rPr>
          <w:sz w:val="16"/>
          <w:szCs w:val="16"/>
        </w:rPr>
        <w:t xml:space="preserve">Electric properties of graphene-based conductive layers from DC up to terahertz range,” </w:t>
      </w:r>
      <w:r>
        <w:rPr>
          <w:i/>
          <w:sz w:val="16"/>
          <w:szCs w:val="16"/>
        </w:rPr>
        <w:t xml:space="preserve">IEEE THz Sci. Technol., </w:t>
      </w:r>
      <w:r>
        <w:rPr>
          <w:sz w:val="16"/>
          <w:szCs w:val="16"/>
        </w:rPr>
        <w:t xml:space="preserve">to be published, </w:t>
      </w:r>
      <w:proofErr w:type="spellStart"/>
      <w:r>
        <w:rPr>
          <w:sz w:val="16"/>
          <w:szCs w:val="16"/>
        </w:rPr>
        <w:t>doi</w:t>
      </w:r>
      <w:proofErr w:type="spellEnd"/>
      <w:r>
        <w:rPr>
          <w:sz w:val="16"/>
          <w:szCs w:val="16"/>
        </w:rPr>
        <w:t xml:space="preserve">: 10.1109/TTHZ.2016.2544142. </w:t>
      </w:r>
      <w:r>
        <w:rPr>
          <w:i/>
          <w:sz w:val="16"/>
          <w:szCs w:val="16"/>
        </w:rPr>
        <w:t>(Note: If a paper is still to be published, but is available in early access, please follow ref [5]).)</w:t>
      </w:r>
    </w:p>
    <w:p w14:paraId="6F1586C9" w14:textId="77777777" w:rsidR="00732E46" w:rsidRDefault="000F2C11" w:rsidP="00EF6430">
      <w:pPr>
        <w:numPr>
          <w:ilvl w:val="0"/>
          <w:numId w:val="1"/>
        </w:numPr>
        <w:ind w:left="270" w:hanging="270"/>
        <w:jc w:val="both"/>
        <w:rPr>
          <w:sz w:val="16"/>
          <w:szCs w:val="16"/>
        </w:rPr>
      </w:pPr>
      <w:r>
        <w:rPr>
          <w:sz w:val="16"/>
          <w:szCs w:val="16"/>
        </w:rPr>
        <w:t xml:space="preserve">R. Fardel, M. Nagel, F. </w:t>
      </w:r>
      <w:proofErr w:type="spellStart"/>
      <w:r>
        <w:rPr>
          <w:sz w:val="16"/>
          <w:szCs w:val="16"/>
        </w:rPr>
        <w:t>Nuesch</w:t>
      </w:r>
      <w:proofErr w:type="spellEnd"/>
      <w:r>
        <w:rPr>
          <w:sz w:val="16"/>
          <w:szCs w:val="16"/>
        </w:rPr>
        <w:t xml:space="preserve">, T. Lippert, and A. </w:t>
      </w:r>
      <w:proofErr w:type="spellStart"/>
      <w:r>
        <w:rPr>
          <w:sz w:val="16"/>
          <w:szCs w:val="16"/>
        </w:rPr>
        <w:t>Wokaun</w:t>
      </w:r>
      <w:proofErr w:type="spellEnd"/>
      <w:r>
        <w:rPr>
          <w:sz w:val="16"/>
          <w:szCs w:val="16"/>
        </w:rPr>
        <w:t xml:space="preserve">, “Fabrication of organic light emitting diode pixels by laser-assisted forward transfer,” </w:t>
      </w:r>
      <w:r>
        <w:rPr>
          <w:i/>
          <w:sz w:val="16"/>
          <w:szCs w:val="16"/>
        </w:rPr>
        <w:t>Appl. Phys. Lett.</w:t>
      </w:r>
      <w:r>
        <w:rPr>
          <w:sz w:val="16"/>
          <w:szCs w:val="16"/>
        </w:rPr>
        <w:t>, vol. 91, no. 6, Aug. 2007, Art. no. 061103. </w:t>
      </w:r>
    </w:p>
    <w:p w14:paraId="27E0BB3E" w14:textId="7E8649CF" w:rsidR="00732E46" w:rsidRDefault="000F2C11" w:rsidP="00EF6430">
      <w:pPr>
        <w:numPr>
          <w:ilvl w:val="0"/>
          <w:numId w:val="1"/>
        </w:numPr>
        <w:ind w:left="270" w:hanging="270"/>
        <w:jc w:val="both"/>
        <w:rPr>
          <w:sz w:val="16"/>
          <w:szCs w:val="16"/>
        </w:rPr>
      </w:pPr>
      <w:r>
        <w:rPr>
          <w:sz w:val="16"/>
          <w:szCs w:val="16"/>
        </w:rPr>
        <w:t xml:space="preserve">D. </w:t>
      </w:r>
      <w:proofErr w:type="spellStart"/>
      <w:r>
        <w:rPr>
          <w:sz w:val="16"/>
          <w:szCs w:val="16"/>
        </w:rPr>
        <w:t>Comite</w:t>
      </w:r>
      <w:proofErr w:type="spellEnd"/>
      <w:r>
        <w:rPr>
          <w:sz w:val="16"/>
          <w:szCs w:val="16"/>
        </w:rPr>
        <w:t xml:space="preserve"> and N. </w:t>
      </w:r>
      <w:proofErr w:type="spellStart"/>
      <w:r>
        <w:rPr>
          <w:sz w:val="16"/>
          <w:szCs w:val="16"/>
        </w:rPr>
        <w:t>Pierdicca</w:t>
      </w:r>
      <w:proofErr w:type="spellEnd"/>
      <w:r>
        <w:rPr>
          <w:sz w:val="16"/>
          <w:szCs w:val="16"/>
        </w:rPr>
        <w:t xml:space="preserve">, "Decorrelation of the near-specular land scattering in bistatic radar systems," </w:t>
      </w:r>
      <w:r>
        <w:rPr>
          <w:i/>
          <w:sz w:val="16"/>
          <w:szCs w:val="16"/>
        </w:rPr>
        <w:t xml:space="preserve">IEEE Trans. </w:t>
      </w:r>
      <w:proofErr w:type="spellStart"/>
      <w:r>
        <w:rPr>
          <w:i/>
          <w:sz w:val="16"/>
          <w:szCs w:val="16"/>
        </w:rPr>
        <w:t>Geosci</w:t>
      </w:r>
      <w:proofErr w:type="spellEnd"/>
      <w:r>
        <w:rPr>
          <w:i/>
          <w:sz w:val="16"/>
          <w:szCs w:val="16"/>
        </w:rPr>
        <w:t>. Remote Sens.</w:t>
      </w:r>
      <w:r>
        <w:rPr>
          <w:sz w:val="16"/>
          <w:szCs w:val="16"/>
        </w:rPr>
        <w:t xml:space="preserve">, early access, </w:t>
      </w:r>
      <w:proofErr w:type="spellStart"/>
      <w:r>
        <w:rPr>
          <w:sz w:val="16"/>
          <w:szCs w:val="16"/>
        </w:rPr>
        <w:t>doi</w:t>
      </w:r>
      <w:proofErr w:type="spellEnd"/>
      <w:r>
        <w:rPr>
          <w:sz w:val="16"/>
          <w:szCs w:val="16"/>
        </w:rPr>
        <w:t>: 10.1109/TGRS.2021.3072864. (</w:t>
      </w:r>
      <w:r>
        <w:rPr>
          <w:i/>
          <w:sz w:val="16"/>
          <w:szCs w:val="16"/>
        </w:rPr>
        <w:t xml:space="preserve">Note: This format is used for articles in early access. The </w:t>
      </w:r>
      <w:proofErr w:type="spellStart"/>
      <w:r>
        <w:rPr>
          <w:i/>
          <w:sz w:val="16"/>
          <w:szCs w:val="16"/>
        </w:rPr>
        <w:t>doi</w:t>
      </w:r>
      <w:proofErr w:type="spellEnd"/>
      <w:r>
        <w:rPr>
          <w:i/>
          <w:sz w:val="16"/>
          <w:szCs w:val="16"/>
        </w:rPr>
        <w:t xml:space="preserve"> must be included.)</w:t>
      </w:r>
    </w:p>
    <w:p w14:paraId="737BF47D" w14:textId="1494FB6B" w:rsidR="00732E46" w:rsidRDefault="000F2C11" w:rsidP="00EF6430">
      <w:pPr>
        <w:numPr>
          <w:ilvl w:val="0"/>
          <w:numId w:val="1"/>
        </w:numPr>
        <w:ind w:left="270" w:hanging="270"/>
        <w:jc w:val="both"/>
        <w:rPr>
          <w:sz w:val="16"/>
          <w:szCs w:val="16"/>
        </w:rPr>
      </w:pPr>
      <w:r>
        <w:rPr>
          <w:sz w:val="16"/>
          <w:szCs w:val="16"/>
        </w:rPr>
        <w:t xml:space="preserve">H. V. </w:t>
      </w:r>
      <w:proofErr w:type="spellStart"/>
      <w:r>
        <w:rPr>
          <w:sz w:val="16"/>
          <w:szCs w:val="16"/>
        </w:rPr>
        <w:t>Habi</w:t>
      </w:r>
      <w:proofErr w:type="spellEnd"/>
      <w:r>
        <w:rPr>
          <w:sz w:val="16"/>
          <w:szCs w:val="16"/>
        </w:rPr>
        <w:t xml:space="preserve"> and H. Messer, "Recurrent neural network for rain estimation using commercial microwave links," </w:t>
      </w:r>
      <w:r>
        <w:rPr>
          <w:i/>
          <w:sz w:val="16"/>
          <w:szCs w:val="16"/>
        </w:rPr>
        <w:t xml:space="preserve">IEEE Trans. </w:t>
      </w:r>
      <w:proofErr w:type="spellStart"/>
      <w:r>
        <w:rPr>
          <w:i/>
          <w:sz w:val="16"/>
          <w:szCs w:val="16"/>
        </w:rPr>
        <w:t>Geosci</w:t>
      </w:r>
      <w:proofErr w:type="spellEnd"/>
      <w:r>
        <w:rPr>
          <w:i/>
          <w:sz w:val="16"/>
          <w:szCs w:val="16"/>
        </w:rPr>
        <w:t>. Remote Sens.</w:t>
      </w:r>
      <w:r>
        <w:rPr>
          <w:sz w:val="16"/>
          <w:szCs w:val="16"/>
        </w:rPr>
        <w:t>, vol. 59, no. 5, pp. 3672-3681, May 2021. [Online]. Available: https://ieeexplore.ieee.org/document/9153027</w:t>
      </w:r>
    </w:p>
    <w:p w14:paraId="755F5DBD" w14:textId="77777777" w:rsidR="00732E46" w:rsidRDefault="00732E46">
      <w:pPr>
        <w:rPr>
          <w:rFonts w:ascii="Times" w:eastAsia="Times" w:hAnsi="Times" w:cs="Times"/>
          <w:i/>
        </w:rPr>
      </w:pPr>
    </w:p>
    <w:p w14:paraId="669BFF17" w14:textId="77777777" w:rsidR="00732E46" w:rsidRDefault="000F2C11">
      <w:pPr>
        <w:rPr>
          <w:rFonts w:ascii="Times" w:eastAsia="Times" w:hAnsi="Times" w:cs="Times"/>
          <w:i/>
        </w:rPr>
      </w:pPr>
      <w:r>
        <w:rPr>
          <w:rFonts w:ascii="Times" w:eastAsia="Times" w:hAnsi="Times" w:cs="Times"/>
          <w:i/>
        </w:rPr>
        <w:t>Basic format for books:</w:t>
      </w:r>
    </w:p>
    <w:p w14:paraId="0995F0B2" w14:textId="1878B308" w:rsidR="00732E46" w:rsidRDefault="000F2C11">
      <w:pPr>
        <w:rPr>
          <w:rFonts w:ascii="Times" w:eastAsia="Times" w:hAnsi="Times" w:cs="Times"/>
          <w:i/>
          <w:sz w:val="16"/>
          <w:szCs w:val="16"/>
        </w:rPr>
      </w:pPr>
      <w:r>
        <w:rPr>
          <w:sz w:val="16"/>
          <w:szCs w:val="16"/>
        </w:rPr>
        <w:t xml:space="preserve"> J. K. Author, “Title of chapter in the book,” in </w:t>
      </w:r>
      <w:r>
        <w:rPr>
          <w:rFonts w:ascii="Times" w:eastAsia="Times" w:hAnsi="Times" w:cs="Times"/>
          <w:i/>
          <w:sz w:val="16"/>
          <w:szCs w:val="16"/>
        </w:rPr>
        <w:t xml:space="preserve">Title of Published Book, </w:t>
      </w:r>
      <w:proofErr w:type="spellStart"/>
      <w:r>
        <w:rPr>
          <w:rFonts w:ascii="Times" w:eastAsia="Times" w:hAnsi="Times" w:cs="Times"/>
          <w:i/>
          <w:sz w:val="16"/>
          <w:szCs w:val="16"/>
        </w:rPr>
        <w:t>x</w:t>
      </w:r>
      <w:r>
        <w:rPr>
          <w:sz w:val="16"/>
          <w:szCs w:val="16"/>
        </w:rPr>
        <w:t>th</w:t>
      </w:r>
      <w:proofErr w:type="spellEnd"/>
      <w:r>
        <w:rPr>
          <w:sz w:val="16"/>
          <w:szCs w:val="16"/>
        </w:rPr>
        <w:t xml:space="preserve"> ed. City of Publisher, (only U.S. State), Country: Abbrev. of Publisher, year, </w:t>
      </w:r>
      <w:proofErr w:type="spellStart"/>
      <w:r>
        <w:rPr>
          <w:sz w:val="16"/>
          <w:szCs w:val="16"/>
        </w:rPr>
        <w:t>ch.</w:t>
      </w:r>
      <w:proofErr w:type="spellEnd"/>
      <w:r>
        <w:rPr>
          <w:sz w:val="16"/>
          <w:szCs w:val="16"/>
        </w:rPr>
        <w:t xml:space="preserve"> </w:t>
      </w:r>
      <w:r w:rsidRPr="00EF6430">
        <w:rPr>
          <w:rFonts w:ascii="Times" w:eastAsia="Times" w:hAnsi="Times" w:cs="Times"/>
          <w:sz w:val="16"/>
          <w:szCs w:val="16"/>
        </w:rPr>
        <w:t>x</w:t>
      </w:r>
      <w:r>
        <w:rPr>
          <w:sz w:val="16"/>
          <w:szCs w:val="16"/>
        </w:rPr>
        <w:t xml:space="preserve">, sec. </w:t>
      </w:r>
      <w:r>
        <w:rPr>
          <w:rFonts w:ascii="Times" w:eastAsia="Times" w:hAnsi="Times" w:cs="Times"/>
          <w:i/>
          <w:sz w:val="16"/>
          <w:szCs w:val="16"/>
        </w:rPr>
        <w:t>x</w:t>
      </w:r>
      <w:r>
        <w:rPr>
          <w:sz w:val="16"/>
          <w:szCs w:val="16"/>
        </w:rPr>
        <w:t xml:space="preserve">, pp. </w:t>
      </w:r>
      <w:r w:rsidRPr="00EF6430">
        <w:rPr>
          <w:rFonts w:ascii="Times" w:eastAsia="Times" w:hAnsi="Times" w:cs="Times"/>
          <w:sz w:val="16"/>
          <w:szCs w:val="16"/>
        </w:rPr>
        <w:t>xxx–xxx</w:t>
      </w:r>
      <w:r>
        <w:rPr>
          <w:rFonts w:ascii="Times" w:eastAsia="Times" w:hAnsi="Times" w:cs="Times"/>
          <w:i/>
          <w:sz w:val="16"/>
          <w:szCs w:val="16"/>
        </w:rPr>
        <w:t>.</w:t>
      </w:r>
    </w:p>
    <w:p w14:paraId="69790BA7" w14:textId="77777777" w:rsidR="00EF6430" w:rsidRDefault="00EF6430">
      <w:pPr>
        <w:rPr>
          <w:rFonts w:ascii="Times" w:eastAsia="Times" w:hAnsi="Times" w:cs="Times"/>
          <w:i/>
          <w:sz w:val="16"/>
          <w:szCs w:val="16"/>
        </w:rPr>
      </w:pPr>
    </w:p>
    <w:p w14:paraId="583FA040" w14:textId="77777777" w:rsidR="00732E46" w:rsidRDefault="000F2C11">
      <w:pPr>
        <w:widowControl w:val="0"/>
        <w:ind w:right="-20"/>
        <w:rPr>
          <w:color w:val="000000"/>
        </w:rPr>
      </w:pPr>
      <w:r>
        <w:rPr>
          <w:i/>
          <w:color w:val="000000"/>
        </w:rPr>
        <w:lastRenderedPageBreak/>
        <w:t>Examples:</w:t>
      </w:r>
    </w:p>
    <w:p w14:paraId="1BF38AF3" w14:textId="124C86B3" w:rsidR="00732E46" w:rsidRDefault="000F2C11" w:rsidP="00EF6430">
      <w:pPr>
        <w:numPr>
          <w:ilvl w:val="0"/>
          <w:numId w:val="1"/>
        </w:numPr>
        <w:pBdr>
          <w:top w:val="nil"/>
          <w:left w:val="nil"/>
          <w:bottom w:val="nil"/>
          <w:right w:val="nil"/>
          <w:between w:val="nil"/>
        </w:pBdr>
        <w:ind w:left="270" w:hanging="270"/>
        <w:jc w:val="both"/>
      </w:pPr>
      <w:r>
        <w:rPr>
          <w:color w:val="000000"/>
          <w:sz w:val="16"/>
          <w:szCs w:val="16"/>
        </w:rPr>
        <w:t xml:space="preserve">G. O. Young, “Synthetic structure of industrial plastics,” in </w:t>
      </w:r>
      <w:r>
        <w:rPr>
          <w:i/>
          <w:color w:val="000000"/>
          <w:sz w:val="16"/>
          <w:szCs w:val="16"/>
        </w:rPr>
        <w:t xml:space="preserve">Plastics, </w:t>
      </w:r>
      <w:r>
        <w:rPr>
          <w:color w:val="000000"/>
          <w:sz w:val="16"/>
          <w:szCs w:val="16"/>
        </w:rPr>
        <w:t>2nd ed., vol. 3, J. Peters, Ed. New York, NY, USA: McGraw-Hill, 1964, pp. 15–64.</w:t>
      </w:r>
    </w:p>
    <w:p w14:paraId="69263BA1" w14:textId="77777777" w:rsidR="00732E46" w:rsidRDefault="000F2C11" w:rsidP="00EF6430">
      <w:pPr>
        <w:numPr>
          <w:ilvl w:val="0"/>
          <w:numId w:val="1"/>
        </w:numPr>
        <w:pBdr>
          <w:top w:val="nil"/>
          <w:left w:val="nil"/>
          <w:bottom w:val="nil"/>
          <w:right w:val="nil"/>
          <w:between w:val="nil"/>
        </w:pBdr>
        <w:ind w:left="270" w:hanging="270"/>
        <w:jc w:val="both"/>
        <w:rPr>
          <w:color w:val="000000"/>
          <w:sz w:val="16"/>
          <w:szCs w:val="16"/>
        </w:rPr>
      </w:pPr>
      <w:r>
        <w:rPr>
          <w:color w:val="000000"/>
          <w:sz w:val="16"/>
          <w:szCs w:val="16"/>
        </w:rPr>
        <w:t xml:space="preserve">W.-K. Chen, </w:t>
      </w:r>
      <w:r>
        <w:rPr>
          <w:i/>
          <w:color w:val="000000"/>
          <w:sz w:val="16"/>
          <w:szCs w:val="16"/>
        </w:rPr>
        <w:t xml:space="preserve">Linear Networks and Systems. </w:t>
      </w:r>
      <w:r>
        <w:rPr>
          <w:color w:val="000000"/>
          <w:sz w:val="16"/>
          <w:szCs w:val="16"/>
        </w:rPr>
        <w:t>Belmont, CA, USA: Wadsworth, 1993, pp. 123–135.</w:t>
      </w:r>
    </w:p>
    <w:p w14:paraId="7ACA87E5" w14:textId="77777777" w:rsidR="00732E46" w:rsidRDefault="000F2C11" w:rsidP="00EF6430">
      <w:pPr>
        <w:numPr>
          <w:ilvl w:val="0"/>
          <w:numId w:val="1"/>
        </w:numPr>
        <w:ind w:left="270" w:hanging="270"/>
        <w:jc w:val="both"/>
      </w:pPr>
      <w:r>
        <w:rPr>
          <w:color w:val="191919"/>
          <w:sz w:val="16"/>
          <w:szCs w:val="16"/>
        </w:rPr>
        <w:t>Philip B. Kurla</w:t>
      </w:r>
      <w:r>
        <w:rPr>
          <w:sz w:val="16"/>
          <w:szCs w:val="16"/>
        </w:rPr>
        <w:t xml:space="preserve">nd and Ralph Lerner, eds., </w:t>
      </w:r>
      <w:r>
        <w:rPr>
          <w:i/>
          <w:sz w:val="16"/>
          <w:szCs w:val="16"/>
        </w:rPr>
        <w:t xml:space="preserve">The Founders’ Constitution. </w:t>
      </w:r>
      <w:r>
        <w:rPr>
          <w:sz w:val="16"/>
          <w:szCs w:val="16"/>
        </w:rPr>
        <w:t xml:space="preserve">Chicago, IL, USA: Univ. of Chicago Press, 1987, Accessed on: Feb. 28, 2010, [Online]. Available: http://press-pubs.uchicago.edu/founders/ </w:t>
      </w:r>
    </w:p>
    <w:p w14:paraId="46CC586C" w14:textId="77777777" w:rsidR="00732E46" w:rsidRDefault="00732E46">
      <w:pPr>
        <w:rPr>
          <w:rFonts w:ascii="Times" w:eastAsia="Times" w:hAnsi="Times" w:cs="Times"/>
          <w:i/>
        </w:rPr>
      </w:pPr>
    </w:p>
    <w:p w14:paraId="2869075E" w14:textId="77777777" w:rsidR="00732E46" w:rsidRDefault="000F2C11">
      <w:pPr>
        <w:rPr>
          <w:rFonts w:ascii="Times" w:eastAsia="Times" w:hAnsi="Times" w:cs="Times"/>
          <w:i/>
        </w:rPr>
      </w:pPr>
      <w:r>
        <w:rPr>
          <w:rFonts w:ascii="Times" w:eastAsia="Times" w:hAnsi="Times" w:cs="Times"/>
          <w:i/>
        </w:rPr>
        <w:t>Basic format for handbooks:</w:t>
      </w:r>
    </w:p>
    <w:p w14:paraId="604C7CB6" w14:textId="5333006E" w:rsidR="00732E46" w:rsidRDefault="000F2C11">
      <w:pPr>
        <w:rPr>
          <w:sz w:val="16"/>
          <w:szCs w:val="16"/>
        </w:rPr>
      </w:pPr>
      <w:r>
        <w:rPr>
          <w:i/>
          <w:sz w:val="16"/>
          <w:szCs w:val="16"/>
        </w:rPr>
        <w:t>Name of Manual/Handbook, x</w:t>
      </w:r>
      <w:r>
        <w:rPr>
          <w:sz w:val="16"/>
          <w:szCs w:val="16"/>
        </w:rPr>
        <w:t xml:space="preserve"> ed., Abbrev. Name of Co., City of Co., Abbrev. State, Country, year, pp. xxx-xxx.</w:t>
      </w:r>
    </w:p>
    <w:p w14:paraId="7A4564A5" w14:textId="77777777" w:rsidR="00EF6430" w:rsidRDefault="00EF6430">
      <w:pPr>
        <w:rPr>
          <w:sz w:val="16"/>
          <w:szCs w:val="16"/>
        </w:rPr>
      </w:pPr>
    </w:p>
    <w:p w14:paraId="71592A9B" w14:textId="77777777" w:rsidR="00732E46" w:rsidRDefault="000F2C11">
      <w:pPr>
        <w:rPr>
          <w:rFonts w:ascii="Times" w:eastAsia="Times" w:hAnsi="Times" w:cs="Times"/>
          <w:i/>
        </w:rPr>
      </w:pPr>
      <w:r>
        <w:rPr>
          <w:rFonts w:ascii="Times" w:eastAsia="Times" w:hAnsi="Times" w:cs="Times"/>
          <w:i/>
        </w:rPr>
        <w:t>Examples:</w:t>
      </w:r>
    </w:p>
    <w:p w14:paraId="04C46A02" w14:textId="77777777" w:rsidR="00732E46" w:rsidRDefault="000F2C11" w:rsidP="00EF6430">
      <w:pPr>
        <w:numPr>
          <w:ilvl w:val="0"/>
          <w:numId w:val="1"/>
        </w:numPr>
        <w:ind w:left="360"/>
        <w:jc w:val="both"/>
      </w:pPr>
      <w:r>
        <w:rPr>
          <w:rFonts w:ascii="Times" w:eastAsia="Times" w:hAnsi="Times" w:cs="Times"/>
          <w:i/>
          <w:sz w:val="16"/>
          <w:szCs w:val="16"/>
        </w:rPr>
        <w:t>Transmission Systems for Communications</w:t>
      </w:r>
      <w:r>
        <w:rPr>
          <w:sz w:val="16"/>
          <w:szCs w:val="16"/>
        </w:rPr>
        <w:t>, 3rd ed., Western Electric Co., Winston-Salem, NC, USA, 1985, pp. 44–60.</w:t>
      </w:r>
    </w:p>
    <w:p w14:paraId="7E237F34" w14:textId="77777777" w:rsidR="00732E46" w:rsidRDefault="000F2C11" w:rsidP="00EF6430">
      <w:pPr>
        <w:numPr>
          <w:ilvl w:val="0"/>
          <w:numId w:val="1"/>
        </w:numPr>
        <w:ind w:left="360"/>
        <w:jc w:val="both"/>
      </w:pPr>
      <w:r>
        <w:rPr>
          <w:rFonts w:ascii="Times" w:eastAsia="Times" w:hAnsi="Times" w:cs="Times"/>
          <w:i/>
          <w:sz w:val="16"/>
          <w:szCs w:val="16"/>
        </w:rPr>
        <w:t>Motorola Semiconductor Data Manual</w:t>
      </w:r>
      <w:r>
        <w:rPr>
          <w:sz w:val="16"/>
          <w:szCs w:val="16"/>
        </w:rPr>
        <w:t>, Motorola Semiconductor Products Inc., Phoenix, AZ, USA, 1989.</w:t>
      </w:r>
    </w:p>
    <w:p w14:paraId="32D3DBBD" w14:textId="77777777" w:rsidR="00732E46" w:rsidRDefault="000F2C11" w:rsidP="00EF6430">
      <w:pPr>
        <w:numPr>
          <w:ilvl w:val="0"/>
          <w:numId w:val="1"/>
        </w:numPr>
        <w:ind w:left="360"/>
        <w:jc w:val="both"/>
        <w:rPr>
          <w:sz w:val="16"/>
          <w:szCs w:val="16"/>
        </w:rPr>
      </w:pPr>
      <w:r>
        <w:rPr>
          <w:sz w:val="16"/>
          <w:szCs w:val="16"/>
        </w:rPr>
        <w:t xml:space="preserve">R. J. </w:t>
      </w:r>
      <w:proofErr w:type="spellStart"/>
      <w:r>
        <w:rPr>
          <w:sz w:val="16"/>
          <w:szCs w:val="16"/>
        </w:rPr>
        <w:t>Hijmans</w:t>
      </w:r>
      <w:proofErr w:type="spellEnd"/>
      <w:r>
        <w:rPr>
          <w:sz w:val="16"/>
          <w:szCs w:val="16"/>
        </w:rPr>
        <w:t xml:space="preserve"> and J. van Etten, “Raster: Geographic analysis and modeling with raster data,” R Package Version 2.0-12, Jan. 12, 2012. [Online]. Available: </w:t>
      </w:r>
      <w:r>
        <w:rPr>
          <w:sz w:val="16"/>
          <w:szCs w:val="16"/>
          <w:u w:val="single"/>
        </w:rPr>
        <w:t xml:space="preserve">http://CRAN.R-project.org/package=raster </w:t>
      </w:r>
    </w:p>
    <w:p w14:paraId="04A1A03B" w14:textId="77777777" w:rsidR="00732E46" w:rsidRDefault="00732E46">
      <w:pPr>
        <w:rPr>
          <w:rFonts w:ascii="Times" w:eastAsia="Times" w:hAnsi="Times" w:cs="Times"/>
          <w:i/>
        </w:rPr>
      </w:pPr>
    </w:p>
    <w:p w14:paraId="478C9E3F" w14:textId="77777777" w:rsidR="00732E46" w:rsidRDefault="000F2C11">
      <w:pPr>
        <w:rPr>
          <w:rFonts w:ascii="Times" w:eastAsia="Times" w:hAnsi="Times" w:cs="Times"/>
          <w:i/>
        </w:rPr>
      </w:pPr>
      <w:r>
        <w:rPr>
          <w:rFonts w:ascii="Times" w:eastAsia="Times" w:hAnsi="Times" w:cs="Times"/>
          <w:i/>
        </w:rPr>
        <w:t>Basic format for reports:</w:t>
      </w:r>
    </w:p>
    <w:p w14:paraId="789FB42B" w14:textId="66A46AC7" w:rsidR="00732E46" w:rsidRDefault="000F2C11">
      <w:pPr>
        <w:rPr>
          <w:sz w:val="16"/>
          <w:szCs w:val="16"/>
        </w:rPr>
      </w:pPr>
      <w:r>
        <w:rPr>
          <w:sz w:val="16"/>
          <w:szCs w:val="16"/>
        </w:rPr>
        <w:t xml:space="preserve">J. K. Author, “Title of report,” Abbrev. Name of Co., City of Co., Abbrev. State, Country, Rep. </w:t>
      </w:r>
      <w:r w:rsidRPr="00EF6430">
        <w:rPr>
          <w:sz w:val="16"/>
          <w:szCs w:val="16"/>
        </w:rPr>
        <w:t>xxx</w:t>
      </w:r>
      <w:r>
        <w:rPr>
          <w:sz w:val="16"/>
          <w:szCs w:val="16"/>
        </w:rPr>
        <w:t>, year.</w:t>
      </w:r>
    </w:p>
    <w:p w14:paraId="4CA146EF" w14:textId="77777777" w:rsidR="00EF6430" w:rsidRDefault="00EF6430">
      <w:pPr>
        <w:rPr>
          <w:sz w:val="16"/>
          <w:szCs w:val="16"/>
        </w:rPr>
      </w:pPr>
    </w:p>
    <w:p w14:paraId="21CFDB4C" w14:textId="77777777" w:rsidR="00732E46" w:rsidRDefault="000F2C11">
      <w:pPr>
        <w:rPr>
          <w:rFonts w:ascii="Times" w:eastAsia="Times" w:hAnsi="Times" w:cs="Times"/>
          <w:i/>
        </w:rPr>
      </w:pPr>
      <w:r>
        <w:rPr>
          <w:rFonts w:ascii="Times" w:eastAsia="Times" w:hAnsi="Times" w:cs="Times"/>
          <w:i/>
        </w:rPr>
        <w:t>Example:</w:t>
      </w:r>
    </w:p>
    <w:p w14:paraId="3E1CA7E2" w14:textId="77777777" w:rsidR="00732E46" w:rsidRDefault="000F2C11" w:rsidP="00EF6430">
      <w:pPr>
        <w:numPr>
          <w:ilvl w:val="0"/>
          <w:numId w:val="1"/>
        </w:numPr>
        <w:pBdr>
          <w:top w:val="nil"/>
          <w:left w:val="nil"/>
          <w:bottom w:val="nil"/>
          <w:right w:val="nil"/>
          <w:between w:val="nil"/>
        </w:pBdr>
        <w:ind w:left="360"/>
        <w:jc w:val="both"/>
      </w:pPr>
      <w:r>
        <w:rPr>
          <w:color w:val="000000"/>
          <w:sz w:val="16"/>
          <w:szCs w:val="16"/>
        </w:rPr>
        <w:t xml:space="preserve">E. E. </w:t>
      </w:r>
      <w:proofErr w:type="spellStart"/>
      <w:r>
        <w:rPr>
          <w:color w:val="000000"/>
          <w:sz w:val="16"/>
          <w:szCs w:val="16"/>
        </w:rPr>
        <w:t>Reber</w:t>
      </w:r>
      <w:proofErr w:type="spellEnd"/>
      <w:r>
        <w:rPr>
          <w:color w:val="000000"/>
          <w:sz w:val="16"/>
          <w:szCs w:val="16"/>
        </w:rPr>
        <w:t>, R. L. Michell, and C. J. Carter, “Oxygen absorption in the earth’s atmosphere,” Aerospace Corp., Los Angeles, CA, USA, Tech. Rep. TR-0200 (4230-46)-3, Nov. 1988.</w:t>
      </w:r>
    </w:p>
    <w:p w14:paraId="6C61688F" w14:textId="77777777" w:rsidR="00732E46" w:rsidRDefault="00732E46">
      <w:pPr>
        <w:widowControl w:val="0"/>
        <w:spacing w:line="239" w:lineRule="auto"/>
        <w:ind w:right="-54"/>
        <w:jc w:val="both"/>
        <w:rPr>
          <w:i/>
          <w:color w:val="000000"/>
        </w:rPr>
      </w:pPr>
    </w:p>
    <w:p w14:paraId="6FF51F85" w14:textId="77777777" w:rsidR="00732E46" w:rsidRDefault="000F2C11">
      <w:pPr>
        <w:widowControl w:val="0"/>
        <w:ind w:right="-20"/>
      </w:pPr>
      <w:r>
        <w:rPr>
          <w:rFonts w:ascii="Times" w:eastAsia="Times" w:hAnsi="Times" w:cs="Times"/>
          <w:i/>
        </w:rPr>
        <w:t>Basic format</w:t>
      </w:r>
      <w:r>
        <w:rPr>
          <w:i/>
        </w:rPr>
        <w:t xml:space="preserve"> for conference proceedings:</w:t>
      </w:r>
    </w:p>
    <w:p w14:paraId="29C72EF9" w14:textId="622B1537" w:rsidR="00732E46" w:rsidRDefault="000F2C11">
      <w:pPr>
        <w:rPr>
          <w:i/>
          <w:sz w:val="16"/>
          <w:szCs w:val="16"/>
        </w:rPr>
      </w:pPr>
      <w:r>
        <w:rPr>
          <w:sz w:val="16"/>
          <w:szCs w:val="16"/>
        </w:rPr>
        <w:t xml:space="preserve">J. K. Author, “Title of paper,” in </w:t>
      </w:r>
      <w:r>
        <w:rPr>
          <w:i/>
          <w:sz w:val="16"/>
          <w:szCs w:val="16"/>
        </w:rPr>
        <w:t>Abbreviated Name of Conf.</w:t>
      </w:r>
      <w:r>
        <w:rPr>
          <w:sz w:val="16"/>
          <w:szCs w:val="16"/>
        </w:rPr>
        <w:t xml:space="preserve">, City of Conf., Abbrev. State (if given), Country, year, pp. </w:t>
      </w:r>
      <w:proofErr w:type="spellStart"/>
      <w:r w:rsidRPr="00EF6430">
        <w:rPr>
          <w:sz w:val="16"/>
          <w:szCs w:val="16"/>
        </w:rPr>
        <w:t>xxxxxx</w:t>
      </w:r>
      <w:proofErr w:type="spellEnd"/>
      <w:r>
        <w:rPr>
          <w:i/>
          <w:sz w:val="16"/>
          <w:szCs w:val="16"/>
        </w:rPr>
        <w:t>.</w:t>
      </w:r>
    </w:p>
    <w:p w14:paraId="29D9C961" w14:textId="77777777" w:rsidR="00EF6430" w:rsidRDefault="00EF6430">
      <w:pPr>
        <w:rPr>
          <w:i/>
          <w:sz w:val="16"/>
          <w:szCs w:val="16"/>
        </w:rPr>
      </w:pPr>
    </w:p>
    <w:p w14:paraId="5961D176" w14:textId="77777777" w:rsidR="00732E46" w:rsidRDefault="000F2C11">
      <w:pPr>
        <w:rPr>
          <w:rFonts w:ascii="Times" w:eastAsia="Times" w:hAnsi="Times" w:cs="Times"/>
          <w:i/>
        </w:rPr>
      </w:pPr>
      <w:r>
        <w:rPr>
          <w:rFonts w:ascii="Times" w:eastAsia="Times" w:hAnsi="Times" w:cs="Times"/>
          <w:i/>
        </w:rPr>
        <w:t>Examples:</w:t>
      </w:r>
    </w:p>
    <w:p w14:paraId="18AD6EE4" w14:textId="77777777" w:rsidR="00732E46" w:rsidRDefault="000F2C11" w:rsidP="00EF6430">
      <w:pPr>
        <w:numPr>
          <w:ilvl w:val="0"/>
          <w:numId w:val="1"/>
        </w:numPr>
        <w:ind w:left="360"/>
        <w:jc w:val="both"/>
      </w:pPr>
      <w:r>
        <w:rPr>
          <w:sz w:val="16"/>
          <w:szCs w:val="16"/>
        </w:rPr>
        <w:t xml:space="preserve">D. B. Payne and J. R. Stern, “Wavelength-switched passively coupled single-mode optical network,” in </w:t>
      </w:r>
      <w:r>
        <w:rPr>
          <w:i/>
          <w:sz w:val="16"/>
          <w:szCs w:val="16"/>
        </w:rPr>
        <w:t xml:space="preserve">Proc. IOOC-ECOC, </w:t>
      </w:r>
      <w:r>
        <w:rPr>
          <w:sz w:val="16"/>
          <w:szCs w:val="16"/>
        </w:rPr>
        <w:t>Boston, MA, USA,</w:t>
      </w:r>
      <w:r>
        <w:rPr>
          <w:i/>
          <w:sz w:val="16"/>
          <w:szCs w:val="16"/>
        </w:rPr>
        <w:t xml:space="preserve"> </w:t>
      </w:r>
      <w:r>
        <w:rPr>
          <w:sz w:val="16"/>
          <w:szCs w:val="16"/>
        </w:rPr>
        <w:t xml:space="preserve">1985, </w:t>
      </w:r>
      <w:r>
        <w:rPr>
          <w:sz w:val="16"/>
          <w:szCs w:val="16"/>
        </w:rPr>
        <w:br/>
        <w:t>pp. 585–590.</w:t>
      </w:r>
    </w:p>
    <w:p w14:paraId="5083DE32" w14:textId="77777777" w:rsidR="00732E46" w:rsidRDefault="000F2C11" w:rsidP="00EF6430">
      <w:pPr>
        <w:numPr>
          <w:ilvl w:val="0"/>
          <w:numId w:val="1"/>
        </w:numPr>
        <w:ind w:left="360"/>
        <w:jc w:val="both"/>
      </w:pPr>
      <w:r>
        <w:rPr>
          <w:sz w:val="16"/>
          <w:szCs w:val="16"/>
        </w:rPr>
        <w:t xml:space="preserve">D. </w:t>
      </w:r>
      <w:proofErr w:type="spellStart"/>
      <w:r>
        <w:rPr>
          <w:sz w:val="16"/>
          <w:szCs w:val="16"/>
        </w:rPr>
        <w:t>Ebehard</w:t>
      </w:r>
      <w:proofErr w:type="spellEnd"/>
      <w:r>
        <w:rPr>
          <w:sz w:val="16"/>
          <w:szCs w:val="16"/>
        </w:rPr>
        <w:t xml:space="preserve"> and E. Voges, “Digital single sideband detection for interferometric sensors,” presented at the 2nd Int. Conf. Optical Fiber Sensors</w:t>
      </w:r>
      <w:r>
        <w:rPr>
          <w:i/>
          <w:sz w:val="16"/>
          <w:szCs w:val="16"/>
        </w:rPr>
        <w:t xml:space="preserve">, </w:t>
      </w:r>
      <w:r>
        <w:rPr>
          <w:sz w:val="16"/>
          <w:szCs w:val="16"/>
        </w:rPr>
        <w:t>Stuttgart, Germany, Jan. 2-5, 1984.</w:t>
      </w:r>
    </w:p>
    <w:p w14:paraId="6DEFF4EF" w14:textId="1CD84271" w:rsidR="00732E46" w:rsidRDefault="000F2C11" w:rsidP="00EF6430">
      <w:pPr>
        <w:numPr>
          <w:ilvl w:val="0"/>
          <w:numId w:val="1"/>
        </w:numPr>
        <w:pBdr>
          <w:top w:val="nil"/>
          <w:left w:val="nil"/>
          <w:bottom w:val="nil"/>
          <w:right w:val="nil"/>
          <w:between w:val="nil"/>
        </w:pBdr>
        <w:ind w:left="360"/>
      </w:pPr>
      <w:r>
        <w:rPr>
          <w:color w:val="000000"/>
          <w:sz w:val="16"/>
          <w:szCs w:val="16"/>
        </w:rPr>
        <w:t>PROCESS Corporation, Boston, MA, USA. Intranets: Internet technologies deployed behind the firewall for corporate productivity. Presented at INET96 Annual Meeting. [Online]. Available:  http://home.process.com/Intranets/wp2.htp</w:t>
      </w:r>
    </w:p>
    <w:p w14:paraId="29946DAF" w14:textId="77777777" w:rsidR="00732E46" w:rsidRDefault="00732E46">
      <w:pPr>
        <w:widowControl w:val="0"/>
        <w:spacing w:before="1" w:line="180" w:lineRule="auto"/>
        <w:rPr>
          <w:color w:val="000000"/>
          <w:sz w:val="18"/>
          <w:szCs w:val="18"/>
        </w:rPr>
      </w:pPr>
    </w:p>
    <w:p w14:paraId="3E40ABF7" w14:textId="77777777" w:rsidR="00732E46" w:rsidRDefault="00732E46">
      <w:pPr>
        <w:widowControl w:val="0"/>
        <w:spacing w:before="5" w:line="140" w:lineRule="auto"/>
        <w:rPr>
          <w:color w:val="000000"/>
          <w:sz w:val="14"/>
          <w:szCs w:val="14"/>
        </w:rPr>
      </w:pPr>
    </w:p>
    <w:p w14:paraId="5211F0F4" w14:textId="77777777" w:rsidR="00732E46" w:rsidRDefault="000F2C11">
      <w:pPr>
        <w:widowControl w:val="0"/>
        <w:spacing w:line="239" w:lineRule="auto"/>
        <w:ind w:left="90" w:right="-54" w:hanging="90"/>
        <w:rPr>
          <w:i/>
          <w:color w:val="000000"/>
        </w:rPr>
      </w:pPr>
      <w:r>
        <w:rPr>
          <w:i/>
          <w:color w:val="000000"/>
        </w:rPr>
        <w:t xml:space="preserve">Basic format for electronic documents (when available online): </w:t>
      </w:r>
    </w:p>
    <w:p w14:paraId="1555B2C2" w14:textId="230F6562" w:rsidR="00732E46" w:rsidRDefault="000F2C11">
      <w:pPr>
        <w:pBdr>
          <w:top w:val="nil"/>
          <w:left w:val="nil"/>
          <w:bottom w:val="nil"/>
          <w:right w:val="nil"/>
          <w:between w:val="nil"/>
        </w:pBdr>
        <w:jc w:val="both"/>
        <w:rPr>
          <w:sz w:val="16"/>
          <w:szCs w:val="16"/>
        </w:rPr>
      </w:pPr>
      <w:r>
        <w:rPr>
          <w:sz w:val="16"/>
          <w:szCs w:val="16"/>
        </w:rPr>
        <w:t xml:space="preserve">Issuing Organization. (year, month day). </w:t>
      </w:r>
      <w:r>
        <w:rPr>
          <w:i/>
          <w:sz w:val="16"/>
          <w:szCs w:val="16"/>
        </w:rPr>
        <w:t>Title</w:t>
      </w:r>
      <w:r>
        <w:rPr>
          <w:sz w:val="16"/>
          <w:szCs w:val="16"/>
        </w:rPr>
        <w:t>. [Type of medium]. Available: site/path/file</w:t>
      </w:r>
    </w:p>
    <w:p w14:paraId="20B11D98" w14:textId="77777777" w:rsidR="00EF6430" w:rsidRDefault="00EF6430">
      <w:pPr>
        <w:pBdr>
          <w:top w:val="nil"/>
          <w:left w:val="nil"/>
          <w:bottom w:val="nil"/>
          <w:right w:val="nil"/>
          <w:between w:val="nil"/>
        </w:pBdr>
        <w:jc w:val="both"/>
        <w:rPr>
          <w:sz w:val="16"/>
          <w:szCs w:val="16"/>
        </w:rPr>
      </w:pPr>
    </w:p>
    <w:p w14:paraId="13B78875" w14:textId="77777777" w:rsidR="00732E46" w:rsidRDefault="000F2C11">
      <w:pPr>
        <w:widowControl w:val="0"/>
        <w:spacing w:before="37"/>
        <w:ind w:right="-20"/>
        <w:rPr>
          <w:color w:val="000000"/>
        </w:rPr>
      </w:pPr>
      <w:r>
        <w:rPr>
          <w:i/>
          <w:color w:val="000000"/>
        </w:rPr>
        <w:t>Example:</w:t>
      </w:r>
    </w:p>
    <w:p w14:paraId="02FAAB07" w14:textId="77777777" w:rsidR="00732E46" w:rsidRDefault="000F2C11" w:rsidP="00EF6430">
      <w:pPr>
        <w:numPr>
          <w:ilvl w:val="0"/>
          <w:numId w:val="1"/>
        </w:numPr>
        <w:pBdr>
          <w:top w:val="nil"/>
          <w:left w:val="nil"/>
          <w:bottom w:val="nil"/>
          <w:right w:val="nil"/>
          <w:between w:val="nil"/>
        </w:pBdr>
        <w:ind w:left="360"/>
        <w:jc w:val="both"/>
      </w:pPr>
      <w:r>
        <w:rPr>
          <w:color w:val="000000"/>
          <w:sz w:val="16"/>
          <w:szCs w:val="16"/>
        </w:rPr>
        <w:t xml:space="preserve">U.S. House. 102nd Congress, 1st Session. (1991, Jan. 11). </w:t>
      </w:r>
      <w:r>
        <w:rPr>
          <w:i/>
          <w:color w:val="000000"/>
          <w:sz w:val="16"/>
          <w:szCs w:val="16"/>
        </w:rPr>
        <w:t>H. Con. Res. 1, Sense of the Congress on Approval of Military Action</w:t>
      </w:r>
      <w:r>
        <w:rPr>
          <w:color w:val="000000"/>
          <w:sz w:val="16"/>
          <w:szCs w:val="16"/>
        </w:rPr>
        <w:t xml:space="preserve">. [Online]. Available: LEXIS Library: GENFED File: BILLS </w:t>
      </w:r>
    </w:p>
    <w:p w14:paraId="657FD9B2" w14:textId="77777777" w:rsidR="00732E46" w:rsidRDefault="000F2C11">
      <w:pPr>
        <w:pBdr>
          <w:top w:val="nil"/>
          <w:left w:val="nil"/>
          <w:bottom w:val="nil"/>
          <w:right w:val="nil"/>
          <w:between w:val="nil"/>
        </w:pBdr>
        <w:ind w:left="1170" w:hanging="360"/>
        <w:jc w:val="both"/>
        <w:rPr>
          <w:color w:val="000000"/>
          <w:sz w:val="16"/>
          <w:szCs w:val="16"/>
        </w:rPr>
      </w:pPr>
      <w:r>
        <w:rPr>
          <w:color w:val="000000"/>
          <w:sz w:val="16"/>
          <w:szCs w:val="16"/>
        </w:rPr>
        <w:t xml:space="preserve"> </w:t>
      </w:r>
    </w:p>
    <w:p w14:paraId="74CF7DAB" w14:textId="77777777" w:rsidR="00732E46" w:rsidRDefault="000F2C11" w:rsidP="00932FBA">
      <w:pPr>
        <w:keepLines/>
        <w:rPr>
          <w:rFonts w:ascii="Times" w:eastAsia="Times" w:hAnsi="Times" w:cs="Times"/>
          <w:i/>
        </w:rPr>
      </w:pPr>
      <w:r>
        <w:rPr>
          <w:rFonts w:ascii="Times" w:eastAsia="Times" w:hAnsi="Times" w:cs="Times"/>
          <w:i/>
        </w:rPr>
        <w:t>Basic format</w:t>
      </w:r>
      <w:r>
        <w:rPr>
          <w:i/>
          <w:color w:val="000000"/>
        </w:rPr>
        <w:t xml:space="preserve"> for patents</w:t>
      </w:r>
      <w:r>
        <w:rPr>
          <w:rFonts w:ascii="Times" w:eastAsia="Times" w:hAnsi="Times" w:cs="Times"/>
          <w:i/>
        </w:rPr>
        <w:t>:</w:t>
      </w:r>
    </w:p>
    <w:p w14:paraId="57151190" w14:textId="45C92483" w:rsidR="00732E46" w:rsidRDefault="000F2C11" w:rsidP="00932FBA">
      <w:pPr>
        <w:keepLines/>
        <w:rPr>
          <w:sz w:val="16"/>
          <w:szCs w:val="16"/>
        </w:rPr>
      </w:pPr>
      <w:r>
        <w:rPr>
          <w:sz w:val="16"/>
          <w:szCs w:val="16"/>
        </w:rPr>
        <w:t xml:space="preserve">J. K. Author, “Title of patent,” U.S. Patent </w:t>
      </w:r>
      <w:r>
        <w:rPr>
          <w:i/>
          <w:sz w:val="16"/>
          <w:szCs w:val="16"/>
        </w:rPr>
        <w:t xml:space="preserve">x xxx </w:t>
      </w:r>
      <w:proofErr w:type="spellStart"/>
      <w:r>
        <w:rPr>
          <w:i/>
          <w:sz w:val="16"/>
          <w:szCs w:val="16"/>
        </w:rPr>
        <w:t>xxx</w:t>
      </w:r>
      <w:proofErr w:type="spellEnd"/>
      <w:r>
        <w:rPr>
          <w:sz w:val="16"/>
          <w:szCs w:val="16"/>
        </w:rPr>
        <w:t>, Abbrev. Month, day, year.</w:t>
      </w:r>
    </w:p>
    <w:p w14:paraId="508A9CB1" w14:textId="77777777" w:rsidR="00EF6430" w:rsidRDefault="00EF6430" w:rsidP="00932FBA">
      <w:pPr>
        <w:keepLines/>
        <w:rPr>
          <w:sz w:val="16"/>
          <w:szCs w:val="16"/>
        </w:rPr>
      </w:pPr>
    </w:p>
    <w:p w14:paraId="5E4FB8AC" w14:textId="30D18778" w:rsidR="00732E46" w:rsidRDefault="000F2C11">
      <w:pPr>
        <w:widowControl w:val="0"/>
        <w:ind w:right="-20"/>
        <w:rPr>
          <w:i/>
          <w:color w:val="000000"/>
        </w:rPr>
      </w:pPr>
      <w:r>
        <w:rPr>
          <w:i/>
        </w:rPr>
        <w:t>Example:</w:t>
      </w:r>
    </w:p>
    <w:p w14:paraId="336C85E3" w14:textId="2F79B27B" w:rsidR="00732E46" w:rsidRDefault="000F2C11" w:rsidP="00EF6430">
      <w:pPr>
        <w:numPr>
          <w:ilvl w:val="0"/>
          <w:numId w:val="1"/>
        </w:numPr>
        <w:pBdr>
          <w:top w:val="nil"/>
          <w:left w:val="nil"/>
          <w:bottom w:val="nil"/>
          <w:right w:val="nil"/>
          <w:between w:val="nil"/>
        </w:pBdr>
        <w:ind w:left="360"/>
        <w:jc w:val="both"/>
      </w:pPr>
      <w:r>
        <w:rPr>
          <w:color w:val="000000"/>
          <w:sz w:val="16"/>
          <w:szCs w:val="16"/>
        </w:rPr>
        <w:t xml:space="preserve">G. </w:t>
      </w:r>
      <w:proofErr w:type="spellStart"/>
      <w:r>
        <w:rPr>
          <w:color w:val="000000"/>
          <w:sz w:val="16"/>
          <w:szCs w:val="16"/>
        </w:rPr>
        <w:t>Brandli</w:t>
      </w:r>
      <w:proofErr w:type="spellEnd"/>
      <w:r>
        <w:rPr>
          <w:color w:val="000000"/>
          <w:sz w:val="16"/>
          <w:szCs w:val="16"/>
        </w:rPr>
        <w:t xml:space="preserve"> and M. Dick, “Alternating current fed power supply,” U.S. Patent 4 084 217, Nov. 4, 1978.</w:t>
      </w:r>
    </w:p>
    <w:p w14:paraId="6559226A" w14:textId="77777777" w:rsidR="00732E46" w:rsidRDefault="000F2C11">
      <w:pPr>
        <w:rPr>
          <w:rFonts w:ascii="Times" w:eastAsia="Times" w:hAnsi="Times" w:cs="Times"/>
          <w:i/>
        </w:rPr>
      </w:pPr>
      <w:r>
        <w:rPr>
          <w:rFonts w:ascii="Times" w:eastAsia="Times" w:hAnsi="Times" w:cs="Times"/>
          <w:i/>
        </w:rPr>
        <w:br/>
        <w:t>Basic format</w:t>
      </w:r>
      <w:r>
        <w:rPr>
          <w:b/>
          <w:i/>
        </w:rPr>
        <w:t xml:space="preserve"> </w:t>
      </w:r>
      <w:r>
        <w:rPr>
          <w:i/>
        </w:rPr>
        <w:t>for theses (M.S.) and dissertations (Ph.D.):</w:t>
      </w:r>
    </w:p>
    <w:p w14:paraId="278A2B41" w14:textId="69FBE5BB" w:rsidR="00732E46" w:rsidRDefault="000F2C11">
      <w:pPr>
        <w:rPr>
          <w:sz w:val="16"/>
          <w:szCs w:val="16"/>
        </w:rPr>
      </w:pPr>
      <w:r>
        <w:rPr>
          <w:sz w:val="16"/>
          <w:szCs w:val="16"/>
        </w:rPr>
        <w:t>J. K. Author, “Title of thesis,” M.S. thesis, Abbrev. Dept., Abbrev. Univ., City of Univ., Abbrev. State, year.</w:t>
      </w:r>
    </w:p>
    <w:p w14:paraId="7AAA21EB" w14:textId="424B8DFE" w:rsidR="00732E46" w:rsidRDefault="000F2C11">
      <w:pPr>
        <w:rPr>
          <w:sz w:val="16"/>
          <w:szCs w:val="16"/>
        </w:rPr>
      </w:pPr>
      <w:r>
        <w:rPr>
          <w:sz w:val="16"/>
          <w:szCs w:val="16"/>
        </w:rPr>
        <w:t>J. K. Author, “Title of dissertation,” Ph.D. dissertation, Abbrev. Dept., Abbrev. Univ., City of Univ., Abbrev. State, year.</w:t>
      </w:r>
    </w:p>
    <w:p w14:paraId="505D6CCA" w14:textId="77777777" w:rsidR="00EF6430" w:rsidRDefault="00EF6430">
      <w:pPr>
        <w:rPr>
          <w:sz w:val="16"/>
          <w:szCs w:val="16"/>
        </w:rPr>
      </w:pPr>
    </w:p>
    <w:p w14:paraId="6BE4353F" w14:textId="77777777" w:rsidR="00732E46" w:rsidRDefault="000F2C11">
      <w:pPr>
        <w:rPr>
          <w:rFonts w:ascii="Times" w:eastAsia="Times" w:hAnsi="Times" w:cs="Times"/>
          <w:i/>
        </w:rPr>
      </w:pPr>
      <w:r>
        <w:rPr>
          <w:rFonts w:ascii="Times" w:eastAsia="Times" w:hAnsi="Times" w:cs="Times"/>
          <w:i/>
        </w:rPr>
        <w:t>Examples:</w:t>
      </w:r>
    </w:p>
    <w:p w14:paraId="2CDB9BE9" w14:textId="77777777" w:rsidR="00732E46" w:rsidRDefault="000F2C11" w:rsidP="00EF6430">
      <w:pPr>
        <w:numPr>
          <w:ilvl w:val="0"/>
          <w:numId w:val="1"/>
        </w:numPr>
        <w:pBdr>
          <w:top w:val="nil"/>
          <w:left w:val="nil"/>
          <w:bottom w:val="nil"/>
          <w:right w:val="nil"/>
          <w:between w:val="nil"/>
        </w:pBdr>
        <w:ind w:left="360"/>
        <w:jc w:val="both"/>
      </w:pPr>
      <w:r>
        <w:rPr>
          <w:color w:val="000000"/>
          <w:sz w:val="16"/>
          <w:szCs w:val="16"/>
        </w:rPr>
        <w:t>J. O. Williams, “Narrow-band analyzer,” Ph.D. dissertation, Dept. Elect. Eng., Harvard Univ., Cambridge, MA, USA, 1993.</w:t>
      </w:r>
    </w:p>
    <w:p w14:paraId="7FF91461" w14:textId="77777777" w:rsidR="00732E46" w:rsidRDefault="000F2C11" w:rsidP="00EF6430">
      <w:pPr>
        <w:numPr>
          <w:ilvl w:val="0"/>
          <w:numId w:val="1"/>
        </w:numPr>
        <w:pBdr>
          <w:top w:val="nil"/>
          <w:left w:val="nil"/>
          <w:bottom w:val="nil"/>
          <w:right w:val="nil"/>
          <w:between w:val="nil"/>
        </w:pBdr>
        <w:ind w:left="360"/>
        <w:jc w:val="both"/>
      </w:pPr>
      <w:r>
        <w:rPr>
          <w:color w:val="000000"/>
          <w:sz w:val="16"/>
          <w:szCs w:val="16"/>
        </w:rPr>
        <w:t>N. Kawasaki, “Parametric study of thermal and chemical nonequilibrium nozzle flow,” M.S. thesis, Dept. Electron. Eng., Osaka Univ., Osaka, Japan, 1993.</w:t>
      </w:r>
    </w:p>
    <w:p w14:paraId="4CC431C7" w14:textId="77777777" w:rsidR="007054D1" w:rsidRDefault="007054D1">
      <w:pPr>
        <w:rPr>
          <w:rFonts w:ascii="Times" w:eastAsia="Times" w:hAnsi="Times" w:cs="Times"/>
          <w:i/>
        </w:rPr>
      </w:pPr>
    </w:p>
    <w:p w14:paraId="118FCC2C" w14:textId="0E4373F5" w:rsidR="00732E46" w:rsidRDefault="000F2C11">
      <w:pPr>
        <w:rPr>
          <w:rFonts w:ascii="Times" w:eastAsia="Times" w:hAnsi="Times" w:cs="Times"/>
          <w:i/>
        </w:rPr>
      </w:pPr>
      <w:r>
        <w:rPr>
          <w:rFonts w:ascii="Times" w:eastAsia="Times" w:hAnsi="Times" w:cs="Times"/>
          <w:i/>
        </w:rPr>
        <w:t>Basic format for the most common types of unpublished references:</w:t>
      </w:r>
    </w:p>
    <w:p w14:paraId="54985C12" w14:textId="41D90FC2" w:rsidR="00732E46" w:rsidRDefault="000F2C11">
      <w:pPr>
        <w:rPr>
          <w:sz w:val="16"/>
          <w:szCs w:val="16"/>
        </w:rPr>
      </w:pPr>
      <w:r>
        <w:rPr>
          <w:sz w:val="16"/>
          <w:szCs w:val="16"/>
        </w:rPr>
        <w:t>J. K. Author, private communication, Abbrev. Month, year.</w:t>
      </w:r>
    </w:p>
    <w:p w14:paraId="7410FF32" w14:textId="73CDF3F8" w:rsidR="00732E46" w:rsidRDefault="000F2C11">
      <w:pPr>
        <w:rPr>
          <w:sz w:val="16"/>
          <w:szCs w:val="16"/>
        </w:rPr>
      </w:pPr>
      <w:r>
        <w:rPr>
          <w:sz w:val="16"/>
          <w:szCs w:val="16"/>
        </w:rPr>
        <w:t>J. K. Author, “Title of paper,” unpublished.</w:t>
      </w:r>
    </w:p>
    <w:p w14:paraId="4B1B0724" w14:textId="055F51FE" w:rsidR="00732E46" w:rsidRDefault="000F2C11">
      <w:pPr>
        <w:rPr>
          <w:sz w:val="16"/>
          <w:szCs w:val="16"/>
        </w:rPr>
      </w:pPr>
      <w:r>
        <w:rPr>
          <w:sz w:val="16"/>
          <w:szCs w:val="16"/>
        </w:rPr>
        <w:t>J. K. Author, “Title of paper,” to be published.</w:t>
      </w:r>
    </w:p>
    <w:p w14:paraId="700D30E6" w14:textId="77777777" w:rsidR="00EF6430" w:rsidRDefault="00EF6430">
      <w:pPr>
        <w:rPr>
          <w:sz w:val="16"/>
          <w:szCs w:val="16"/>
        </w:rPr>
      </w:pPr>
    </w:p>
    <w:p w14:paraId="66EDD228" w14:textId="77777777" w:rsidR="00732E46" w:rsidRDefault="000F2C11">
      <w:pPr>
        <w:rPr>
          <w:rFonts w:ascii="Times" w:eastAsia="Times" w:hAnsi="Times" w:cs="Times"/>
          <w:i/>
        </w:rPr>
      </w:pPr>
      <w:r>
        <w:rPr>
          <w:rFonts w:ascii="Times" w:eastAsia="Times" w:hAnsi="Times" w:cs="Times"/>
          <w:i/>
        </w:rPr>
        <w:t>Examples:</w:t>
      </w:r>
    </w:p>
    <w:p w14:paraId="4CA43FD1" w14:textId="77777777" w:rsidR="00732E46" w:rsidRDefault="000F2C11" w:rsidP="00EF6430">
      <w:pPr>
        <w:numPr>
          <w:ilvl w:val="0"/>
          <w:numId w:val="1"/>
        </w:numPr>
        <w:pBdr>
          <w:top w:val="nil"/>
          <w:left w:val="nil"/>
          <w:bottom w:val="nil"/>
          <w:right w:val="nil"/>
          <w:between w:val="nil"/>
        </w:pBdr>
        <w:ind w:left="360"/>
        <w:jc w:val="both"/>
      </w:pPr>
      <w:r>
        <w:rPr>
          <w:color w:val="000000"/>
          <w:sz w:val="16"/>
          <w:szCs w:val="16"/>
        </w:rPr>
        <w:t>A. Harrison, private communication, May 1995.</w:t>
      </w:r>
    </w:p>
    <w:p w14:paraId="5431155C" w14:textId="77777777" w:rsidR="00732E46" w:rsidRDefault="000F2C11" w:rsidP="00EF6430">
      <w:pPr>
        <w:numPr>
          <w:ilvl w:val="0"/>
          <w:numId w:val="1"/>
        </w:numPr>
        <w:pBdr>
          <w:top w:val="nil"/>
          <w:left w:val="nil"/>
          <w:bottom w:val="nil"/>
          <w:right w:val="nil"/>
          <w:between w:val="nil"/>
        </w:pBdr>
        <w:ind w:left="360"/>
        <w:jc w:val="both"/>
      </w:pPr>
      <w:r>
        <w:rPr>
          <w:color w:val="000000"/>
          <w:sz w:val="16"/>
          <w:szCs w:val="16"/>
        </w:rPr>
        <w:t>B. Smith, “An approach to graphs of linear forms,” 2014</w:t>
      </w:r>
      <w:r>
        <w:rPr>
          <w:sz w:val="16"/>
          <w:szCs w:val="16"/>
        </w:rPr>
        <w:t>,</w:t>
      </w:r>
      <w:r>
        <w:rPr>
          <w:color w:val="000000"/>
          <w:sz w:val="16"/>
          <w:szCs w:val="16"/>
        </w:rPr>
        <w:t xml:space="preserve"> </w:t>
      </w:r>
      <w:r>
        <w:rPr>
          <w:i/>
          <w:sz w:val="16"/>
          <w:szCs w:val="16"/>
        </w:rPr>
        <w:t>arXiv:2105.02824</w:t>
      </w:r>
      <w:r>
        <w:rPr>
          <w:sz w:val="16"/>
          <w:szCs w:val="16"/>
        </w:rPr>
        <w:t>.</w:t>
      </w:r>
    </w:p>
    <w:p w14:paraId="7A0D3B7E" w14:textId="77777777" w:rsidR="00732E46" w:rsidRDefault="000F2C11" w:rsidP="00EF6430">
      <w:pPr>
        <w:numPr>
          <w:ilvl w:val="0"/>
          <w:numId w:val="1"/>
        </w:numPr>
        <w:pBdr>
          <w:top w:val="nil"/>
          <w:left w:val="nil"/>
          <w:bottom w:val="nil"/>
          <w:right w:val="nil"/>
          <w:between w:val="nil"/>
        </w:pBdr>
        <w:ind w:left="360"/>
        <w:jc w:val="both"/>
      </w:pPr>
      <w:r>
        <w:rPr>
          <w:color w:val="000000"/>
          <w:sz w:val="16"/>
          <w:szCs w:val="16"/>
        </w:rPr>
        <w:t>A. Brahms, “Representation error for real numbers in binary computer arithmetic,” IEEE Computer Group Repository, Paper R-67-85.</w:t>
      </w:r>
    </w:p>
    <w:p w14:paraId="68B03F24" w14:textId="77777777" w:rsidR="00732E46" w:rsidRDefault="00732E46">
      <w:pPr>
        <w:rPr>
          <w:rFonts w:ascii="Times" w:eastAsia="Times" w:hAnsi="Times" w:cs="Times"/>
          <w:i/>
        </w:rPr>
      </w:pPr>
    </w:p>
    <w:p w14:paraId="4C733759" w14:textId="77777777" w:rsidR="00732E46" w:rsidRDefault="000F2C11">
      <w:pPr>
        <w:rPr>
          <w:rFonts w:ascii="Times" w:eastAsia="Times" w:hAnsi="Times" w:cs="Times"/>
          <w:i/>
        </w:rPr>
      </w:pPr>
      <w:r>
        <w:rPr>
          <w:rFonts w:ascii="Times" w:eastAsia="Times" w:hAnsi="Times" w:cs="Times"/>
          <w:i/>
        </w:rPr>
        <w:t>Basic formats for standards:</w:t>
      </w:r>
    </w:p>
    <w:p w14:paraId="7B1F210D" w14:textId="77777777" w:rsidR="00732E46" w:rsidRDefault="000F2C11">
      <w:pPr>
        <w:rPr>
          <w:sz w:val="16"/>
          <w:szCs w:val="16"/>
        </w:rPr>
      </w:pPr>
      <w:r>
        <w:rPr>
          <w:sz w:val="16"/>
          <w:szCs w:val="16"/>
        </w:rPr>
        <w:t>a)</w:t>
      </w:r>
      <w:r>
        <w:rPr>
          <w:i/>
          <w:sz w:val="16"/>
          <w:szCs w:val="16"/>
        </w:rPr>
        <w:t xml:space="preserve"> Title of Standard</w:t>
      </w:r>
      <w:r>
        <w:rPr>
          <w:sz w:val="16"/>
          <w:szCs w:val="16"/>
        </w:rPr>
        <w:t>, Standard number, date.</w:t>
      </w:r>
    </w:p>
    <w:p w14:paraId="7443FA1D" w14:textId="4519E19D" w:rsidR="00732E46" w:rsidRDefault="000F2C11">
      <w:pPr>
        <w:rPr>
          <w:sz w:val="16"/>
          <w:szCs w:val="16"/>
        </w:rPr>
      </w:pPr>
      <w:r>
        <w:rPr>
          <w:sz w:val="16"/>
          <w:szCs w:val="16"/>
        </w:rPr>
        <w:t xml:space="preserve">b) </w:t>
      </w:r>
      <w:r>
        <w:rPr>
          <w:i/>
          <w:sz w:val="16"/>
          <w:szCs w:val="16"/>
        </w:rPr>
        <w:t>Title of Standard</w:t>
      </w:r>
      <w:r>
        <w:rPr>
          <w:sz w:val="16"/>
          <w:szCs w:val="16"/>
        </w:rPr>
        <w:t>, Standard number, Corporate author, location, date.</w:t>
      </w:r>
    </w:p>
    <w:p w14:paraId="0CF119D5" w14:textId="77777777" w:rsidR="00EF6430" w:rsidRDefault="00EF6430">
      <w:pPr>
        <w:rPr>
          <w:sz w:val="16"/>
          <w:szCs w:val="16"/>
        </w:rPr>
      </w:pPr>
    </w:p>
    <w:p w14:paraId="6EDF1741" w14:textId="77777777" w:rsidR="00732E46" w:rsidRDefault="000F2C11">
      <w:pPr>
        <w:rPr>
          <w:rFonts w:ascii="Times" w:eastAsia="Times" w:hAnsi="Times" w:cs="Times"/>
          <w:i/>
        </w:rPr>
      </w:pPr>
      <w:r>
        <w:rPr>
          <w:rFonts w:ascii="Times" w:eastAsia="Times" w:hAnsi="Times" w:cs="Times"/>
          <w:i/>
        </w:rPr>
        <w:t>Examples:</w:t>
      </w:r>
    </w:p>
    <w:p w14:paraId="7F8C0807" w14:textId="77777777" w:rsidR="00732E46" w:rsidRDefault="000F2C11" w:rsidP="00EF6430">
      <w:pPr>
        <w:numPr>
          <w:ilvl w:val="0"/>
          <w:numId w:val="1"/>
        </w:numPr>
        <w:pBdr>
          <w:top w:val="nil"/>
          <w:left w:val="nil"/>
          <w:bottom w:val="nil"/>
          <w:right w:val="nil"/>
          <w:between w:val="nil"/>
        </w:pBdr>
        <w:ind w:left="360"/>
        <w:jc w:val="both"/>
        <w:rPr>
          <w:color w:val="000000"/>
          <w:sz w:val="16"/>
          <w:szCs w:val="16"/>
        </w:rPr>
      </w:pPr>
      <w:r>
        <w:rPr>
          <w:color w:val="000000"/>
          <w:sz w:val="16"/>
          <w:szCs w:val="16"/>
        </w:rPr>
        <w:t>IEEE Criteria for Class IE Electric Systems, IEEE Standard 308, 1969.</w:t>
      </w:r>
    </w:p>
    <w:p w14:paraId="25EF727E" w14:textId="77777777" w:rsidR="00932FBA" w:rsidRPr="00932FBA" w:rsidRDefault="000F2C11" w:rsidP="00EF6430">
      <w:pPr>
        <w:numPr>
          <w:ilvl w:val="0"/>
          <w:numId w:val="1"/>
        </w:numPr>
        <w:pBdr>
          <w:top w:val="nil"/>
          <w:left w:val="nil"/>
          <w:bottom w:val="nil"/>
          <w:right w:val="nil"/>
          <w:between w:val="nil"/>
        </w:pBdr>
        <w:ind w:left="360"/>
        <w:jc w:val="both"/>
        <w:rPr>
          <w:color w:val="000000"/>
        </w:rPr>
      </w:pPr>
      <w:r w:rsidRPr="00932FBA">
        <w:rPr>
          <w:color w:val="000000"/>
          <w:sz w:val="16"/>
          <w:szCs w:val="16"/>
        </w:rPr>
        <w:t>Letter Symbols for Quantities, ANSI Standard Y10.5-1968.</w:t>
      </w:r>
    </w:p>
    <w:p w14:paraId="40D15B3E" w14:textId="77777777" w:rsidR="00932FBA" w:rsidRPr="00932FBA" w:rsidRDefault="00932FBA" w:rsidP="00932FBA">
      <w:pPr>
        <w:pBdr>
          <w:top w:val="nil"/>
          <w:left w:val="nil"/>
          <w:bottom w:val="nil"/>
          <w:right w:val="nil"/>
          <w:between w:val="nil"/>
        </w:pBdr>
        <w:ind w:left="1170"/>
        <w:jc w:val="both"/>
        <w:rPr>
          <w:color w:val="000000"/>
        </w:rPr>
      </w:pPr>
    </w:p>
    <w:p w14:paraId="73C90705" w14:textId="53DF83D5" w:rsidR="00732E46" w:rsidRPr="00932FBA" w:rsidRDefault="00932FBA" w:rsidP="001E7EDB">
      <w:pPr>
        <w:pBdr>
          <w:top w:val="nil"/>
          <w:left w:val="nil"/>
          <w:bottom w:val="nil"/>
          <w:right w:val="nil"/>
          <w:between w:val="nil"/>
        </w:pBdr>
        <w:jc w:val="both"/>
        <w:rPr>
          <w:color w:val="000000"/>
        </w:rPr>
      </w:pPr>
      <w:r w:rsidRPr="00932FBA">
        <w:rPr>
          <w:color w:val="000000"/>
          <w:sz w:val="16"/>
          <w:szCs w:val="16"/>
        </w:rPr>
        <w:br w:type="column"/>
      </w:r>
      <w:r w:rsidR="000F2C11" w:rsidRPr="00932FBA">
        <w:rPr>
          <w:b/>
          <w:color w:val="000000"/>
        </w:rPr>
        <w:lastRenderedPageBreak/>
        <w:t>First A. Author</w:t>
      </w:r>
      <w:r w:rsidR="000F2C11" w:rsidRPr="00932FBA">
        <w:rPr>
          <w:color w:val="000000"/>
        </w:rPr>
        <w:t xml:space="preserve"> (</w:t>
      </w:r>
      <w:r w:rsidR="000F2C11">
        <w:t>Fellow, IEEE</w:t>
      </w:r>
      <w:r w:rsidR="000F2C11" w:rsidRPr="00932FBA">
        <w:rPr>
          <w:color w:val="000000"/>
        </w:rPr>
        <w:t xml:space="preserve">) and all authors may include biographies if </w:t>
      </w:r>
      <w:r w:rsidR="000F2C11">
        <w:t>the publication allows. Biographies are often not included in conference-related papers. Please check the Information for Authors to confirm</w:t>
      </w:r>
      <w:r w:rsidR="000F2C11" w:rsidRPr="00932FBA">
        <w:rPr>
          <w:color w:val="000000"/>
        </w:rPr>
        <w:t xml:space="preserve">. </w:t>
      </w:r>
      <w:r w:rsidR="000F2C11">
        <w:t>Author photos should be current, professional images of the head and shoulders.</w:t>
      </w:r>
      <w:r w:rsidR="000F2C11" w:rsidRPr="00932FBA">
        <w:rPr>
          <w:color w:val="000000"/>
        </w:rPr>
        <w:t xml:space="preserve"> The first paragraph may contain a place and/or date of birth (list place, then date). Next, the author’s educational background is listed. The degrees should be listed with the type of degree in what field, which institution, city, state, and country, and year the degree was earned. The author’s major field of study should be lowercase. </w:t>
      </w:r>
      <w:r w:rsidR="000F2C11">
        <w:rPr>
          <w:noProof/>
        </w:rPr>
        <w:drawing>
          <wp:anchor distT="0" distB="0" distL="114300" distR="114300" simplePos="0" relativeHeight="251659264" behindDoc="0" locked="0" layoutInCell="1" hidden="0" allowOverlap="1" wp14:anchorId="21200412" wp14:editId="6448EF71">
            <wp:simplePos x="0" y="0"/>
            <wp:positionH relativeFrom="column">
              <wp:posOffset>3811</wp:posOffset>
            </wp:positionH>
            <wp:positionV relativeFrom="paragraph">
              <wp:posOffset>50165</wp:posOffset>
            </wp:positionV>
            <wp:extent cx="914400" cy="1174750"/>
            <wp:effectExtent l="0" t="0" r="0" b="0"/>
            <wp:wrapSquare wrapText="bothSides" distT="0" distB="0" distL="114300" distR="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914400" cy="1174750"/>
                    </a:xfrm>
                    <a:prstGeom prst="rect">
                      <a:avLst/>
                    </a:prstGeom>
                    <a:ln/>
                  </pic:spPr>
                </pic:pic>
              </a:graphicData>
            </a:graphic>
          </wp:anchor>
        </w:drawing>
      </w:r>
    </w:p>
    <w:p w14:paraId="021F3C56" w14:textId="143F5465" w:rsidR="00732E46" w:rsidRDefault="000F2C11">
      <w:pPr>
        <w:pBdr>
          <w:top w:val="nil"/>
          <w:left w:val="nil"/>
          <w:bottom w:val="nil"/>
          <w:right w:val="nil"/>
          <w:between w:val="nil"/>
        </w:pBdr>
        <w:ind w:firstLine="202"/>
        <w:jc w:val="both"/>
        <w:rPr>
          <w:color w:val="000000"/>
        </w:rPr>
      </w:pPr>
      <w:r>
        <w:rPr>
          <w:color w:val="000000"/>
        </w:rPr>
        <w:t>The second paragraph uses the preferred third</w:t>
      </w:r>
      <w:r>
        <w:t xml:space="preserve"> person </w:t>
      </w:r>
      <w:r>
        <w:rPr>
          <w:color w:val="000000"/>
        </w:rPr>
        <w:t>pronoun (he</w:t>
      </w:r>
      <w:r>
        <w:t>,</w:t>
      </w:r>
      <w:r>
        <w:rPr>
          <w:color w:val="000000"/>
        </w:rPr>
        <w:t xml:space="preserve"> she, they, et</w:t>
      </w:r>
      <w:r>
        <w:t>c.</w:t>
      </w:r>
      <w:r>
        <w:rPr>
          <w:color w:val="000000"/>
        </w:rPr>
        <w:t>) and not the author’s last name. It lists military and work experience, including summer and fellowship jobs. Job titles are capitalized. The current job must have a location; previous positions may be listed without one. Information concerning previous publications may be included</w:t>
      </w:r>
      <w:r w:rsidR="00A853F3">
        <w:rPr>
          <w:color w:val="000000"/>
        </w:rPr>
        <w:t>.</w:t>
      </w:r>
      <w:r>
        <w:rPr>
          <w:color w:val="000000"/>
        </w:rPr>
        <w:t xml:space="preserve"> The format for listing publishers of a book within the biography is: </w:t>
      </w:r>
      <w:r>
        <w:rPr>
          <w:i/>
        </w:rPr>
        <w:t>T</w:t>
      </w:r>
      <w:r>
        <w:rPr>
          <w:i/>
          <w:color w:val="000000"/>
        </w:rPr>
        <w:t xml:space="preserve">itle of </w:t>
      </w:r>
      <w:r>
        <w:rPr>
          <w:i/>
        </w:rPr>
        <w:t>B</w:t>
      </w:r>
      <w:r>
        <w:rPr>
          <w:i/>
          <w:color w:val="000000"/>
        </w:rPr>
        <w:t>ook</w:t>
      </w:r>
      <w:r>
        <w:rPr>
          <w:color w:val="000000"/>
        </w:rPr>
        <w:t xml:space="preserve"> (publisher name, year) similar to a reference. Current and previous research interests end the paragraph.</w:t>
      </w:r>
    </w:p>
    <w:p w14:paraId="035A69EA" w14:textId="444BEB6B" w:rsidR="00732E46" w:rsidRDefault="000F2C11">
      <w:pPr>
        <w:pBdr>
          <w:top w:val="nil"/>
          <w:left w:val="nil"/>
          <w:bottom w:val="nil"/>
          <w:right w:val="nil"/>
          <w:between w:val="nil"/>
        </w:pBdr>
        <w:tabs>
          <w:tab w:val="left" w:pos="450"/>
        </w:tabs>
        <w:jc w:val="both"/>
        <w:rPr>
          <w:color w:val="000000"/>
        </w:rPr>
      </w:pPr>
      <w:r>
        <w:tab/>
      </w:r>
      <w:r>
        <w:rPr>
          <w:color w:val="000000"/>
        </w:rPr>
        <w:t xml:space="preserve">The third paragraph begins with the author’s preferred title and last name (e.g., Dr. Smith, Prof. Jones, Mr. </w:t>
      </w:r>
      <w:proofErr w:type="spellStart"/>
      <w:r>
        <w:rPr>
          <w:color w:val="000000"/>
        </w:rPr>
        <w:t>Kajor</w:t>
      </w:r>
      <w:proofErr w:type="spellEnd"/>
      <w:r>
        <w:rPr>
          <w:color w:val="000000"/>
        </w:rPr>
        <w:t xml:space="preserve">, Ms. Hunter, Mx. Riley). List any memberships in professional societies other than the IEEE. Finally, list any awards and work for IEEE committees and publications. </w:t>
      </w:r>
    </w:p>
    <w:p w14:paraId="2F9336D9" w14:textId="77777777" w:rsidR="00A853F3" w:rsidRDefault="00A853F3">
      <w:pPr>
        <w:pBdr>
          <w:top w:val="nil"/>
          <w:left w:val="nil"/>
          <w:bottom w:val="nil"/>
          <w:right w:val="nil"/>
          <w:between w:val="nil"/>
        </w:pBdr>
        <w:tabs>
          <w:tab w:val="left" w:pos="450"/>
        </w:tabs>
        <w:jc w:val="both"/>
        <w:rPr>
          <w:color w:val="000000"/>
        </w:rPr>
      </w:pPr>
    </w:p>
    <w:p w14:paraId="3E9DF21A" w14:textId="7AD9B6B2" w:rsidR="00732E46" w:rsidRDefault="000F2C11">
      <w:pPr>
        <w:jc w:val="both"/>
        <w:rPr>
          <w:rFonts w:ascii="Times" w:eastAsia="Times" w:hAnsi="Times" w:cs="Times"/>
        </w:rPr>
      </w:pPr>
      <w:r>
        <w:rPr>
          <w:b/>
        </w:rPr>
        <w:t>Second B. Author</w:t>
      </w:r>
      <w:r w:rsidR="00EA352F" w:rsidRPr="00EA352F">
        <w:rPr>
          <w:bCs/>
        </w:rPr>
        <w:t>,</w:t>
      </w:r>
      <w:r>
        <w:t xml:space="preserve"> </w:t>
      </w:r>
      <w:r>
        <w:rPr>
          <w:rFonts w:ascii="Times" w:eastAsia="Times" w:hAnsi="Times" w:cs="Times"/>
        </w:rPr>
        <w:t xml:space="preserve">photograph and biography not available at the time of publication.  </w:t>
      </w:r>
    </w:p>
    <w:p w14:paraId="4C5DB3D7" w14:textId="77777777" w:rsidR="00732E46" w:rsidRDefault="00732E46">
      <w:pPr>
        <w:jc w:val="both"/>
        <w:rPr>
          <w:rFonts w:ascii="Times" w:eastAsia="Times" w:hAnsi="Times" w:cs="Times"/>
        </w:rPr>
      </w:pPr>
    </w:p>
    <w:p w14:paraId="41C918F2" w14:textId="77777777" w:rsidR="00732E46" w:rsidRDefault="000F2C11">
      <w:pPr>
        <w:jc w:val="both"/>
        <w:rPr>
          <w:rFonts w:ascii="Times" w:eastAsia="Times" w:hAnsi="Times" w:cs="Times"/>
        </w:rPr>
      </w:pPr>
      <w:r>
        <w:rPr>
          <w:b/>
        </w:rPr>
        <w:t xml:space="preserve">Third C. Author, Jr. </w:t>
      </w:r>
      <w:r>
        <w:rPr>
          <w:rFonts w:ascii="Times" w:eastAsia="Times" w:hAnsi="Times" w:cs="Times"/>
        </w:rPr>
        <w:t xml:space="preserve">(Member, IEEE), photograph and biography not available at the time of publication. </w:t>
      </w:r>
    </w:p>
    <w:p w14:paraId="5ACECD96" w14:textId="77777777" w:rsidR="00732E46" w:rsidRDefault="00732E46">
      <w:pPr>
        <w:jc w:val="both"/>
        <w:rPr>
          <w:rFonts w:ascii="Times" w:eastAsia="Times" w:hAnsi="Times" w:cs="Times"/>
        </w:rPr>
      </w:pPr>
    </w:p>
    <w:p w14:paraId="4AB1CCE2" w14:textId="77777777" w:rsidR="00732E46" w:rsidRDefault="00732E46">
      <w:pPr>
        <w:jc w:val="both"/>
        <w:rPr>
          <w:rFonts w:ascii="Times" w:eastAsia="Times" w:hAnsi="Times" w:cs="Times"/>
        </w:rPr>
      </w:pPr>
    </w:p>
    <w:p w14:paraId="220DC854" w14:textId="77777777" w:rsidR="00732E46" w:rsidRDefault="00732E46">
      <w:pPr>
        <w:pBdr>
          <w:top w:val="nil"/>
          <w:left w:val="nil"/>
          <w:bottom w:val="nil"/>
          <w:right w:val="nil"/>
          <w:between w:val="nil"/>
        </w:pBdr>
        <w:jc w:val="both"/>
        <w:rPr>
          <w:color w:val="000000"/>
        </w:rPr>
      </w:pPr>
    </w:p>
    <w:sectPr w:rsidR="00732E46" w:rsidSect="00002FAF">
      <w:footnotePr>
        <w:numRestart w:val="eachSect"/>
      </w:footnotePr>
      <w:type w:val="continuous"/>
      <w:pgSz w:w="12240" w:h="15840"/>
      <w:pgMar w:top="1008" w:right="936" w:bottom="1008" w:left="936" w:header="432" w:footer="432" w:gutter="0"/>
      <w:pgNumType w:start="1"/>
      <w:cols w:num="2" w:space="720" w:equalWidth="0">
        <w:col w:w="5040" w:space="288"/>
        <w:col w:w="504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1105AC" w14:textId="77777777" w:rsidR="00190265" w:rsidRDefault="00190265">
      <w:r>
        <w:separator/>
      </w:r>
    </w:p>
  </w:endnote>
  <w:endnote w:type="continuationSeparator" w:id="0">
    <w:p w14:paraId="2768E2F2" w14:textId="77777777" w:rsidR="00190265" w:rsidRDefault="001902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Formata-Regular">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F09AC" w14:textId="77777777" w:rsidR="00190265" w:rsidRPr="009A0AA6" w:rsidRDefault="00190265" w:rsidP="009A0AA6">
      <w:pPr>
        <w:pStyle w:val="Footer"/>
      </w:pPr>
    </w:p>
  </w:footnote>
  <w:footnote w:type="continuationSeparator" w:id="0">
    <w:p w14:paraId="5D381DE1" w14:textId="77777777" w:rsidR="00190265" w:rsidRDefault="00190265">
      <w:r>
        <w:continuationSeparator/>
      </w:r>
    </w:p>
  </w:footnote>
  <w:footnote w:id="1">
    <w:p w14:paraId="4E35C723" w14:textId="41BC3CFA" w:rsidR="00732E46" w:rsidRDefault="00732E46" w:rsidP="00447B99">
      <w:pPr>
        <w:widowControl w:val="0"/>
        <w:spacing w:line="252" w:lineRule="auto"/>
        <w:jc w:val="both"/>
        <w:rPr>
          <w:sz w:val="12"/>
          <w:szCs w:val="12"/>
        </w:rPr>
      </w:pPr>
    </w:p>
  </w:footnote>
  <w:footnote w:id="2">
    <w:p w14:paraId="00256728" w14:textId="77777777" w:rsidR="00732E46" w:rsidRDefault="000F2C11">
      <w:pPr>
        <w:pBdr>
          <w:top w:val="nil"/>
          <w:left w:val="nil"/>
          <w:bottom w:val="nil"/>
          <w:right w:val="nil"/>
          <w:between w:val="nil"/>
        </w:pBdr>
        <w:ind w:firstLine="202"/>
        <w:jc w:val="both"/>
        <w:rPr>
          <w:color w:val="000000"/>
          <w:sz w:val="16"/>
          <w:szCs w:val="16"/>
        </w:rPr>
      </w:pPr>
      <w:r>
        <w:rPr>
          <w:rStyle w:val="FootnoteReference"/>
        </w:rPr>
        <w:footnoteRef/>
      </w:r>
      <w:r>
        <w:rPr>
          <w:color w:val="000000"/>
          <w:sz w:val="16"/>
          <w:szCs w:val="16"/>
        </w:rPr>
        <w:t>It is recommended that footnotes be avoided (except for the unnumbered footnote with the receipt date on the first page). Instead, try to integrate the footnote information into the text.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D9899" w14:textId="77777777" w:rsidR="00732E46" w:rsidRDefault="000F2C11">
    <w:pPr>
      <w:jc w:val="right"/>
    </w:pPr>
    <w:r>
      <w:fldChar w:fldCharType="begin"/>
    </w:r>
    <w:r>
      <w:instrText>PAGE</w:instrText>
    </w:r>
    <w:r>
      <w:fldChar w:fldCharType="separate"/>
    </w:r>
    <w:r w:rsidR="00002FAF">
      <w:rPr>
        <w:noProof/>
      </w:rPr>
      <w:t>1</w:t>
    </w:r>
    <w:r>
      <w:fldChar w:fldCharType="end"/>
    </w:r>
  </w:p>
  <w:p w14:paraId="46E0BAAB" w14:textId="3E9A8768" w:rsidR="00732E46" w:rsidRDefault="00FE53EF" w:rsidP="00FE53EF">
    <w:pPr>
      <w:ind w:right="360"/>
      <w:jc w:val="center"/>
    </w:pPr>
    <w:r>
      <w:t>UNIVERSITY OF COLORADO BOULDER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C29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27563A"/>
    <w:multiLevelType w:val="multilevel"/>
    <w:tmpl w:val="91500BF2"/>
    <w:lvl w:ilvl="0">
      <w:start w:val="1"/>
      <w:numFmt w:val="upperRoman"/>
      <w:lvlText w:val="%1."/>
      <w:lvlJc w:val="left"/>
      <w:pPr>
        <w:ind w:left="0" w:firstLine="0"/>
      </w:pPr>
    </w:lvl>
    <w:lvl w:ilvl="1">
      <w:start w:val="1"/>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2" w15:restartNumberingAfterBreak="0">
    <w:nsid w:val="119C305F"/>
    <w:multiLevelType w:val="multilevel"/>
    <w:tmpl w:val="DCC06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AC5DBD"/>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4" w15:restartNumberingAfterBreak="0">
    <w:nsid w:val="31F66E8E"/>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5" w15:restartNumberingAfterBreak="0">
    <w:nsid w:val="40BB7F3B"/>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6" w15:restartNumberingAfterBreak="0">
    <w:nsid w:val="44604766"/>
    <w:multiLevelType w:val="multilevel"/>
    <w:tmpl w:val="C84CC29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466B4453"/>
    <w:multiLevelType w:val="multilevel"/>
    <w:tmpl w:val="45AE852C"/>
    <w:lvl w:ilvl="0">
      <w:start w:val="1"/>
      <w:numFmt w:val="upperRoman"/>
      <w:lvlText w:val="%1."/>
      <w:lvlJc w:val="left"/>
      <w:pPr>
        <w:ind w:left="0" w:firstLine="0"/>
      </w:pPr>
    </w:lvl>
    <w:lvl w:ilvl="1">
      <w:start w:val="1"/>
      <w:numFmt w:val="decimal"/>
      <w:lvlText w:val="%2)"/>
      <w:lvlJc w:val="left"/>
      <w:pPr>
        <w:ind w:left="450" w:hanging="360"/>
      </w:pPr>
      <w:rPr>
        <w:b w:val="0"/>
        <w:i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8" w15:restartNumberingAfterBreak="0">
    <w:nsid w:val="4C936FD3"/>
    <w:multiLevelType w:val="multilevel"/>
    <w:tmpl w:val="82B850BA"/>
    <w:lvl w:ilvl="0">
      <w:start w:val="1"/>
      <w:numFmt w:val="upperLetter"/>
      <w:lvlText w:val="%1."/>
      <w:lvlJc w:val="left"/>
      <w:pPr>
        <w:ind w:left="720" w:hanging="360"/>
      </w:pPr>
      <w:rPr>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CC97A8F"/>
    <w:multiLevelType w:val="multilevel"/>
    <w:tmpl w:val="51823B8A"/>
    <w:lvl w:ilvl="0">
      <w:start w:val="1"/>
      <w:numFmt w:val="decimal"/>
      <w:lvlText w:val="[%1]"/>
      <w:lvlJc w:val="left"/>
      <w:pPr>
        <w:ind w:left="990" w:hanging="360"/>
      </w:pPr>
      <w:rPr>
        <w:i w:val="0"/>
        <w:sz w:val="16"/>
        <w:szCs w:val="16"/>
      </w:rPr>
    </w:lvl>
    <w:lvl w:ilvl="1">
      <w:start w:val="1"/>
      <w:numFmt w:val="bullet"/>
      <w:pStyle w:val="Heading2"/>
      <w:lvlText w:val=""/>
      <w:lvlJc w:val="left"/>
      <w:pPr>
        <w:ind w:left="0" w:firstLine="0"/>
      </w:pPr>
    </w:lvl>
    <w:lvl w:ilvl="2">
      <w:start w:val="1"/>
      <w:numFmt w:val="bullet"/>
      <w:pStyle w:val="Heading3"/>
      <w:lvlText w:val=""/>
      <w:lvlJc w:val="left"/>
      <w:pPr>
        <w:ind w:left="0" w:firstLine="0"/>
      </w:pPr>
    </w:lvl>
    <w:lvl w:ilvl="3">
      <w:start w:val="1"/>
      <w:numFmt w:val="bullet"/>
      <w:pStyle w:val="Heading4"/>
      <w:lvlText w:val=""/>
      <w:lvlJc w:val="left"/>
      <w:pPr>
        <w:ind w:left="0" w:firstLine="0"/>
      </w:pPr>
    </w:lvl>
    <w:lvl w:ilvl="4">
      <w:start w:val="1"/>
      <w:numFmt w:val="bullet"/>
      <w:pStyle w:val="Heading5"/>
      <w:lvlText w:val=""/>
      <w:lvlJc w:val="left"/>
      <w:pPr>
        <w:ind w:left="0" w:firstLine="0"/>
      </w:pPr>
    </w:lvl>
    <w:lvl w:ilvl="5">
      <w:start w:val="1"/>
      <w:numFmt w:val="bullet"/>
      <w:pStyle w:val="Heading6"/>
      <w:lvlText w:val=""/>
      <w:lvlJc w:val="left"/>
      <w:pPr>
        <w:ind w:left="0" w:firstLine="0"/>
      </w:pPr>
    </w:lvl>
    <w:lvl w:ilvl="6">
      <w:start w:val="1"/>
      <w:numFmt w:val="bullet"/>
      <w:pStyle w:val="Heading7"/>
      <w:lvlText w:val=""/>
      <w:lvlJc w:val="left"/>
      <w:pPr>
        <w:ind w:left="0" w:firstLine="0"/>
      </w:pPr>
    </w:lvl>
    <w:lvl w:ilvl="7">
      <w:start w:val="1"/>
      <w:numFmt w:val="bullet"/>
      <w:pStyle w:val="Heading8"/>
      <w:lvlText w:val=""/>
      <w:lvlJc w:val="left"/>
      <w:pPr>
        <w:ind w:left="0" w:firstLine="0"/>
      </w:pPr>
    </w:lvl>
    <w:lvl w:ilvl="8">
      <w:start w:val="1"/>
      <w:numFmt w:val="bullet"/>
      <w:pStyle w:val="Heading9"/>
      <w:lvlText w:val=""/>
      <w:lvlJc w:val="left"/>
      <w:pPr>
        <w:ind w:left="0" w:firstLine="0"/>
      </w:pPr>
    </w:lvl>
  </w:abstractNum>
  <w:num w:numId="1" w16cid:durableId="266814406">
    <w:abstractNumId w:val="9"/>
  </w:num>
  <w:num w:numId="2" w16cid:durableId="254437771">
    <w:abstractNumId w:val="2"/>
  </w:num>
  <w:num w:numId="3" w16cid:durableId="609052705">
    <w:abstractNumId w:val="1"/>
  </w:num>
  <w:num w:numId="4" w16cid:durableId="2070304295">
    <w:abstractNumId w:val="8"/>
  </w:num>
  <w:num w:numId="5" w16cid:durableId="1289244941">
    <w:abstractNumId w:val="5"/>
  </w:num>
  <w:num w:numId="6" w16cid:durableId="1803689919">
    <w:abstractNumId w:val="6"/>
  </w:num>
  <w:num w:numId="7" w16cid:durableId="42762884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92662795">
    <w:abstractNumId w:val="4"/>
  </w:num>
  <w:num w:numId="9" w16cid:durableId="441726699">
    <w:abstractNumId w:val="3"/>
  </w:num>
  <w:num w:numId="10" w16cid:durableId="1097991782">
    <w:abstractNumId w:val="7"/>
  </w:num>
  <w:num w:numId="11" w16cid:durableId="6848626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2E46"/>
    <w:rsid w:val="00002FAF"/>
    <w:rsid w:val="00015024"/>
    <w:rsid w:val="00023C10"/>
    <w:rsid w:val="00033C63"/>
    <w:rsid w:val="00035156"/>
    <w:rsid w:val="000403AE"/>
    <w:rsid w:val="00053B2E"/>
    <w:rsid w:val="000650E5"/>
    <w:rsid w:val="00074902"/>
    <w:rsid w:val="00081747"/>
    <w:rsid w:val="00085D7A"/>
    <w:rsid w:val="000F2C11"/>
    <w:rsid w:val="00114406"/>
    <w:rsid w:val="00152AB3"/>
    <w:rsid w:val="001577B0"/>
    <w:rsid w:val="00170C54"/>
    <w:rsid w:val="001743EC"/>
    <w:rsid w:val="00190265"/>
    <w:rsid w:val="00190B02"/>
    <w:rsid w:val="001B0334"/>
    <w:rsid w:val="001C0A09"/>
    <w:rsid w:val="001E7EDB"/>
    <w:rsid w:val="001F512A"/>
    <w:rsid w:val="00222076"/>
    <w:rsid w:val="00285E41"/>
    <w:rsid w:val="00294FF8"/>
    <w:rsid w:val="002F2C93"/>
    <w:rsid w:val="00332A52"/>
    <w:rsid w:val="00357347"/>
    <w:rsid w:val="0036091A"/>
    <w:rsid w:val="00377374"/>
    <w:rsid w:val="003C7FC9"/>
    <w:rsid w:val="004063A4"/>
    <w:rsid w:val="004431EB"/>
    <w:rsid w:val="00447B99"/>
    <w:rsid w:val="00474613"/>
    <w:rsid w:val="004F5E0F"/>
    <w:rsid w:val="005073DA"/>
    <w:rsid w:val="00556A7E"/>
    <w:rsid w:val="005B43C2"/>
    <w:rsid w:val="005C68BC"/>
    <w:rsid w:val="005E2D10"/>
    <w:rsid w:val="005F4497"/>
    <w:rsid w:val="005F74EB"/>
    <w:rsid w:val="006128AD"/>
    <w:rsid w:val="00614CA6"/>
    <w:rsid w:val="00643BB5"/>
    <w:rsid w:val="006514FE"/>
    <w:rsid w:val="00660F88"/>
    <w:rsid w:val="00691378"/>
    <w:rsid w:val="00694E0B"/>
    <w:rsid w:val="006E42E3"/>
    <w:rsid w:val="00704ADE"/>
    <w:rsid w:val="007054D1"/>
    <w:rsid w:val="00716E75"/>
    <w:rsid w:val="007212B5"/>
    <w:rsid w:val="00731E10"/>
    <w:rsid w:val="00732E46"/>
    <w:rsid w:val="00771AA2"/>
    <w:rsid w:val="007F4FB6"/>
    <w:rsid w:val="007F65DA"/>
    <w:rsid w:val="0080720F"/>
    <w:rsid w:val="00855783"/>
    <w:rsid w:val="00874977"/>
    <w:rsid w:val="008E4F03"/>
    <w:rsid w:val="009174E9"/>
    <w:rsid w:val="00932FBA"/>
    <w:rsid w:val="00933C71"/>
    <w:rsid w:val="0096199E"/>
    <w:rsid w:val="009A0AA6"/>
    <w:rsid w:val="009C1AF6"/>
    <w:rsid w:val="009E6B81"/>
    <w:rsid w:val="00A071DD"/>
    <w:rsid w:val="00A16D1D"/>
    <w:rsid w:val="00A41540"/>
    <w:rsid w:val="00A46D1F"/>
    <w:rsid w:val="00A530D2"/>
    <w:rsid w:val="00A6122B"/>
    <w:rsid w:val="00A80BDA"/>
    <w:rsid w:val="00A853F3"/>
    <w:rsid w:val="00AB4C22"/>
    <w:rsid w:val="00B07BB7"/>
    <w:rsid w:val="00B1380E"/>
    <w:rsid w:val="00B465A9"/>
    <w:rsid w:val="00B64FD3"/>
    <w:rsid w:val="00C227C8"/>
    <w:rsid w:val="00C72AB0"/>
    <w:rsid w:val="00CE32A9"/>
    <w:rsid w:val="00D834D1"/>
    <w:rsid w:val="00DA34C3"/>
    <w:rsid w:val="00DB3364"/>
    <w:rsid w:val="00DC758F"/>
    <w:rsid w:val="00DE334B"/>
    <w:rsid w:val="00DF6629"/>
    <w:rsid w:val="00E45781"/>
    <w:rsid w:val="00E57D3D"/>
    <w:rsid w:val="00E625A7"/>
    <w:rsid w:val="00E653B5"/>
    <w:rsid w:val="00E94AC5"/>
    <w:rsid w:val="00E94F92"/>
    <w:rsid w:val="00EA352F"/>
    <w:rsid w:val="00EF6430"/>
    <w:rsid w:val="00F736D0"/>
    <w:rsid w:val="00F7780B"/>
    <w:rsid w:val="00FE53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434F74"/>
  <w15:docId w15:val="{9D00F7B9-20C6-4610-BC01-AAEEF331E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DB3364"/>
    <w:pPr>
      <w:keepNext/>
      <w:spacing w:before="240" w:after="80"/>
      <w:jc w:val="center"/>
      <w:outlineLvl w:val="0"/>
    </w:pPr>
    <w:rPr>
      <w:smallCaps/>
      <w:kern w:val="28"/>
    </w:rPr>
  </w:style>
  <w:style w:type="paragraph" w:styleId="Heading2">
    <w:name w:val="heading 2"/>
    <w:basedOn w:val="Normal"/>
    <w:next w:val="Normal"/>
    <w:link w:val="Heading2Char"/>
    <w:uiPriority w:val="9"/>
    <w:unhideWhenUsed/>
    <w:qFormat/>
    <w:pPr>
      <w:keepNext/>
      <w:numPr>
        <w:ilvl w:val="1"/>
        <w:numId w:val="1"/>
      </w:numPr>
      <w:spacing w:before="120" w:after="60"/>
      <w:outlineLvl w:val="1"/>
    </w:pPr>
    <w:rPr>
      <w:i/>
      <w:iCs/>
    </w:rPr>
  </w:style>
  <w:style w:type="paragraph" w:styleId="Heading3">
    <w:name w:val="heading 3"/>
    <w:basedOn w:val="Normal"/>
    <w:next w:val="Normal"/>
    <w:uiPriority w:val="9"/>
    <w:unhideWhenUsed/>
    <w:qFormat/>
    <w:pPr>
      <w:keepNext/>
      <w:numPr>
        <w:ilvl w:val="2"/>
        <w:numId w:val="1"/>
      </w:numPr>
      <w:outlineLvl w:val="2"/>
    </w:pPr>
    <w:rPr>
      <w:i/>
      <w:iCs/>
    </w:rPr>
  </w:style>
  <w:style w:type="paragraph" w:styleId="Heading4">
    <w:name w:val="heading 4"/>
    <w:basedOn w:val="Normal"/>
    <w:next w:val="Normal"/>
    <w:uiPriority w:val="9"/>
    <w:semiHidden/>
    <w:unhideWhenUsed/>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semiHidden/>
    <w:unhideWhenUsed/>
    <w:qFormat/>
    <w:pPr>
      <w:numPr>
        <w:ilvl w:val="4"/>
        <w:numId w:val="1"/>
      </w:numPr>
      <w:spacing w:before="240" w:after="60"/>
      <w:outlineLvl w:val="4"/>
    </w:pPr>
    <w:rPr>
      <w:sz w:val="18"/>
      <w:szCs w:val="18"/>
    </w:rPr>
  </w:style>
  <w:style w:type="paragraph" w:styleId="Heading6">
    <w:name w:val="heading 6"/>
    <w:basedOn w:val="Normal"/>
    <w:next w:val="Normal"/>
    <w:uiPriority w:val="9"/>
    <w:semiHidden/>
    <w:unhideWhenUsed/>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framePr w:w="9360" w:hSpace="187" w:vSpace="187" w:wrap="notBeside" w:vAnchor="text" w:hAnchor="page" w:xAlign="center" w:y="1"/>
      <w:jc w:val="center"/>
    </w:pPr>
    <w:rPr>
      <w:kern w:val="28"/>
      <w:sz w:val="48"/>
      <w:szCs w:val="48"/>
    </w:rPr>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6"/>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DB3364"/>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A853F3"/>
    <w:rPr>
      <w:color w:val="605E5C"/>
      <w:shd w:val="clear" w:color="auto" w:fill="E1DFDD"/>
    </w:rPr>
  </w:style>
  <w:style w:type="character" w:styleId="CommentReference">
    <w:name w:val="annotation reference"/>
    <w:basedOn w:val="DefaultParagraphFont"/>
    <w:uiPriority w:val="99"/>
    <w:semiHidden/>
    <w:unhideWhenUsed/>
    <w:rsid w:val="001E7EDB"/>
    <w:rPr>
      <w:sz w:val="16"/>
      <w:szCs w:val="16"/>
    </w:rPr>
  </w:style>
  <w:style w:type="paragraph" w:styleId="CommentText">
    <w:name w:val="annotation text"/>
    <w:basedOn w:val="Normal"/>
    <w:link w:val="CommentTextChar"/>
    <w:uiPriority w:val="99"/>
    <w:semiHidden/>
    <w:unhideWhenUsed/>
    <w:rsid w:val="001E7EDB"/>
  </w:style>
  <w:style w:type="character" w:customStyle="1" w:styleId="CommentTextChar">
    <w:name w:val="Comment Text Char"/>
    <w:basedOn w:val="DefaultParagraphFont"/>
    <w:link w:val="CommentText"/>
    <w:uiPriority w:val="99"/>
    <w:semiHidden/>
    <w:rsid w:val="001E7EDB"/>
  </w:style>
  <w:style w:type="paragraph" w:styleId="CommentSubject">
    <w:name w:val="annotation subject"/>
    <w:basedOn w:val="CommentText"/>
    <w:next w:val="CommentText"/>
    <w:link w:val="CommentSubjectChar"/>
    <w:uiPriority w:val="99"/>
    <w:semiHidden/>
    <w:unhideWhenUsed/>
    <w:rsid w:val="001E7EDB"/>
    <w:rPr>
      <w:b/>
      <w:bCs/>
    </w:rPr>
  </w:style>
  <w:style w:type="character" w:customStyle="1" w:styleId="CommentSubjectChar">
    <w:name w:val="Comment Subject Char"/>
    <w:basedOn w:val="CommentTextChar"/>
    <w:link w:val="CommentSubject"/>
    <w:uiPriority w:val="99"/>
    <w:semiHidden/>
    <w:rsid w:val="001E7EDB"/>
    <w:rPr>
      <w:b/>
      <w:bCs/>
    </w:rPr>
  </w:style>
  <w:style w:type="paragraph" w:styleId="ListParagraph">
    <w:name w:val="List Paragraph"/>
    <w:basedOn w:val="Normal"/>
    <w:uiPriority w:val="34"/>
    <w:qFormat/>
    <w:rsid w:val="00DB33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703099">
      <w:bodyDiv w:val="1"/>
      <w:marLeft w:val="0"/>
      <w:marRight w:val="0"/>
      <w:marTop w:val="0"/>
      <w:marBottom w:val="0"/>
      <w:divBdr>
        <w:top w:val="none" w:sz="0" w:space="0" w:color="auto"/>
        <w:left w:val="none" w:sz="0" w:space="0" w:color="auto"/>
        <w:bottom w:val="none" w:sz="0" w:space="0" w:color="auto"/>
        <w:right w:val="none" w:sz="0" w:space="0" w:color="auto"/>
      </w:divBdr>
    </w:div>
    <w:div w:id="1231187393">
      <w:bodyDiv w:val="1"/>
      <w:marLeft w:val="0"/>
      <w:marRight w:val="0"/>
      <w:marTop w:val="0"/>
      <w:marBottom w:val="0"/>
      <w:divBdr>
        <w:top w:val="none" w:sz="0" w:space="0" w:color="auto"/>
        <w:left w:val="none" w:sz="0" w:space="0" w:color="auto"/>
        <w:bottom w:val="none" w:sz="0" w:space="0" w:color="auto"/>
        <w:right w:val="none" w:sz="0" w:space="0" w:color="auto"/>
      </w:divBdr>
      <w:divsChild>
        <w:div w:id="21169730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3418517">
              <w:marLeft w:val="0"/>
              <w:marRight w:val="0"/>
              <w:marTop w:val="0"/>
              <w:marBottom w:val="0"/>
              <w:divBdr>
                <w:top w:val="none" w:sz="0" w:space="0" w:color="auto"/>
                <w:left w:val="none" w:sz="0" w:space="0" w:color="auto"/>
                <w:bottom w:val="none" w:sz="0" w:space="0" w:color="auto"/>
                <w:right w:val="none" w:sz="0" w:space="0" w:color="auto"/>
              </w:divBdr>
              <w:divsChild>
                <w:div w:id="175772336">
                  <w:marLeft w:val="0"/>
                  <w:marRight w:val="0"/>
                  <w:marTop w:val="0"/>
                  <w:marBottom w:val="0"/>
                  <w:divBdr>
                    <w:top w:val="none" w:sz="0" w:space="0" w:color="auto"/>
                    <w:left w:val="none" w:sz="0" w:space="0" w:color="auto"/>
                    <w:bottom w:val="none" w:sz="0" w:space="0" w:color="auto"/>
                    <w:right w:val="none" w:sz="0" w:space="0" w:color="auto"/>
                  </w:divBdr>
                  <w:divsChild>
                    <w:div w:id="91903409">
                      <w:marLeft w:val="0"/>
                      <w:marRight w:val="0"/>
                      <w:marTop w:val="0"/>
                      <w:marBottom w:val="0"/>
                      <w:divBdr>
                        <w:top w:val="none" w:sz="0" w:space="0" w:color="auto"/>
                        <w:left w:val="none" w:sz="0" w:space="0" w:color="auto"/>
                        <w:bottom w:val="none" w:sz="0" w:space="0" w:color="auto"/>
                        <w:right w:val="none" w:sz="0" w:space="0" w:color="auto"/>
                      </w:divBdr>
                      <w:divsChild>
                        <w:div w:id="34930747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90840997">
                              <w:marLeft w:val="0"/>
                              <w:marRight w:val="0"/>
                              <w:marTop w:val="0"/>
                              <w:marBottom w:val="0"/>
                              <w:divBdr>
                                <w:top w:val="none" w:sz="0" w:space="0" w:color="auto"/>
                                <w:left w:val="none" w:sz="0" w:space="0" w:color="auto"/>
                                <w:bottom w:val="none" w:sz="0" w:space="0" w:color="auto"/>
                                <w:right w:val="none" w:sz="0" w:space="0" w:color="auto"/>
                              </w:divBdr>
                              <w:divsChild>
                                <w:div w:id="229121804">
                                  <w:marLeft w:val="0"/>
                                  <w:marRight w:val="0"/>
                                  <w:marTop w:val="0"/>
                                  <w:marBottom w:val="0"/>
                                  <w:divBdr>
                                    <w:top w:val="none" w:sz="0" w:space="0" w:color="auto"/>
                                    <w:left w:val="none" w:sz="0" w:space="0" w:color="auto"/>
                                    <w:bottom w:val="none" w:sz="0" w:space="0" w:color="auto"/>
                                    <w:right w:val="none" w:sz="0" w:space="0" w:color="auto"/>
                                  </w:divBdr>
                                  <w:divsChild>
                                    <w:div w:id="708576033">
                                      <w:marLeft w:val="0"/>
                                      <w:marRight w:val="0"/>
                                      <w:marTop w:val="0"/>
                                      <w:marBottom w:val="0"/>
                                      <w:divBdr>
                                        <w:top w:val="none" w:sz="0" w:space="0" w:color="auto"/>
                                        <w:left w:val="none" w:sz="0" w:space="0" w:color="auto"/>
                                        <w:bottom w:val="none" w:sz="0" w:space="0" w:color="auto"/>
                                        <w:right w:val="none" w:sz="0" w:space="0" w:color="auto"/>
                                      </w:divBdr>
                                      <w:divsChild>
                                        <w:div w:id="143296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9195544">
      <w:bodyDiv w:val="1"/>
      <w:marLeft w:val="0"/>
      <w:marRight w:val="0"/>
      <w:marTop w:val="0"/>
      <w:marBottom w:val="0"/>
      <w:divBdr>
        <w:top w:val="none" w:sz="0" w:space="0" w:color="auto"/>
        <w:left w:val="none" w:sz="0" w:space="0" w:color="auto"/>
        <w:bottom w:val="none" w:sz="0" w:space="0" w:color="auto"/>
        <w:right w:val="none" w:sz="0" w:space="0" w:color="auto"/>
      </w:divBdr>
      <w:divsChild>
        <w:div w:id="6960059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5332046">
              <w:marLeft w:val="0"/>
              <w:marRight w:val="0"/>
              <w:marTop w:val="0"/>
              <w:marBottom w:val="0"/>
              <w:divBdr>
                <w:top w:val="none" w:sz="0" w:space="0" w:color="auto"/>
                <w:left w:val="none" w:sz="0" w:space="0" w:color="auto"/>
                <w:bottom w:val="none" w:sz="0" w:space="0" w:color="auto"/>
                <w:right w:val="none" w:sz="0" w:space="0" w:color="auto"/>
              </w:divBdr>
              <w:divsChild>
                <w:div w:id="1457792411">
                  <w:marLeft w:val="0"/>
                  <w:marRight w:val="0"/>
                  <w:marTop w:val="0"/>
                  <w:marBottom w:val="0"/>
                  <w:divBdr>
                    <w:top w:val="none" w:sz="0" w:space="0" w:color="auto"/>
                    <w:left w:val="none" w:sz="0" w:space="0" w:color="auto"/>
                    <w:bottom w:val="none" w:sz="0" w:space="0" w:color="auto"/>
                    <w:right w:val="none" w:sz="0" w:space="0" w:color="auto"/>
                  </w:divBdr>
                  <w:divsChild>
                    <w:div w:id="1929775424">
                      <w:marLeft w:val="0"/>
                      <w:marRight w:val="0"/>
                      <w:marTop w:val="0"/>
                      <w:marBottom w:val="0"/>
                      <w:divBdr>
                        <w:top w:val="none" w:sz="0" w:space="0" w:color="auto"/>
                        <w:left w:val="none" w:sz="0" w:space="0" w:color="auto"/>
                        <w:bottom w:val="none" w:sz="0" w:space="0" w:color="auto"/>
                        <w:right w:val="none" w:sz="0" w:space="0" w:color="auto"/>
                      </w:divBdr>
                      <w:divsChild>
                        <w:div w:id="12717382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25020562">
                              <w:marLeft w:val="0"/>
                              <w:marRight w:val="0"/>
                              <w:marTop w:val="0"/>
                              <w:marBottom w:val="0"/>
                              <w:divBdr>
                                <w:top w:val="none" w:sz="0" w:space="0" w:color="auto"/>
                                <w:left w:val="none" w:sz="0" w:space="0" w:color="auto"/>
                                <w:bottom w:val="none" w:sz="0" w:space="0" w:color="auto"/>
                                <w:right w:val="none" w:sz="0" w:space="0" w:color="auto"/>
                              </w:divBdr>
                              <w:divsChild>
                                <w:div w:id="8040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0597165">
      <w:bodyDiv w:val="1"/>
      <w:marLeft w:val="0"/>
      <w:marRight w:val="0"/>
      <w:marTop w:val="0"/>
      <w:marBottom w:val="0"/>
      <w:divBdr>
        <w:top w:val="none" w:sz="0" w:space="0" w:color="auto"/>
        <w:left w:val="none" w:sz="0" w:space="0" w:color="auto"/>
        <w:bottom w:val="none" w:sz="0" w:space="0" w:color="auto"/>
        <w:right w:val="none" w:sz="0" w:space="0" w:color="auto"/>
      </w:divBdr>
    </w:div>
    <w:div w:id="1838375083">
      <w:bodyDiv w:val="1"/>
      <w:marLeft w:val="0"/>
      <w:marRight w:val="0"/>
      <w:marTop w:val="0"/>
      <w:marBottom w:val="0"/>
      <w:divBdr>
        <w:top w:val="none" w:sz="0" w:space="0" w:color="auto"/>
        <w:left w:val="none" w:sz="0" w:space="0" w:color="auto"/>
        <w:bottom w:val="none" w:sz="0" w:space="0" w:color="auto"/>
        <w:right w:val="none" w:sz="0" w:space="0" w:color="auto"/>
      </w:divBdr>
    </w:div>
    <w:div w:id="18514107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journals.ieeeauthorcenter.ieee.org/become-an-ieee-journal-author/publishing-ethics/guidelines-and-policies/"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ieee.org/publications/rights/index.html"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www.ieee.org/publications/rights/index.html"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ww.ieee.org/publications_standards/publications/authors/authors_submission.html"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journals.ieeeauthorcenter.ieee.org/create-your-ieee-journal-article/create-the-text-of-your-article/ieee-editorial-style-manual/" TargetMode="External"/><Relationship Id="rId27"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6BC60F9-571F-8E49-8DCE-5F89DD1D7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9</Pages>
  <Words>6033</Words>
  <Characters>34389</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Tiffany McKerahan</dc:creator>
  <cp:lastModifiedBy>Tyler Scott Davidson</cp:lastModifiedBy>
  <cp:revision>50</cp:revision>
  <dcterms:created xsi:type="dcterms:W3CDTF">2021-09-21T14:19:00Z</dcterms:created>
  <dcterms:modified xsi:type="dcterms:W3CDTF">2022-12-08T20:26:00Z</dcterms:modified>
</cp:coreProperties>
</file>