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757" w:dyaOrig="5156">
          <v:rect xmlns:o="urn:schemas-microsoft-com:office:office" xmlns:v="urn:schemas-microsoft-com:vml" id="rectole0000000000" style="width:237.850000pt;height:25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6/26/2024</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Spencer Schmidt</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6718" w:dyaOrig="2289">
          <v:rect xmlns:o="urn:schemas-microsoft-com:office:office" xmlns:v="urn:schemas-microsoft-com:vml" id="rectole0000000001" style="width:335.900000pt;height:11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include your findings. </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Two Guidelines and Rubric for more detailed instructions about each section of the template.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Spencer Schmidt</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 Cipher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text.]</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6084" w:dyaOrig="7715">
          <v:rect xmlns:o="urn:schemas-microsoft-com:office:office" xmlns:v="urn:schemas-microsoft-com:vml" id="rectole0000000002" style="width:304.200000pt;height:38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 Cipher</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2"/>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775">
          <v:rect xmlns:o="urn:schemas-microsoft-com:office:office" xmlns:v="urn:schemas-microsoft-com:vml" id="rectole0000000004" style="width:432.000000pt;height:238.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232">
          <v:rect xmlns:o="urn:schemas-microsoft-com:office:office" xmlns:v="urn:schemas-microsoft-com:vml" id="rectole0000000005" style="width:432.000000pt;height:261.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we examined and refactored Artemis Financial’s software to address security vulnerabilities and ensure secure communication. To meet the software security requirements, we recommended and implemented the Advanced Encryption Standard (AES) algorithm for data encryption, configuring it with a 256-bit key for enhanced security. We generated a self-signed certificate using the Java Keytool, exported it as a .cer file, and included it in the project resources to enable HTTPS communication in the Spring Boot application. Additionally, we refactored the code to include an endpoint that returns the checksum of a static data string using the SHA-256 hash algorithm, demonstrating the functionality of the cryptographic hash algorithm. We also configured the Spring Boot application to use HTTPS by updating the application.properties file with the keystore details, successfully running the application with HTTPS enabled.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we performed secondary static testing using the OWASP Dependency-Check tool to ensure compliance with software security enhancements, generating a report and capturing a screenshot for the report. We manually reviewed the code to identify any syntactical, logical, and security vulnerabilities, ensuring the refactored code executed without errors. Screenshots of the successful execution and the dependency-check report were included in the final report. Through these steps, we ensured that Artemis Financial’s software met high-security standards and demonstrated secure communication capabilities.</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1">
    <w:abstractNumId w:val="36"/>
  </w:num>
  <w:num w:numId="15">
    <w:abstractNumId w:val="30"/>
  </w:num>
  <w:num w:numId="17">
    <w:abstractNumId w:val="24"/>
  </w:num>
  <w:num w:numId="20">
    <w:abstractNumId w:val="18"/>
  </w:num>
  <w:num w:numId="22">
    <w:abstractNumId w:val="12"/>
  </w:num>
  <w:num w:numId="25">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