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100"/>
      </w:pPr>
      <w:r>
        <w:rPr>
          <w:b/>
          <w:bCs/>
        </w:rPr>
        <w:t xml:space="preserve">NOMAD RESEARCH — DEEP DIVE</w:t>
      </w:r>
    </w:p>
    <w:p>
      <w:pPr>
        <w:spacing w:after="100"/>
      </w:pPr>
      <w:r>
        <w:t xml:space="preserve">Protocol: MetaDAO</w:t>
      </w:r>
    </w:p>
    <w:p>
      <w:pPr>
        <w:spacing w:after="100"/>
      </w:pPr>
      <w:r>
        <w:t xml:space="preserve">Ticker: $META</w:t>
      </w:r>
    </w:p>
    <w:p>
      <w:pPr>
        <w:spacing w:after="100"/>
      </w:pPr>
      <w:r>
        <w:t xml:space="preserve">Chain: Solana</w:t>
      </w:r>
    </w:p>
    <w:p>
      <w:pPr>
        <w:spacing w:after="100"/>
      </w:pPr>
      <w:r>
        <w:t xml:space="preserve">Category: Governance</w:t>
      </w:r>
    </w:p>
    <w:p>
      <w:pPr>
        <w:spacing w:after="100"/>
      </w:pPr>
      <w:r>
        <w:t xml:space="preserve">Date: 2026-01-27</w:t>
      </w:r>
    </w:p>
    <w:p>
      <w:pPr>
        <w:spacing w:after="100"/>
      </w:pPr>
      <w:r>
        <w:t xml:space="preserve">Status: Shortlist</w:t>
      </w:r>
    </w:p>
    <w:p>
      <w:pPr>
        <w:spacing w:before="200" w:after="200"/>
      </w:pPr>
      <w:r>
        <w:t xml:space="preserve">═══════════════════════════════════════════════════════════════════</w:t>
      </w:r>
    </w:p>
    <w:p>
      <w:pPr>
        <w:pStyle w:val="Heading2"/>
        <w:spacing w:before="300" w:after="100"/>
      </w:pPr>
      <w:r>
        <w:rPr>
          <w:b/>
          <w:bCs/>
        </w:rPr>
        <w:t xml:space="preserve">EXECUTIVE SUMMARY</w:t>
      </w:r>
    </w:p>
    <w:p>
      <w:pPr>
        <w:spacing w:before="100" w:after="100"/>
      </w:pPr>
      <w:r>
        <w:t xml:space="preserve">───────────────────────────────────────────────────────────────────</w:t>
      </w:r>
    </w:p>
    <w:p>
      <w:pPr>
        <w:spacing w:after="100"/>
      </w:pPr>
      <w:r>
        <w:t xml:space="preserve">MetaDAO is a governance protocol on Solana that implements futarchy — a decision-making system where markets (not votes) determine organizational decisions. Proposed by economist Robin Hanson, futarchy uses prediction markets to evaluate proposals: if the market thinks a decision will increase the token's value, it passes. MetaDAO is the first practical implementation of futarchy at scale in crypto.</w:t>
      </w:r>
    </w:p>
    <w:p>
      <w:pPr>
        <w:spacing w:before="200" w:after="200"/>
      </w:pPr>
      <w:r>
        <w:t xml:space="preserve">═══════════════════════════════════════════════════════════════════</w:t>
      </w:r>
    </w:p>
    <w:p>
      <w:pPr>
        <w:pStyle w:val="Heading2"/>
        <w:spacing w:before="300" w:after="100"/>
      </w:pPr>
      <w:r>
        <w:rPr>
          <w:b/>
          <w:bCs/>
        </w:rPr>
        <w:t xml:space="preserve">THE OPPORTUNITY</w:t>
      </w:r>
    </w:p>
    <w:p>
      <w:pPr>
        <w:spacing w:before="100" w:after="100"/>
      </w:pPr>
      <w:r>
        <w:t xml:space="preserve">───────────────────────────────────────────────────────────────────</w:t>
      </w:r>
    </w:p>
    <w:p>
      <w:pPr>
        <w:spacing w:after="100"/>
      </w:pPr>
      <w:r>
        <w:rPr>
          <w:b/>
          <w:bCs/>
        </w:rPr>
        <w:t xml:space="preserve">What is MetaDAO?</w:t>
      </w:r>
    </w:p>
    <w:p>
      <w:pPr>
        <w:spacing w:after="100"/>
      </w:pPr>
      <w:r>
        <w:t xml:space="preserve">MetaDAO is a decentralized governance system built on Solana that replaces traditional token-weighted voting with prediction market-based decision making (futarchy). In traditional DAOs, token holders vote on proposals, which suffers from voter apathy, plutocracy, and uninformed voting. In MetaDAO's futarchy model, when a proposal is made, two conditional prediction markets are created: one for 'pass' and one for 'fail.' Traders bet on what the META token price will be in each scenario. If the 'pass' market shows a higher expected token price than 'fail,' the proposal is automatically enacted. This harnesses market intelligence to make better decisions than majority voting.</w:t>
      </w:r>
    </w:p>
    <w:p>
      <w:pPr>
        <w:spacing w:after="100"/>
      </w:pPr>
      <w:r>
        <w:rPr>
          <w:b/>
          <w:bCs/>
        </w:rPr>
        <w:t xml:space="preserve">The Market</w:t>
      </w:r>
    </w:p>
    <w:p>
      <w:pPr>
        <w:spacing w:after="100"/>
      </w:pPr>
      <w:r>
        <w:t xml:space="preserve">The DAO governance market is significant — DAOs manage tens of billions in treasury assets (per DeepDAO). Current governance suffers from low participation (&lt;10% for most DAOs), whale dominance, and poor decision quality. Futarchy represents a fundamentally different approach. MetaDAO is the first practical implementation; competitors are mainly traditional governance frameworks (Snapshot, Tally, Governor Bravo). The broader prediction market space (Polymarket, Kalshi) validates market-based information aggregation.</w:t>
      </w:r>
    </w:p>
    <w:p>
      <w:pPr>
        <w:spacing w:before="200" w:after="200"/>
      </w:pPr>
      <w:r>
        <w:t xml:space="preserve">═══════════════════════════════════════════════════════════════════</w:t>
      </w:r>
    </w:p>
    <w:p>
      <w:pPr>
        <w:pStyle w:val="Heading2"/>
        <w:spacing w:before="300" w:after="100"/>
      </w:pPr>
      <w:r>
        <w:rPr>
          <w:b/>
          <w:bCs/>
        </w:rPr>
        <w:t xml:space="preserve">THE PROTOCOL</w:t>
      </w:r>
    </w:p>
    <w:p>
      <w:pPr>
        <w:spacing w:before="100" w:after="100"/>
      </w:pPr>
      <w:r>
        <w:t xml:space="preserve">───────────────────────────────────────────────────────────────────</w:t>
      </w:r>
    </w:p>
    <w:p>
      <w:pPr>
        <w:spacing w:after="100"/>
      </w:pPr>
      <w:r>
        <w:rPr>
          <w:b/>
          <w:bCs/>
        </w:rPr>
        <w:t xml:space="preserve">How It Works</w:t>
      </w:r>
    </w:p>
    <w:p>
      <w:pPr>
        <w:spacing w:after="100"/>
      </w:pPr>
      <w:r>
        <w:t xml:space="preserve">MetaDAO's futarchy mechanism: (1) Proposal submission — anyone can submit a proposal for META governance; (2) Conditional markets created — two markets open: META-PASS (token price conditional on proposal passing) and META-FAIL (token price conditional on proposal failing); (3) Trading period — for a set duration, traders buy/sell in both markets based on their belief about the proposal's impact on META value; (4) Resolution — if META-PASS price &gt; META-FAIL price (the market believes the proposal increases value), it passes automatically; (5) Settlement — the losing market's tokens are redeemed and the winning market continues; (6) This runs on Solana using an on-chain order book for the conditional markets.</w:t>
      </w:r>
    </w:p>
    <w:p>
      <w:pPr>
        <w:spacing w:after="100"/>
      </w:pPr>
      <w:r>
        <w:rPr>
          <w:b/>
          <w:bCs/>
        </w:rPr>
        <w:t xml:space="preserve">Competitive Advantage</w:t>
      </w:r>
    </w:p>
    <w:p>
      <w:pPr>
        <w:spacing w:after="100"/>
      </w:pPr>
      <w:r>
        <w:t xml:space="preserve">Key advantages: (1) Novel governance mechanism — futarchy aligns decisions with value creation, not just majority preference; (2) Information aggregation — markets aggregate dispersed information more efficiently than votes; (3) Skin in the game — traders must risk capital on their beliefs, filtering out uninformed voters; (4) First mover — MetaDAO is the first protocol to implement futarchy at scale; (5) Built on Solana — fast and cheap execution enables real-time prediction market trading.</w:t>
      </w:r>
    </w:p>
    <w:p>
      <w:pPr>
        <w:spacing w:after="100"/>
      </w:pPr>
      <w:r>
        <w:rPr>
          <w:b/>
          <w:bCs/>
        </w:rPr>
        <w:t xml:space="preserve">Traction &amp;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999999" w:sz="1"/>
              <w:left w:val="single" w:color="999999" w:sz="1"/>
              <w:bottom w:val="single" w:color="999999" w:sz="1"/>
              <w:right w:val="single" w:color="999999" w:sz="1"/>
            </w:tcBorders>
          </w:tcPr>
          <w:p>
            <w:r>
              <w:rPr>
                <w:b/>
                <w:bCs/>
              </w:rPr>
              <w:t xml:space="preserve">Metric</w:t>
            </w:r>
          </w:p>
        </w:tc>
        <w:tc>
          <w:tcPr>
            <w:tcW w:type="dxa" w:w="3000"/>
            <w:tcBorders>
              <w:top w:val="single" w:color="999999" w:sz="1"/>
              <w:left w:val="single" w:color="999999" w:sz="1"/>
              <w:bottom w:val="single" w:color="999999" w:sz="1"/>
              <w:right w:val="single" w:color="999999" w:sz="1"/>
            </w:tcBorders>
          </w:tcPr>
          <w:p>
            <w:r>
              <w:rPr>
                <w:b/>
                <w:bCs/>
              </w:rPr>
              <w:t xml:space="preserve">Value</w:t>
            </w:r>
          </w:p>
        </w:tc>
        <w:tc>
          <w:tcPr>
            <w:tcW w:type="dxa" w:w="3000"/>
            <w:tcBorders>
              <w:top w:val="single" w:color="999999" w:sz="1"/>
              <w:left w:val="single" w:color="999999" w:sz="1"/>
              <w:bottom w:val="single" w:color="999999" w:sz="1"/>
              <w:right w:val="single" w:color="999999" w:sz="1"/>
            </w:tcBorders>
          </w:tcPr>
          <w:p>
            <w:r>
              <w:rPr>
                <w:b/>
                <w:bCs/>
              </w:rPr>
              <w:t xml:space="preserve">Context</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Market Cap</w:t>
            </w:r>
          </w:p>
        </w:tc>
        <w:tc>
          <w:tcPr>
            <w:tcW w:type="dxa" w:w="3000"/>
            <w:tcBorders>
              <w:top w:val="single" w:color="999999" w:sz="1"/>
              <w:left w:val="single" w:color="999999" w:sz="1"/>
              <w:bottom w:val="single" w:color="999999" w:sz="1"/>
              <w:right w:val="single" w:color="999999" w:sz="1"/>
            </w:tcBorders>
          </w:tcPr>
          <w:p>
            <w:r>
              <w:rPr>
                <w:b w:val="false"/>
                <w:bCs w:val="false"/>
              </w:rPr>
              <w:t xml:space="preserve">[Refer to CoinGecko for latest]</w:t>
            </w:r>
          </w:p>
        </w:tc>
        <w:tc>
          <w:tcPr>
            <w:tcW w:type="dxa" w:w="3000"/>
            <w:tcBorders>
              <w:top w:val="single" w:color="999999" w:sz="1"/>
              <w:left w:val="single" w:color="999999" w:sz="1"/>
              <w:bottom w:val="single" w:color="999999" w:sz="1"/>
              <w:right w:val="single" w:color="999999" w:sz="1"/>
            </w:tcBorders>
          </w:tcPr>
          <w:p>
            <w:r>
              <w:rPr>
                <w:b w:val="false"/>
                <w:bCs w:val="false"/>
              </w:rPr>
              <w:t xml:space="preserve">Small-cap governance token</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Proposals Passed (Futarchy)</w:t>
            </w:r>
          </w:p>
        </w:tc>
        <w:tc>
          <w:tcPr>
            <w:tcW w:type="dxa" w:w="3000"/>
            <w:tcBorders>
              <w:top w:val="single" w:color="999999" w:sz="1"/>
              <w:left w:val="single" w:color="999999" w:sz="1"/>
              <w:bottom w:val="single" w:color="999999" w:sz="1"/>
              <w:right w:val="single" w:color="999999" w:sz="1"/>
            </w:tcBorders>
          </w:tcPr>
          <w:p>
            <w:r>
              <w:rPr>
                <w:b w:val="false"/>
                <w:bCs w:val="false"/>
              </w:rPr>
              <w:t xml:space="preserve">[Data not available]</w:t>
            </w:r>
          </w:p>
        </w:tc>
        <w:tc>
          <w:tcPr>
            <w:tcW w:type="dxa" w:w="3000"/>
            <w:tcBorders>
              <w:top w:val="single" w:color="999999" w:sz="1"/>
              <w:left w:val="single" w:color="999999" w:sz="1"/>
              <w:bottom w:val="single" w:color="999999" w:sz="1"/>
              <w:right w:val="single" w:color="999999" w:sz="1"/>
            </w:tcBorders>
          </w:tcPr>
          <w:p>
            <w:r>
              <w:rPr>
                <w:b w:val="false"/>
                <w:bCs w:val="false"/>
              </w:rPr>
              <w:t xml:space="preserve">Growing proposal count</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Total Trading Volume (Futarchy Markets)</w:t>
            </w:r>
          </w:p>
        </w:tc>
        <w:tc>
          <w:tcPr>
            <w:tcW w:type="dxa" w:w="3000"/>
            <w:tcBorders>
              <w:top w:val="single" w:color="999999" w:sz="1"/>
              <w:left w:val="single" w:color="999999" w:sz="1"/>
              <w:bottom w:val="single" w:color="999999" w:sz="1"/>
              <w:right w:val="single" w:color="999999" w:sz="1"/>
            </w:tcBorders>
          </w:tcPr>
          <w:p>
            <w:r>
              <w:rPr>
                <w:b w:val="false"/>
                <w:bCs w:val="false"/>
              </w:rPr>
              <w:t xml:space="preserve">[Data not available]</w:t>
            </w:r>
          </w:p>
        </w:tc>
        <w:tc>
          <w:tcPr>
            <w:tcW w:type="dxa" w:w="3000"/>
            <w:tcBorders>
              <w:top w:val="single" w:color="999999" w:sz="1"/>
              <w:left w:val="single" w:color="999999" w:sz="1"/>
              <w:bottom w:val="single" w:color="999999" w:sz="1"/>
              <w:right w:val="single" w:color="999999" w:sz="1"/>
            </w:tcBorders>
          </w:tcPr>
          <w:p>
            <w:r>
              <w:rPr>
                <w:b w:val="false"/>
                <w:bCs w:val="false"/>
              </w:rPr>
              <w:t xml:space="preserve">Market-based governance activity</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Community Size</w:t>
            </w:r>
          </w:p>
        </w:tc>
        <w:tc>
          <w:tcPr>
            <w:tcW w:type="dxa" w:w="3000"/>
            <w:tcBorders>
              <w:top w:val="single" w:color="999999" w:sz="1"/>
              <w:left w:val="single" w:color="999999" w:sz="1"/>
              <w:bottom w:val="single" w:color="999999" w:sz="1"/>
              <w:right w:val="single" w:color="999999" w:sz="1"/>
            </w:tcBorders>
          </w:tcPr>
          <w:p>
            <w:r>
              <w:rPr>
                <w:b w:val="false"/>
                <w:bCs w:val="false"/>
              </w:rPr>
              <w:t xml:space="preserve">Small but dedicated</w:t>
            </w:r>
          </w:p>
        </w:tc>
        <w:tc>
          <w:tcPr>
            <w:tcW w:type="dxa" w:w="3000"/>
            <w:tcBorders>
              <w:top w:val="single" w:color="999999" w:sz="1"/>
              <w:left w:val="single" w:color="999999" w:sz="1"/>
              <w:bottom w:val="single" w:color="999999" w:sz="1"/>
              <w:right w:val="single" w:color="999999" w:sz="1"/>
            </w:tcBorders>
          </w:tcPr>
          <w:p>
            <w:r>
              <w:rPr>
                <w:b w:val="false"/>
                <w:bCs w:val="false"/>
              </w:rPr>
              <w:t xml:space="preserve">Quality-focused governance community</w:t>
            </w:r>
          </w:p>
        </w:tc>
      </w:tr>
    </w:tbl>
    <w:p>
      <w:pPr>
        <w:spacing w:before="200" w:after="200"/>
      </w:pPr>
      <w:r>
        <w:t xml:space="preserve">═══════════════════════════════════════════════════════════════════</w:t>
      </w:r>
    </w:p>
    <w:p>
      <w:pPr>
        <w:pStyle w:val="Heading2"/>
        <w:spacing w:before="300" w:after="100"/>
      </w:pPr>
      <w:r>
        <w:rPr>
          <w:b/>
          <w:bCs/>
        </w:rPr>
        <w:t xml:space="preserve">TOKENOMICS</w:t>
      </w:r>
    </w:p>
    <w:p>
      <w:pPr>
        <w:spacing w:before="100" w:after="100"/>
      </w:pPr>
      <w:r>
        <w:t xml:space="preserve">───────────────────────────────────────────────────────────────────</w:t>
      </w:r>
    </w:p>
    <w:p>
      <w:pPr>
        <w:spacing w:after="100"/>
      </w:pPr>
      <w:r>
        <w:rPr>
          <w:b/>
          <w:bCs/>
        </w:rPr>
        <w:t xml:space="preserve">Token Utility</w:t>
      </w:r>
    </w:p>
    <w:p>
      <w:pPr>
        <w:spacing w:after="100"/>
      </w:pPr>
      <w:r>
        <w:t xml:space="preserve">META token functions: (1) Governance subject — META is the asset whose price is used to evaluate proposals (pass/fail is determined by expected META price); (2) Trading in conditional markets — META is traded in futarchy prediction markets; (3) Value representation — META represents ownership/participation in the MetaDAO protocol; (4) The token IS the governance mechanism — its price signal is what determines decisions.</w:t>
      </w:r>
    </w:p>
    <w:p>
      <w:pPr>
        <w:spacing w:after="100"/>
      </w:pPr>
      <w:r>
        <w:rPr>
          <w:b/>
          <w:bCs/>
        </w:rPr>
        <w:t xml:space="preserve">Supply &amp;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999999" w:sz="1"/>
              <w:left w:val="single" w:color="999999" w:sz="1"/>
              <w:bottom w:val="single" w:color="999999" w:sz="1"/>
              <w:right w:val="single" w:color="999999" w:sz="1"/>
            </w:tcBorders>
          </w:tcPr>
          <w:p>
            <w:r>
              <w:rPr>
                <w:b/>
                <w:bCs/>
              </w:rPr>
              <w:t xml:space="preserve">Category</w:t>
            </w:r>
          </w:p>
        </w:tc>
        <w:tc>
          <w:tcPr>
            <w:tcW w:type="dxa" w:w="3000"/>
            <w:tcBorders>
              <w:top w:val="single" w:color="999999" w:sz="1"/>
              <w:left w:val="single" w:color="999999" w:sz="1"/>
              <w:bottom w:val="single" w:color="999999" w:sz="1"/>
              <w:right w:val="single" w:color="999999" w:sz="1"/>
            </w:tcBorders>
          </w:tcPr>
          <w:p>
            <w:r>
              <w:rPr>
                <w:b/>
                <w:bCs/>
              </w:rPr>
              <w:t xml:space="preserve">Allocation</w:t>
            </w:r>
          </w:p>
        </w:tc>
        <w:tc>
          <w:tcPr>
            <w:tcW w:type="dxa" w:w="3000"/>
            <w:tcBorders>
              <w:top w:val="single" w:color="999999" w:sz="1"/>
              <w:left w:val="single" w:color="999999" w:sz="1"/>
              <w:bottom w:val="single" w:color="999999" w:sz="1"/>
              <w:right w:val="single" w:color="999999" w:sz="1"/>
            </w:tcBorders>
          </w:tcPr>
          <w:p>
            <w:r>
              <w:rPr>
                <w:b/>
                <w:bCs/>
              </w:rPr>
              <w:t xml:space="preserve">Vesting</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Community</w:t>
            </w:r>
          </w:p>
        </w:tc>
        <w:tc>
          <w:tcPr>
            <w:tcW w:type="dxa" w:w="3000"/>
            <w:tcBorders>
              <w:top w:val="single" w:color="999999" w:sz="1"/>
              <w:left w:val="single" w:color="999999" w:sz="1"/>
              <w:bottom w:val="single" w:color="999999" w:sz="1"/>
              <w:right w:val="single" w:color="999999" w:sz="1"/>
            </w:tcBorders>
          </w:tcPr>
          <w:p>
            <w:r>
              <w:rPr>
                <w:b w:val="false"/>
                <w:bCs w:val="false"/>
              </w:rPr>
              <w:t xml:space="preserve">[TBD]</w:t>
            </w:r>
          </w:p>
        </w:tc>
        <w:tc>
          <w:tcPr>
            <w:tcW w:type="dxa" w:w="3000"/>
            <w:tcBorders>
              <w:top w:val="single" w:color="999999" w:sz="1"/>
              <w:left w:val="single" w:color="999999" w:sz="1"/>
              <w:bottom w:val="single" w:color="999999" w:sz="1"/>
              <w:right w:val="single" w:color="999999" w:sz="1"/>
            </w:tcBorders>
          </w:tcPr>
          <w:p>
            <w:r>
              <w:rPr>
                <w:b w:val="false"/>
                <w:bCs w:val="false"/>
              </w:rPr>
              <w:t xml:space="preserve">Distributed to participants</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Team</w:t>
            </w:r>
          </w:p>
        </w:tc>
        <w:tc>
          <w:tcPr>
            <w:tcW w:type="dxa" w:w="3000"/>
            <w:tcBorders>
              <w:top w:val="single" w:color="999999" w:sz="1"/>
              <w:left w:val="single" w:color="999999" w:sz="1"/>
              <w:bottom w:val="single" w:color="999999" w:sz="1"/>
              <w:right w:val="single" w:color="999999" w:sz="1"/>
            </w:tcBorders>
          </w:tcPr>
          <w:p>
            <w:r>
              <w:rPr>
                <w:b w:val="false"/>
                <w:bCs w:val="false"/>
              </w:rPr>
              <w:t xml:space="preserve">[TBD]</w:t>
            </w:r>
          </w:p>
        </w:tc>
        <w:tc>
          <w:tcPr>
            <w:tcW w:type="dxa" w:w="3000"/>
            <w:tcBorders>
              <w:top w:val="single" w:color="999999" w:sz="1"/>
              <w:left w:val="single" w:color="999999" w:sz="1"/>
              <w:bottom w:val="single" w:color="999999" w:sz="1"/>
              <w:right w:val="single" w:color="999999" w:sz="1"/>
            </w:tcBorders>
          </w:tcPr>
          <w:p>
            <w:r>
              <w:rPr>
                <w:b w:val="false"/>
                <w:bCs w:val="false"/>
              </w:rPr>
              <w:t xml:space="preserve">Subject to vesting</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Treasury</w:t>
            </w:r>
          </w:p>
        </w:tc>
        <w:tc>
          <w:tcPr>
            <w:tcW w:type="dxa" w:w="3000"/>
            <w:tcBorders>
              <w:top w:val="single" w:color="999999" w:sz="1"/>
              <w:left w:val="single" w:color="999999" w:sz="1"/>
              <w:bottom w:val="single" w:color="999999" w:sz="1"/>
              <w:right w:val="single" w:color="999999" w:sz="1"/>
            </w:tcBorders>
          </w:tcPr>
          <w:p>
            <w:r>
              <w:rPr>
                <w:b w:val="false"/>
                <w:bCs w:val="false"/>
              </w:rPr>
              <w:t xml:space="preserve">[TBD]</w:t>
            </w:r>
          </w:p>
        </w:tc>
        <w:tc>
          <w:tcPr>
            <w:tcW w:type="dxa" w:w="3000"/>
            <w:tcBorders>
              <w:top w:val="single" w:color="999999" w:sz="1"/>
              <w:left w:val="single" w:color="999999" w:sz="1"/>
              <w:bottom w:val="single" w:color="999999" w:sz="1"/>
              <w:right w:val="single" w:color="999999" w:sz="1"/>
            </w:tcBorders>
          </w:tcPr>
          <w:p>
            <w:r>
              <w:rPr>
                <w:b w:val="false"/>
                <w:bCs w:val="false"/>
              </w:rPr>
              <w:t xml:space="preserve">Protocol development</w:t>
            </w:r>
          </w:p>
        </w:tc>
      </w:tr>
    </w:tbl>
    <w:p>
      <w:pPr>
        <w:spacing w:after="100"/>
      </w:pPr>
      <w:r>
        <w:t xml:space="preserve">Current circulating: [Refer to CoinGecko for latest data]</w:t>
      </w:r>
    </w:p>
    <w:p>
      <w:pPr>
        <w:spacing w:after="100"/>
      </w:pPr>
      <w:r>
        <w:t xml:space="preserve">Max supply: [To be confirmed]</w:t>
      </w:r>
    </w:p>
    <w:p>
      <w:pPr>
        <w:spacing w:after="100"/>
      </w:pPr>
      <w:r>
        <w:t xml:space="preserve">Inflation rate: [To be confirmed]</w:t>
      </w:r>
    </w:p>
    <w:p>
      <w:pPr>
        <w:spacing w:after="100"/>
      </w:pPr>
      <w:r>
        <w:t xml:space="preserve">Upcoming unlocks: [Vesting details to be confirmed]</w:t>
      </w:r>
    </w:p>
    <w:p>
      <w:pPr>
        <w:spacing w:after="100"/>
      </w:pPr>
      <w:r>
        <w:rPr>
          <w:b/>
          <w:bCs/>
        </w:rPr>
        <w:t xml:space="preserve">Value Accrual</w:t>
      </w:r>
    </w:p>
    <w:p>
      <w:pPr>
        <w:spacing w:after="100"/>
      </w:pPr>
      <w:r>
        <w:t xml:space="preserve">META accrues value through: (1) Governance utility — META is required to participate in futarchy markets; (2) Good governance — if futarchy makes better decisions than traditional voting, the protocol should grow in value over time; (3) Demand from organizations adopting futarchy — other DAOs could adopt MetaDAO's framework, increasing META demand; (4) Prediction market fees — trading in conditional markets may generate protocol revenue.</w:t>
      </w:r>
    </w:p>
    <w:p>
      <w:pPr>
        <w:spacing w:before="200" w:after="200"/>
      </w:pPr>
      <w:r>
        <w:t xml:space="preserve">═══════════════════════════════════════════════════════════════════</w:t>
      </w:r>
    </w:p>
    <w:p>
      <w:pPr>
        <w:pStyle w:val="Heading2"/>
        <w:spacing w:before="300" w:after="100"/>
      </w:pPr>
      <w:r>
        <w:rPr>
          <w:b/>
          <w:bCs/>
        </w:rPr>
        <w:t xml:space="preserve">TEAM &amp; BACKERS</w:t>
      </w:r>
    </w:p>
    <w:p>
      <w:pPr>
        <w:spacing w:before="100" w:after="100"/>
      </w:pPr>
      <w:r>
        <w:t xml:space="preserve">───────────────────────────────────────────────────────────────────</w:t>
      </w:r>
    </w:p>
    <w:p>
      <w:pPr>
        <w:spacing w:after="100"/>
      </w:pPr>
      <w:r>
        <w:rPr>
          <w:b/>
          <w:bCs/>
        </w:rPr>
        <w:t xml:space="preserve">Team</w:t>
      </w:r>
    </w:p>
    <w:p>
      <w:pPr>
        <w:spacing w:after="100"/>
      </w:pPr>
      <w:r>
        <w:t xml:space="preserve">MetaDAO was created by Proph3t (pseudonymous founder), a developer deeply interested in governance mechanism design and prediction markets. The project draws heavily on the academic work of economist Robin Hanson (George Mason University), who proposed futarchy in 2000 with the motto 'Vote Values, But Bet Beliefs.' The development team is small and focused on governance infrastructure.</w:t>
      </w:r>
    </w:p>
    <w:p>
      <w:pPr>
        <w:spacing w:after="100"/>
      </w:pPr>
      <w:r>
        <w:rPr>
          <w:b/>
          <w:bCs/>
        </w:rPr>
        <w:t xml:space="preserve">Investors</w:t>
      </w:r>
    </w:p>
    <w:p>
      <w:pPr>
        <w:spacing w:after="100"/>
      </w:pPr>
      <w:r>
        <w:t xml:space="preserve">[Limited public information on specific institutional investors. MetaDAO has received support from the Solana ecosystem and governance-focused community members.]</w:t>
      </w:r>
    </w:p>
    <w:p>
      <w:pPr>
        <w:spacing w:after="100"/>
      </w:pPr>
      <w:r>
        <w:rPr>
          <w:b/>
          <w:bCs/>
        </w:rPr>
        <w:t xml:space="preserve">Community &amp; Governance</w:t>
      </w:r>
    </w:p>
    <w:p>
      <w:pPr>
        <w:spacing w:after="100"/>
      </w:pPr>
      <w:r>
        <w:t xml:space="preserve">MetaDAO has a small but intellectually engaged community focused on governance innovation. The project attracts people interested in mechanism design, prediction markets, and improving DAO governance. Active on Twitter and Discord. The community values experimentation and iteration on futarchy mechanisms.</w:t>
      </w:r>
    </w:p>
    <w:p>
      <w:pPr>
        <w:spacing w:before="200" w:after="200"/>
      </w:pPr>
      <w:r>
        <w:t xml:space="preserve">═══════════════════════════════════════════════════════════════════</w:t>
      </w:r>
    </w:p>
    <w:p>
      <w:pPr>
        <w:pStyle w:val="Heading2"/>
        <w:spacing w:before="300" w:after="100"/>
      </w:pPr>
      <w:r>
        <w:rPr>
          <w:b/>
          <w:bCs/>
        </w:rPr>
        <w:t xml:space="preserve">RISKS</w:t>
      </w:r>
    </w:p>
    <w:p>
      <w:pPr>
        <w:spacing w:before="100" w:after="100"/>
      </w:pPr>
      <w:r>
        <w:t xml:space="preserve">───────────────────────────────────────────────────────────────────</w:t>
      </w:r>
    </w:p>
    <w:p>
      <w:pPr>
        <w:spacing w:after="100"/>
      </w:pPr>
      <w:r>
        <w:rPr>
          <w:b/>
          <w:bCs/>
        </w:rPr>
        <w:t xml:space="preserve">Experimental Mechanism (HIGH)</w:t>
      </w:r>
    </w:p>
    <w:p>
      <w:pPr>
        <w:spacing w:after="100"/>
      </w:pPr>
      <w:r>
        <w:t xml:space="preserve">Futarchy is an unproven governance mechanism at scale. Theoretical critiques include market manipulation, thin markets producing noisy signals, and the difficulty of defining what 'value' the market should optimize for.</w:t>
      </w:r>
    </w:p>
    <w:p>
      <w:pPr>
        <w:spacing w:after="100"/>
      </w:pPr>
      <w:r>
        <w:rPr>
          <w:b/>
          <w:bCs/>
        </w:rPr>
        <w:t xml:space="preserve">Market Manipulation (HIGH)</w:t>
      </w:r>
    </w:p>
    <w:p>
      <w:pPr>
        <w:spacing w:after="100"/>
      </w:pPr>
      <w:r>
        <w:t xml:space="preserve">With a small market cap, conditional markets could be manipulated by well-funded actors who want specific proposals to pass or fail, regardless of their actual merit.</w:t>
      </w:r>
    </w:p>
    <w:p>
      <w:pPr>
        <w:spacing w:after="100"/>
      </w:pPr>
      <w:r>
        <w:rPr>
          <w:b/>
          <w:bCs/>
        </w:rPr>
        <w:t xml:space="preserve">Low Liquidity (HIGH)</w:t>
      </w:r>
    </w:p>
    <w:p>
      <w:pPr>
        <w:spacing w:after="100"/>
      </w:pPr>
      <w:r>
        <w:t xml:space="preserve">Futarchy requires liquid prediction markets to produce meaningful price signals. If few people trade in conditional markets, the governance signal is unreliable.</w:t>
      </w:r>
    </w:p>
    <w:p>
      <w:pPr>
        <w:spacing w:after="100"/>
      </w:pPr>
      <w:r>
        <w:rPr>
          <w:b/>
          <w:bCs/>
        </w:rPr>
        <w:t xml:space="preserve">Adoption Risk (MEDIUM)</w:t>
      </w:r>
    </w:p>
    <w:p>
      <w:pPr>
        <w:spacing w:after="100"/>
      </w:pPr>
      <w:r>
        <w:t xml:space="preserve">Convincing other DAOs to adopt futarchy over familiar voting mechanisms is challenging. Network effects favor established governance tools (Snapshot, Tally).</w:t>
      </w:r>
    </w:p>
    <w:p>
      <w:pPr>
        <w:spacing w:before="200" w:after="200"/>
      </w:pPr>
      <w:r>
        <w:t xml:space="preserve">═══════════════════════════════════════════════════════════════════</w:t>
      </w:r>
    </w:p>
    <w:p>
      <w:pPr>
        <w:pStyle w:val="Heading2"/>
        <w:spacing w:before="300" w:after="100"/>
      </w:pPr>
      <w:r>
        <w:rPr>
          <w:b/>
          <w:bCs/>
        </w:rPr>
        <w:t xml:space="preserve">CATALYSTS &amp; TIMELINE</w:t>
      </w:r>
    </w:p>
    <w:p>
      <w:pPr>
        <w:spacing w:before="100" w:after="100"/>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999999" w:sz="1"/>
              <w:left w:val="single" w:color="999999" w:sz="1"/>
              <w:bottom w:val="single" w:color="999999" w:sz="1"/>
              <w:right w:val="single" w:color="999999" w:sz="1"/>
            </w:tcBorders>
          </w:tcPr>
          <w:p>
            <w:r>
              <w:rPr>
                <w:b/>
                <w:bCs/>
              </w:rPr>
              <w:t xml:space="preserve">Catalyst</w:t>
            </w:r>
          </w:p>
        </w:tc>
        <w:tc>
          <w:tcPr>
            <w:tcW w:type="dxa" w:w="3000"/>
            <w:tcBorders>
              <w:top w:val="single" w:color="999999" w:sz="1"/>
              <w:left w:val="single" w:color="999999" w:sz="1"/>
              <w:bottom w:val="single" w:color="999999" w:sz="1"/>
              <w:right w:val="single" w:color="999999" w:sz="1"/>
            </w:tcBorders>
          </w:tcPr>
          <w:p>
            <w:r>
              <w:rPr>
                <w:b/>
                <w:bCs/>
              </w:rPr>
              <w:t xml:space="preserve">Expected</w:t>
            </w:r>
          </w:p>
        </w:tc>
        <w:tc>
          <w:tcPr>
            <w:tcW w:type="dxa" w:w="3000"/>
            <w:tcBorders>
              <w:top w:val="single" w:color="999999" w:sz="1"/>
              <w:left w:val="single" w:color="999999" w:sz="1"/>
              <w:bottom w:val="single" w:color="999999" w:sz="1"/>
              <w:right w:val="single" w:color="999999" w:sz="1"/>
            </w:tcBorders>
          </w:tcPr>
          <w:p>
            <w:r>
              <w:rPr>
                <w:b/>
                <w:bCs/>
              </w:rPr>
              <w:t xml:space="preserve">Impact</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Futarchy Adoption by Other DAOs</w:t>
            </w:r>
          </w:p>
        </w:tc>
        <w:tc>
          <w:tcPr>
            <w:tcW w:type="dxa" w:w="3000"/>
            <w:tcBorders>
              <w:top w:val="single" w:color="999999" w:sz="1"/>
              <w:left w:val="single" w:color="999999" w:sz="1"/>
              <w:bottom w:val="single" w:color="999999" w:sz="1"/>
              <w:right w:val="single" w:color="999999" w:sz="1"/>
            </w:tcBorders>
          </w:tcPr>
          <w:p>
            <w:r>
              <w:rPr>
                <w:b w:val="false"/>
                <w:bCs w:val="false"/>
              </w:rPr>
              <w:t xml:space="preserve">TBD</w:t>
            </w:r>
          </w:p>
        </w:tc>
        <w:tc>
          <w:tcPr>
            <w:tcW w:type="dxa" w:w="3000"/>
            <w:tcBorders>
              <w:top w:val="single" w:color="999999" w:sz="1"/>
              <w:left w:val="single" w:color="999999" w:sz="1"/>
              <w:bottom w:val="single" w:color="999999" w:sz="1"/>
              <w:right w:val="single" w:color="999999" w:sz="1"/>
            </w:tcBorders>
          </w:tcPr>
          <w:p>
            <w:r>
              <w:rPr>
                <w:b w:val="false"/>
                <w:bCs w:val="false"/>
              </w:rPr>
              <w:t xml:space="preserve">If other projects adopt MetaDAO's framework, demand for META increases</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Governance Research Validation</w:t>
            </w:r>
          </w:p>
        </w:tc>
        <w:tc>
          <w:tcPr>
            <w:tcW w:type="dxa" w:w="3000"/>
            <w:tcBorders>
              <w:top w:val="single" w:color="999999" w:sz="1"/>
              <w:left w:val="single" w:color="999999" w:sz="1"/>
              <w:bottom w:val="single" w:color="999999" w:sz="1"/>
              <w:right w:val="single" w:color="999999" w:sz="1"/>
            </w:tcBorders>
          </w:tcPr>
          <w:p>
            <w:r>
              <w:rPr>
                <w:b w:val="false"/>
                <w:bCs w:val="false"/>
              </w:rPr>
              <w:t xml:space="preserve">Ongoing</w:t>
            </w:r>
          </w:p>
        </w:tc>
        <w:tc>
          <w:tcPr>
            <w:tcW w:type="dxa" w:w="3000"/>
            <w:tcBorders>
              <w:top w:val="single" w:color="999999" w:sz="1"/>
              <w:left w:val="single" w:color="999999" w:sz="1"/>
              <w:bottom w:val="single" w:color="999999" w:sz="1"/>
              <w:right w:val="single" w:color="999999" w:sz="1"/>
            </w:tcBorders>
          </w:tcPr>
          <w:p>
            <w:r>
              <w:rPr>
                <w:b w:val="false"/>
                <w:bCs w:val="false"/>
              </w:rPr>
              <w:t xml:space="preserve">Academic and practical validation of futarchy improves credibility</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Solana DAO Ecosystem Growth</w:t>
            </w:r>
          </w:p>
        </w:tc>
        <w:tc>
          <w:tcPr>
            <w:tcW w:type="dxa" w:w="3000"/>
            <w:tcBorders>
              <w:top w:val="single" w:color="999999" w:sz="1"/>
              <w:left w:val="single" w:color="999999" w:sz="1"/>
              <w:bottom w:val="single" w:color="999999" w:sz="1"/>
              <w:right w:val="single" w:color="999999" w:sz="1"/>
            </w:tcBorders>
          </w:tcPr>
          <w:p>
            <w:r>
              <w:rPr>
                <w:b w:val="false"/>
                <w:bCs w:val="false"/>
              </w:rPr>
              <w:t xml:space="preserve">Ongoing</w:t>
            </w:r>
          </w:p>
        </w:tc>
        <w:tc>
          <w:tcPr>
            <w:tcW w:type="dxa" w:w="3000"/>
            <w:tcBorders>
              <w:top w:val="single" w:color="999999" w:sz="1"/>
              <w:left w:val="single" w:color="999999" w:sz="1"/>
              <w:bottom w:val="single" w:color="999999" w:sz="1"/>
              <w:right w:val="single" w:color="999999" w:sz="1"/>
            </w:tcBorders>
          </w:tcPr>
          <w:p>
            <w:r>
              <w:rPr>
                <w:b w:val="false"/>
                <w:bCs w:val="false"/>
              </w:rPr>
              <w:t xml:space="preserve">More Solana DAOs = more potential futarchy adopters</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Prediction Market Bull Market</w:t>
            </w:r>
          </w:p>
        </w:tc>
        <w:tc>
          <w:tcPr>
            <w:tcW w:type="dxa" w:w="3000"/>
            <w:tcBorders>
              <w:top w:val="single" w:color="999999" w:sz="1"/>
              <w:left w:val="single" w:color="999999" w:sz="1"/>
              <w:bottom w:val="single" w:color="999999" w:sz="1"/>
              <w:right w:val="single" w:color="999999" w:sz="1"/>
            </w:tcBorders>
          </w:tcPr>
          <w:p>
            <w:r>
              <w:rPr>
                <w:b w:val="false"/>
                <w:bCs w:val="false"/>
              </w:rPr>
              <w:t xml:space="preserve">2025-2026</w:t>
            </w:r>
          </w:p>
        </w:tc>
        <w:tc>
          <w:tcPr>
            <w:tcW w:type="dxa" w:w="3000"/>
            <w:tcBorders>
              <w:top w:val="single" w:color="999999" w:sz="1"/>
              <w:left w:val="single" w:color="999999" w:sz="1"/>
              <w:bottom w:val="single" w:color="999999" w:sz="1"/>
              <w:right w:val="single" w:color="999999" w:sz="1"/>
            </w:tcBorders>
          </w:tcPr>
          <w:p>
            <w:r>
              <w:rPr>
                <w:b w:val="false"/>
                <w:bCs w:val="false"/>
              </w:rPr>
              <w:t xml:space="preserve">Growing interest in prediction markets (Polymarket success) benefits futarchy narrative</w:t>
            </w:r>
          </w:p>
        </w:tc>
      </w:tr>
    </w:tbl>
    <w:p>
      <w:pPr>
        <w:spacing w:before="200" w:after="200"/>
      </w:pPr>
      <w:r>
        <w:t xml:space="preserve">═══════════════════════════════════════════════════════════════════</w:t>
      </w:r>
    </w:p>
    <w:p>
      <w:pPr>
        <w:pStyle w:val="Heading2"/>
        <w:spacing w:before="300" w:after="100"/>
      </w:pPr>
      <w:r>
        <w:rPr>
          <w:b/>
          <w:bCs/>
        </w:rPr>
        <w:t xml:space="preserve">SOURCES</w:t>
      </w:r>
    </w:p>
    <w:p>
      <w:pPr>
        <w:spacing w:before="100" w:after="100"/>
      </w:pPr>
      <w:r>
        <w:t xml:space="preserve">───────────────────────────────────────────────────────────────────</w:t>
      </w:r>
    </w:p>
    <w:p>
      <w:pPr>
        <w:spacing w:after="50"/>
      </w:pPr>
      <w:r>
        <w:t xml:space="preserve">• MetaDAO documentation and GitHub</w:t>
      </w:r>
    </w:p>
    <w:p>
      <w:pPr>
        <w:spacing w:after="50"/>
      </w:pPr>
      <w:r>
        <w:t xml:space="preserve">• Robin Hanson's futarchy paper ('Shall We Vote on Values, But Bet on Beliefs?', 2000)</w:t>
      </w:r>
    </w:p>
    <w:p>
      <w:pPr>
        <w:spacing w:after="50"/>
      </w:pPr>
      <w:r>
        <w:t xml:space="preserve">• Solana ecosystem resources</w:t>
      </w:r>
    </w:p>
    <w:p>
      <w:pPr>
        <w:spacing w:after="50"/>
      </w:pPr>
      <w:r>
        <w:t xml:space="preserve">• Prediction market research literature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2026-01-27T18:04:51.172Z</dcterms:created>
  <dcterms:modified xsi:type="dcterms:W3CDTF">2026-01-27T18:04:51.172Z</dcterms:modified>
</cp:coreProperties>
</file>

<file path=docProps/custom.xml><?xml version="1.0" encoding="utf-8"?>
<Properties xmlns="http://schemas.openxmlformats.org/officeDocument/2006/custom-properties" xmlns:vt="http://schemas.openxmlformats.org/officeDocument/2006/docPropsVTypes"/>
</file>