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100"/>
      </w:pPr>
      <w:r>
        <w:rPr>
          <w:b/>
          <w:bCs/>
        </w:rPr>
        <w:t xml:space="preserve">NOMAD RESEARCH — DEEP DIVE</w:t>
      </w:r>
    </w:p>
    <w:p>
      <w:pPr>
        <w:spacing w:after="100"/>
      </w:pPr>
      <w:r>
        <w:t xml:space="preserve">Protocol: Ethereum</w:t>
      </w:r>
    </w:p>
    <w:p>
      <w:pPr>
        <w:spacing w:after="100"/>
      </w:pPr>
      <w:r>
        <w:t xml:space="preserve">Ticker: $ETH</w:t>
      </w:r>
    </w:p>
    <w:p>
      <w:pPr>
        <w:spacing w:after="100"/>
      </w:pPr>
      <w:r>
        <w:t xml:space="preserve">Chain: Ethereum</w:t>
      </w:r>
    </w:p>
    <w:p>
      <w:pPr>
        <w:spacing w:after="100"/>
      </w:pPr>
      <w:r>
        <w:t xml:space="preserve">Category: Layer-1</w:t>
      </w:r>
    </w:p>
    <w:p>
      <w:pPr>
        <w:spacing w:after="100"/>
      </w:pPr>
      <w:r>
        <w:t xml:space="preserve">Date: 2026-01-27</w:t>
      </w:r>
    </w:p>
    <w:p>
      <w:pPr>
        <w:spacing w:after="100"/>
      </w:pPr>
      <w:r>
        <w:t xml:space="preserve">Status: Shortlist</w:t>
      </w:r>
    </w:p>
    <w:p>
      <w:pPr>
        <w:spacing w:before="200" w:after="200"/>
      </w:pPr>
      <w:r>
        <w:t xml:space="preserve">═══════════════════════════════════════════════════════════════════</w:t>
      </w:r>
    </w:p>
    <w:p>
      <w:pPr>
        <w:pStyle w:val="Heading2"/>
        <w:spacing w:before="300" w:after="100"/>
      </w:pPr>
      <w:r>
        <w:rPr>
          <w:b/>
          <w:bCs/>
        </w:rPr>
        <w:t xml:space="preserve">EXECUTIVE SUMMARY</w:t>
      </w:r>
    </w:p>
    <w:p>
      <w:pPr>
        <w:spacing w:before="100" w:after="100"/>
      </w:pPr>
      <w:r>
        <w:t xml:space="preserve">───────────────────────────────────────────────────────────────────</w:t>
      </w:r>
    </w:p>
    <w:p>
      <w:pPr>
        <w:spacing w:after="100"/>
      </w:pPr>
      <w:r>
        <w:t xml:space="preserve">Ethereum is the world's largest smart contract platform by market capitalization, total value locked, and developer activity. Launched in 2015, it pioneered programmable blockchains and hosts the majority of decentralized finance (DeFi), NFT, and tokenization activity. Following its transition to Proof of Stake in September 2022 ('The Merge'), Ethereum operates as an energy-efficient validator-secured network with a deflationary supply mechanism via EIP-1559 fee burning.</w:t>
      </w:r>
    </w:p>
    <w:p>
      <w:pPr>
        <w:spacing w:before="200" w:after="200"/>
      </w:pPr>
      <w:r>
        <w:t xml:space="preserve">═══════════════════════════════════════════════════════════════════</w:t>
      </w:r>
    </w:p>
    <w:p>
      <w:pPr>
        <w:pStyle w:val="Heading2"/>
        <w:spacing w:before="300" w:after="100"/>
      </w:pPr>
      <w:r>
        <w:rPr>
          <w:b/>
          <w:bCs/>
        </w:rPr>
        <w:t xml:space="preserve">THE OPPORTUNITY</w:t>
      </w:r>
    </w:p>
    <w:p>
      <w:pPr>
        <w:spacing w:before="100" w:after="100"/>
      </w:pPr>
      <w:r>
        <w:t xml:space="preserve">───────────────────────────────────────────────────────────────────</w:t>
      </w:r>
    </w:p>
    <w:p>
      <w:pPr>
        <w:spacing w:after="100"/>
      </w:pPr>
      <w:r>
        <w:rPr>
          <w:b/>
          <w:bCs/>
        </w:rPr>
        <w:t xml:space="preserve">What is Ethereum?</w:t>
      </w:r>
    </w:p>
    <w:p>
      <w:pPr>
        <w:spacing w:after="100"/>
      </w:pPr>
      <w:r>
        <w:t xml:space="preserve">Ethereum is a decentralized, open-source blockchain platform that enables developers to build and deploy smart contracts and decentralized applications (dApps). It functions as a programmable 'world computer' where code executes deterministically across thousands of nodes without a central authority. The Ethereum Virtual Machine (EVM) serves as the execution environment, processing transactions and running smart contracts written primarily in Solidity. The platform supports a vast ecosystem of financial protocols (Aave, Uniswap, MakerDAO), NFT marketplaces (OpenSea, Blur), layer-2 scaling solutions (Arbitrum, Optimism, Base), and real-world asset tokenization platforms.</w:t>
      </w:r>
    </w:p>
    <w:p>
      <w:pPr>
        <w:spacing w:after="100"/>
      </w:pPr>
      <w:r>
        <w:rPr>
          <w:b/>
          <w:bCs/>
        </w:rPr>
        <w:t xml:space="preserve">The Market</w:t>
      </w:r>
    </w:p>
    <w:p>
      <w:pPr>
        <w:spacing w:after="100"/>
      </w:pPr>
      <w:r>
        <w:t xml:space="preserve">The smart contract platform market is valued at over $500 billion in aggregate market cap. Ethereum dominates with roughly 55-60% of total DeFi TVL across all chains. Key competitors include Solana (high throughput, low fees), Avalanche (subnet architecture), and various L2s that technically extend Ethereum's capacity. The broader DeFi market has grown from ~$1B TVL in early 2020 to over $100B by late 2025. Ethereum's L2 ecosystem (Arbitrum, Optimism, Base, zkSync, Starknet) collectively processes more transactions than Ethereum mainnet, extending its economic reach.</w:t>
      </w:r>
    </w:p>
    <w:p>
      <w:pPr>
        <w:spacing w:before="200" w:after="200"/>
      </w:pPr>
      <w:r>
        <w:t xml:space="preserve">═══════════════════════════════════════════════════════════════════</w:t>
      </w:r>
    </w:p>
    <w:p>
      <w:pPr>
        <w:pStyle w:val="Heading2"/>
        <w:spacing w:before="300" w:after="100"/>
      </w:pPr>
      <w:r>
        <w:rPr>
          <w:b/>
          <w:bCs/>
        </w:rPr>
        <w:t xml:space="preserve">THE PROTOCOL</w:t>
      </w:r>
    </w:p>
    <w:p>
      <w:pPr>
        <w:spacing w:before="100" w:after="100"/>
      </w:pPr>
      <w:r>
        <w:t xml:space="preserve">───────────────────────────────────────────────────────────────────</w:t>
      </w:r>
    </w:p>
    <w:p>
      <w:pPr>
        <w:spacing w:after="100"/>
      </w:pPr>
      <w:r>
        <w:rPr>
          <w:b/>
          <w:bCs/>
        </w:rPr>
        <w:t xml:space="preserve">How It Works</w:t>
      </w:r>
    </w:p>
    <w:p>
      <w:pPr>
        <w:spacing w:after="100"/>
      </w:pPr>
      <w:r>
        <w:t xml:space="preserve">Ethereum uses Proof of Stake consensus where validators stake 32 ETH to participate in block production and attestation. The Beacon Chain coordinates validators, with blocks proposed every 12 seconds in slots grouped into 32-slot epochs. The EVM executes smart contracts in a sandboxed environment, with gas fees denominating computational costs. EIP-1559 (London upgrade, August 2021) introduced a base fee that is burned and a priority tip paid to validators, creating deflationary tokenomics when network usage is high. Layer-2 rollups (optimistic and zero-knowledge) batch transactions off-chain and post proofs/data to Ethereum mainnet for security. Ethereum's roadmap includes proto-danksharding (EIP-4844, implemented March 2024) which dramatically reduced L2 data costs via 'blob' transactions, and future full danksharding for further scalability.</w:t>
      </w:r>
    </w:p>
    <w:p>
      <w:pPr>
        <w:spacing w:after="100"/>
      </w:pPr>
      <w:r>
        <w:rPr>
          <w:b/>
          <w:bCs/>
        </w:rPr>
        <w:t xml:space="preserve">Competitive Advantage</w:t>
      </w:r>
    </w:p>
    <w:p>
      <w:pPr>
        <w:spacing w:after="100"/>
      </w:pPr>
      <w:r>
        <w:t xml:space="preserve">Ethereum has the strongest network effects in crypto: largest developer community (4,000+ monthly active developers per Electric Capital reports), most DeFi TVL ($60B+), most extensive tooling ecosystem (Hardhat, Foundry, OpenZeppelin), deepest liquidity, most L2 rollups building on its security, and the most institutional adoption (spot ETH ETFs approved in 2024, enterprise adoption via EEA). The EVM standard has become the de facto smart contract runtime, adopted by dozens of competing chains. Ethereum's credible neutrality and progressive decentralization (no single foundation or VC controls it) are additional moats.</w:t>
      </w:r>
    </w:p>
    <w:p>
      <w:pPr>
        <w:spacing w:after="100"/>
      </w:pPr>
      <w:r>
        <w:rPr>
          <w:b/>
          <w:bCs/>
        </w:rPr>
        <w:t xml:space="preserve">Traction &amp;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Metric</w:t>
            </w:r>
          </w:p>
        </w:tc>
        <w:tc>
          <w:tcPr>
            <w:tcW w:type="dxa" w:w="3000"/>
            <w:tcBorders>
              <w:top w:val="single" w:color="999999" w:sz="1"/>
              <w:left w:val="single" w:color="999999" w:sz="1"/>
              <w:bottom w:val="single" w:color="999999" w:sz="1"/>
              <w:right w:val="single" w:color="999999" w:sz="1"/>
            </w:tcBorders>
          </w:tcPr>
          <w:p>
            <w:r>
              <w:rPr>
                <w:b/>
                <w:bCs/>
              </w:rPr>
              <w:t xml:space="preserve">Value</w:t>
            </w:r>
          </w:p>
        </w:tc>
        <w:tc>
          <w:tcPr>
            <w:tcW w:type="dxa" w:w="3000"/>
            <w:tcBorders>
              <w:top w:val="single" w:color="999999" w:sz="1"/>
              <w:left w:val="single" w:color="999999" w:sz="1"/>
              <w:bottom w:val="single" w:color="999999" w:sz="1"/>
              <w:right w:val="single" w:color="999999" w:sz="1"/>
            </w:tcBorders>
          </w:tcPr>
          <w:p>
            <w:r>
              <w:rPr>
                <w:b/>
                <w:bCs/>
              </w:rPr>
              <w:t xml:space="preserve">Context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Market Cap</w:t>
            </w:r>
          </w:p>
        </w:tc>
        <w:tc>
          <w:tcPr>
            <w:tcW w:type="dxa" w:w="3000"/>
            <w:tcBorders>
              <w:top w:val="single" w:color="999999" w:sz="1"/>
              <w:left w:val="single" w:color="999999" w:sz="1"/>
              <w:bottom w:val="single" w:color="999999" w:sz="1"/>
              <w:right w:val="single" w:color="999999" w:sz="1"/>
            </w:tcBorders>
          </w:tcPr>
          <w:p>
            <w:r>
              <w:rPr>
                <w:b w:val="false"/>
                <w:bCs w:val="false"/>
              </w:rPr>
              <w:t xml:space="preserve">~$352B</w:t>
            </w:r>
          </w:p>
        </w:tc>
        <w:tc>
          <w:tcPr>
            <w:tcW w:type="dxa" w:w="3000"/>
            <w:tcBorders>
              <w:top w:val="single" w:color="999999" w:sz="1"/>
              <w:left w:val="single" w:color="999999" w:sz="1"/>
              <w:bottom w:val="single" w:color="999999" w:sz="1"/>
              <w:right w:val="single" w:color="999999" w:sz="1"/>
            </w:tcBorders>
          </w:tcPr>
          <w:p>
            <w:r>
              <w:rPr>
                <w:b w:val="false"/>
                <w:bCs w:val="false"/>
              </w:rPr>
              <w:t xml:space="preserve">Rank #2 behind Bitcoin (CoinGecko, Jan 2026)</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TVL (DeFi)</w:t>
            </w:r>
          </w:p>
        </w:tc>
        <w:tc>
          <w:tcPr>
            <w:tcW w:type="dxa" w:w="3000"/>
            <w:tcBorders>
              <w:top w:val="single" w:color="999999" w:sz="1"/>
              <w:left w:val="single" w:color="999999" w:sz="1"/>
              <w:bottom w:val="single" w:color="999999" w:sz="1"/>
              <w:right w:val="single" w:color="999999" w:sz="1"/>
            </w:tcBorders>
          </w:tcPr>
          <w:p>
            <w:r>
              <w:rPr>
                <w:b w:val="false"/>
                <w:bCs w:val="false"/>
              </w:rPr>
              <w:t xml:space="preserve">~$60B+</w:t>
            </w:r>
          </w:p>
        </w:tc>
        <w:tc>
          <w:tcPr>
            <w:tcW w:type="dxa" w:w="3000"/>
            <w:tcBorders>
              <w:top w:val="single" w:color="999999" w:sz="1"/>
              <w:left w:val="single" w:color="999999" w:sz="1"/>
              <w:bottom w:val="single" w:color="999999" w:sz="1"/>
              <w:right w:val="single" w:color="999999" w:sz="1"/>
            </w:tcBorders>
          </w:tcPr>
          <w:p>
            <w:r>
              <w:rPr>
                <w:b w:val="false"/>
                <w:bCs w:val="false"/>
              </w:rPr>
              <w:t xml:space="preserve">Largest DeFi ecosystem across all chains (DefiLlama)</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Daily Active Addresses</w:t>
            </w:r>
          </w:p>
        </w:tc>
        <w:tc>
          <w:tcPr>
            <w:tcW w:type="dxa" w:w="3000"/>
            <w:tcBorders>
              <w:top w:val="single" w:color="999999" w:sz="1"/>
              <w:left w:val="single" w:color="999999" w:sz="1"/>
              <w:bottom w:val="single" w:color="999999" w:sz="1"/>
              <w:right w:val="single" w:color="999999" w:sz="1"/>
            </w:tcBorders>
          </w:tcPr>
          <w:p>
            <w:r>
              <w:rPr>
                <w:b w:val="false"/>
                <w:bCs w:val="false"/>
              </w:rPr>
              <w:t xml:space="preserve">~400K-500K mainnet</w:t>
            </w:r>
          </w:p>
        </w:tc>
        <w:tc>
          <w:tcPr>
            <w:tcW w:type="dxa" w:w="3000"/>
            <w:tcBorders>
              <w:top w:val="single" w:color="999999" w:sz="1"/>
              <w:left w:val="single" w:color="999999" w:sz="1"/>
              <w:bottom w:val="single" w:color="999999" w:sz="1"/>
              <w:right w:val="single" w:color="999999" w:sz="1"/>
            </w:tcBorders>
          </w:tcPr>
          <w:p>
            <w:r>
              <w:rPr>
                <w:b w:val="false"/>
                <w:bCs w:val="false"/>
              </w:rPr>
              <w:t xml:space="preserve">Millions more on L2s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Revenue (Annualized)</w:t>
            </w:r>
          </w:p>
        </w:tc>
        <w:tc>
          <w:tcPr>
            <w:tcW w:type="dxa" w:w="3000"/>
            <w:tcBorders>
              <w:top w:val="single" w:color="999999" w:sz="1"/>
              <w:left w:val="single" w:color="999999" w:sz="1"/>
              <w:bottom w:val="single" w:color="999999" w:sz="1"/>
              <w:right w:val="single" w:color="999999" w:sz="1"/>
            </w:tcBorders>
          </w:tcPr>
          <w:p>
            <w:r>
              <w:rPr>
                <w:b w:val="false"/>
                <w:bCs w:val="false"/>
              </w:rPr>
              <w:t xml:space="preserve">~$2-4B</w:t>
            </w:r>
          </w:p>
        </w:tc>
        <w:tc>
          <w:tcPr>
            <w:tcW w:type="dxa" w:w="3000"/>
            <w:tcBorders>
              <w:top w:val="single" w:color="999999" w:sz="1"/>
              <w:left w:val="single" w:color="999999" w:sz="1"/>
              <w:bottom w:val="single" w:color="999999" w:sz="1"/>
              <w:right w:val="single" w:color="999999" w:sz="1"/>
            </w:tcBorders>
          </w:tcPr>
          <w:p>
            <w:r>
              <w:rPr>
                <w:b w:val="false"/>
                <w:bCs w:val="false"/>
              </w:rPr>
              <w:t xml:space="preserve">From gas fees; varies with network activity</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Staked ETH</w:t>
            </w:r>
          </w:p>
        </w:tc>
        <w:tc>
          <w:tcPr>
            <w:tcW w:type="dxa" w:w="3000"/>
            <w:tcBorders>
              <w:top w:val="single" w:color="999999" w:sz="1"/>
              <w:left w:val="single" w:color="999999" w:sz="1"/>
              <w:bottom w:val="single" w:color="999999" w:sz="1"/>
              <w:right w:val="single" w:color="999999" w:sz="1"/>
            </w:tcBorders>
          </w:tcPr>
          <w:p>
            <w:r>
              <w:rPr>
                <w:b w:val="false"/>
                <w:bCs w:val="false"/>
              </w:rPr>
              <w:t xml:space="preserve">~34M ETH (~28%)</w:t>
            </w:r>
          </w:p>
        </w:tc>
        <w:tc>
          <w:tcPr>
            <w:tcW w:type="dxa" w:w="3000"/>
            <w:tcBorders>
              <w:top w:val="single" w:color="999999" w:sz="1"/>
              <w:left w:val="single" w:color="999999" w:sz="1"/>
              <w:bottom w:val="single" w:color="999999" w:sz="1"/>
              <w:right w:val="single" w:color="999999" w:sz="1"/>
            </w:tcBorders>
          </w:tcPr>
          <w:p>
            <w:r>
              <w:rPr>
                <w:b w:val="false"/>
                <w:bCs w:val="false"/>
              </w:rPr>
              <w:t xml:space="preserve">Via 1M+ validators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L2 TVL</w:t>
            </w:r>
          </w:p>
        </w:tc>
        <w:tc>
          <w:tcPr>
            <w:tcW w:type="dxa" w:w="3000"/>
            <w:tcBorders>
              <w:top w:val="single" w:color="999999" w:sz="1"/>
              <w:left w:val="single" w:color="999999" w:sz="1"/>
              <w:bottom w:val="single" w:color="999999" w:sz="1"/>
              <w:right w:val="single" w:color="999999" w:sz="1"/>
            </w:tcBorders>
          </w:tcPr>
          <w:p>
            <w:r>
              <w:rPr>
                <w:b w:val="false"/>
                <w:bCs w:val="false"/>
              </w:rPr>
              <w:t xml:space="preserve">~$40B+</w:t>
            </w:r>
          </w:p>
        </w:tc>
        <w:tc>
          <w:tcPr>
            <w:tcW w:type="dxa" w:w="3000"/>
            <w:tcBorders>
              <w:top w:val="single" w:color="999999" w:sz="1"/>
              <w:left w:val="single" w:color="999999" w:sz="1"/>
              <w:bottom w:val="single" w:color="999999" w:sz="1"/>
              <w:right w:val="single" w:color="999999" w:sz="1"/>
            </w:tcBorders>
          </w:tcPr>
          <w:p>
            <w:r>
              <w:rPr>
                <w:b w:val="false"/>
                <w:bCs w:val="false"/>
              </w:rPr>
              <w:t xml:space="preserve">Arbitrum, Optimism, Base lead</w:t>
            </w:r>
          </w:p>
        </w:tc>
      </w:tr>
    </w:tbl>
    <w:p>
      <w:pPr>
        <w:spacing w:before="200" w:after="200"/>
      </w:pPr>
      <w:r>
        <w:t xml:space="preserve">═══════════════════════════════════════════════════════════════════</w:t>
      </w:r>
    </w:p>
    <w:p>
      <w:pPr>
        <w:pStyle w:val="Heading2"/>
        <w:spacing w:before="300" w:after="100"/>
      </w:pPr>
      <w:r>
        <w:rPr>
          <w:b/>
          <w:bCs/>
        </w:rPr>
        <w:t xml:space="preserve">TOKENOMICS</w:t>
      </w:r>
    </w:p>
    <w:p>
      <w:pPr>
        <w:spacing w:before="100" w:after="100"/>
      </w:pPr>
      <w:r>
        <w:t xml:space="preserve">───────────────────────────────────────────────────────────────────</w:t>
      </w:r>
    </w:p>
    <w:p>
      <w:pPr>
        <w:spacing w:after="100"/>
      </w:pPr>
      <w:r>
        <w:rPr>
          <w:b/>
          <w:bCs/>
        </w:rPr>
        <w:t xml:space="preserve">Token Utility</w:t>
      </w:r>
    </w:p>
    <w:p>
      <w:pPr>
        <w:spacing w:after="100"/>
      </w:pPr>
      <w:r>
        <w:t xml:space="preserve">ETH serves as: (1) Gas — required to pay for all transactions and smart contract executions on mainnet; (2) Staking — validators must stake 32 ETH (or use liquid staking protocols like Lido) to secure the network, earning ~3-4% APR; (3) Collateral — widely used as collateral in DeFi lending protocols; (4) Store of Value — institutional adoption via ETFs; (5) Fee Burn — EIP-1559 burns the base fee portion of every transaction, reducing supply.</w:t>
      </w:r>
    </w:p>
    <w:p>
      <w:pPr>
        <w:spacing w:after="100"/>
      </w:pPr>
      <w:r>
        <w:rPr>
          <w:b/>
          <w:bCs/>
        </w:rPr>
        <w:t xml:space="preserve">Supply &amp;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Category</w:t>
            </w:r>
          </w:p>
        </w:tc>
        <w:tc>
          <w:tcPr>
            <w:tcW w:type="dxa" w:w="3000"/>
            <w:tcBorders>
              <w:top w:val="single" w:color="999999" w:sz="1"/>
              <w:left w:val="single" w:color="999999" w:sz="1"/>
              <w:bottom w:val="single" w:color="999999" w:sz="1"/>
              <w:right w:val="single" w:color="999999" w:sz="1"/>
            </w:tcBorders>
          </w:tcPr>
          <w:p>
            <w:r>
              <w:rPr>
                <w:b/>
                <w:bCs/>
              </w:rPr>
              <w:t xml:space="preserve">Allocation</w:t>
            </w:r>
          </w:p>
        </w:tc>
        <w:tc>
          <w:tcPr>
            <w:tcW w:type="dxa" w:w="3000"/>
            <w:tcBorders>
              <w:top w:val="single" w:color="999999" w:sz="1"/>
              <w:left w:val="single" w:color="999999" w:sz="1"/>
              <w:bottom w:val="single" w:color="999999" w:sz="1"/>
              <w:right w:val="single" w:color="999999" w:sz="1"/>
            </w:tcBorders>
          </w:tcPr>
          <w:p>
            <w:r>
              <w:rPr>
                <w:b/>
                <w:bCs/>
              </w:rPr>
              <w:t xml:space="preserve">Vesting</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ICO (2014)</w:t>
            </w:r>
          </w:p>
        </w:tc>
        <w:tc>
          <w:tcPr>
            <w:tcW w:type="dxa" w:w="3000"/>
            <w:tcBorders>
              <w:top w:val="single" w:color="999999" w:sz="1"/>
              <w:left w:val="single" w:color="999999" w:sz="1"/>
              <w:bottom w:val="single" w:color="999999" w:sz="1"/>
              <w:right w:val="single" w:color="999999" w:sz="1"/>
            </w:tcBorders>
          </w:tcPr>
          <w:p>
            <w:r>
              <w:rPr>
                <w:b w:val="false"/>
                <w:bCs w:val="false"/>
              </w:rPr>
              <w:t xml:space="preserve">~60M ETH</w:t>
            </w:r>
          </w:p>
        </w:tc>
        <w:tc>
          <w:tcPr>
            <w:tcW w:type="dxa" w:w="3000"/>
            <w:tcBorders>
              <w:top w:val="single" w:color="999999" w:sz="1"/>
              <w:left w:val="single" w:color="999999" w:sz="1"/>
              <w:bottom w:val="single" w:color="999999" w:sz="1"/>
              <w:right w:val="single" w:color="999999" w:sz="1"/>
            </w:tcBorders>
          </w:tcPr>
          <w:p>
            <w:r>
              <w:rPr>
                <w:b w:val="false"/>
                <w:bCs w:val="false"/>
              </w:rPr>
              <w:t xml:space="preserve">No vesting; distributed at launch</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Ethereum Foundation</w:t>
            </w:r>
          </w:p>
        </w:tc>
        <w:tc>
          <w:tcPr>
            <w:tcW w:type="dxa" w:w="3000"/>
            <w:tcBorders>
              <w:top w:val="single" w:color="999999" w:sz="1"/>
              <w:left w:val="single" w:color="999999" w:sz="1"/>
              <w:bottom w:val="single" w:color="999999" w:sz="1"/>
              <w:right w:val="single" w:color="999999" w:sz="1"/>
            </w:tcBorders>
          </w:tcPr>
          <w:p>
            <w:r>
              <w:rPr>
                <w:b w:val="false"/>
                <w:bCs w:val="false"/>
              </w:rPr>
              <w:t xml:space="preserve">~12M ETH initial</w:t>
            </w:r>
          </w:p>
        </w:tc>
        <w:tc>
          <w:tcPr>
            <w:tcW w:type="dxa" w:w="3000"/>
            <w:tcBorders>
              <w:top w:val="single" w:color="999999" w:sz="1"/>
              <w:left w:val="single" w:color="999999" w:sz="1"/>
              <w:bottom w:val="single" w:color="999999" w:sz="1"/>
              <w:right w:val="single" w:color="999999" w:sz="1"/>
            </w:tcBorders>
          </w:tcPr>
          <w:p>
            <w:r>
              <w:rPr>
                <w:b w:val="false"/>
                <w:bCs w:val="false"/>
              </w:rPr>
              <w:t xml:space="preserve">Spent over years on development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Mining rewards (2015-2022)</w:t>
            </w:r>
          </w:p>
        </w:tc>
        <w:tc>
          <w:tcPr>
            <w:tcW w:type="dxa" w:w="3000"/>
            <w:tcBorders>
              <w:top w:val="single" w:color="999999" w:sz="1"/>
              <w:left w:val="single" w:color="999999" w:sz="1"/>
              <w:bottom w:val="single" w:color="999999" w:sz="1"/>
              <w:right w:val="single" w:color="999999" w:sz="1"/>
            </w:tcBorders>
          </w:tcPr>
          <w:p>
            <w:r>
              <w:rPr>
                <w:b w:val="false"/>
                <w:bCs w:val="false"/>
              </w:rPr>
              <w:t xml:space="preserve">~58M ETH issued</w:t>
            </w:r>
          </w:p>
        </w:tc>
        <w:tc>
          <w:tcPr>
            <w:tcW w:type="dxa" w:w="3000"/>
            <w:tcBorders>
              <w:top w:val="single" w:color="999999" w:sz="1"/>
              <w:left w:val="single" w:color="999999" w:sz="1"/>
              <w:bottom w:val="single" w:color="999999" w:sz="1"/>
              <w:right w:val="single" w:color="999999" w:sz="1"/>
            </w:tcBorders>
          </w:tcPr>
          <w:p>
            <w:r>
              <w:rPr>
                <w:b w:val="false"/>
                <w:bCs w:val="false"/>
              </w:rPr>
              <w:t xml:space="preserve">No longer active post-Merge</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Staking rewards (2022+)</w:t>
            </w:r>
          </w:p>
        </w:tc>
        <w:tc>
          <w:tcPr>
            <w:tcW w:type="dxa" w:w="3000"/>
            <w:tcBorders>
              <w:top w:val="single" w:color="999999" w:sz="1"/>
              <w:left w:val="single" w:color="999999" w:sz="1"/>
              <w:bottom w:val="single" w:color="999999" w:sz="1"/>
              <w:right w:val="single" w:color="999999" w:sz="1"/>
            </w:tcBorders>
          </w:tcPr>
          <w:p>
            <w:r>
              <w:rPr>
                <w:b w:val="false"/>
                <w:bCs w:val="false"/>
              </w:rPr>
              <w:t xml:space="preserve">~3-4% annual issuance</w:t>
            </w:r>
          </w:p>
        </w:tc>
        <w:tc>
          <w:tcPr>
            <w:tcW w:type="dxa" w:w="3000"/>
            <w:tcBorders>
              <w:top w:val="single" w:color="999999" w:sz="1"/>
              <w:left w:val="single" w:color="999999" w:sz="1"/>
              <w:bottom w:val="single" w:color="999999" w:sz="1"/>
              <w:right w:val="single" w:color="999999" w:sz="1"/>
            </w:tcBorders>
          </w:tcPr>
          <w:p>
            <w:r>
              <w:rPr>
                <w:b w:val="false"/>
                <w:bCs w:val="false"/>
              </w:rPr>
              <w:t xml:space="preserve">Ongoing; partially offset by burns</w:t>
            </w:r>
          </w:p>
        </w:tc>
      </w:tr>
    </w:tbl>
    <w:p>
      <w:pPr>
        <w:spacing w:after="100"/>
      </w:pPr>
      <w:r>
        <w:t xml:space="preserve">Current circulating: ~120.5M ETH</w:t>
      </w:r>
    </w:p>
    <w:p>
      <w:pPr>
        <w:spacing w:after="100"/>
      </w:pPr>
      <w:r>
        <w:t xml:space="preserve">Max supply: No hard cap; net supply change depends on burn rate vs issuance (~0.5-1% net inflation or deflation depending on activity)</w:t>
      </w:r>
    </w:p>
    <w:p>
      <w:pPr>
        <w:spacing w:after="100"/>
      </w:pPr>
      <w:r>
        <w:t xml:space="preserve">Inflation rate: ~0.5-1% gross issuance; net can be deflationary during high activity</w:t>
      </w:r>
    </w:p>
    <w:p>
      <w:pPr>
        <w:spacing w:after="100"/>
      </w:pPr>
      <w:r>
        <w:t xml:space="preserve">Upcoming unlocks: No scheduled unlocks; ETH staking withdrawals enabled since Shanghai upgrade (April 2023)</w:t>
      </w:r>
    </w:p>
    <w:p>
      <w:pPr>
        <w:spacing w:after="100"/>
      </w:pPr>
      <w:r>
        <w:rPr>
          <w:b/>
          <w:bCs/>
        </w:rPr>
        <w:t xml:space="preserve">Value Accrual</w:t>
      </w:r>
    </w:p>
    <w:p>
      <w:pPr>
        <w:spacing w:after="100"/>
      </w:pPr>
      <w:r>
        <w:t xml:space="preserve">ETH accrues value through: (1) EIP-1559 burn mechanism — during high activity periods, more ETH is burned than issued, making ETH deflationary; (2) Staking yield — validators earn protocol rewards + priority fees + MEV; (3) Monetary premium — ETH serves as the primary collateral and gas asset across the largest DeFi ecosystem; (4) L2 settlement fees — rollups pay ETH for data availability and settlement on mainnet.</w:t>
      </w:r>
    </w:p>
    <w:p>
      <w:pPr>
        <w:spacing w:before="200" w:after="200"/>
      </w:pPr>
      <w:r>
        <w:t xml:space="preserve">═══════════════════════════════════════════════════════════════════</w:t>
      </w:r>
    </w:p>
    <w:p>
      <w:pPr>
        <w:pStyle w:val="Heading2"/>
        <w:spacing w:before="300" w:after="100"/>
      </w:pPr>
      <w:r>
        <w:rPr>
          <w:b/>
          <w:bCs/>
        </w:rPr>
        <w:t xml:space="preserve">TEAM &amp; BACKERS</w:t>
      </w:r>
    </w:p>
    <w:p>
      <w:pPr>
        <w:spacing w:before="100" w:after="100"/>
      </w:pPr>
      <w:r>
        <w:t xml:space="preserve">───────────────────────────────────────────────────────────────────</w:t>
      </w:r>
    </w:p>
    <w:p>
      <w:pPr>
        <w:spacing w:after="100"/>
      </w:pPr>
      <w:r>
        <w:rPr>
          <w:b/>
          <w:bCs/>
        </w:rPr>
        <w:t xml:space="preserve">Team</w:t>
      </w:r>
    </w:p>
    <w:p>
      <w:pPr>
        <w:spacing w:after="100"/>
      </w:pPr>
      <w:r>
        <w:t xml:space="preserve">Founded by Vitalik Buterin (public figure, active researcher/thought leader), Gavin Wood (left to create Polkadot), Joseph Lubin (founded ConsenSys), Charles Hoskinson (left to create Cardano), and others. The Ethereum Foundation, led by Executive Director Aya Miyaguchi, coordinates core development but does not control the protocol. Core development is distributed across multiple independent teams: Geth (Go), Prysm, Lighthouse, Teku, Nethermind, Erigon, and others. All key contributors are doxxed.</w:t>
      </w:r>
    </w:p>
    <w:p>
      <w:pPr>
        <w:spacing w:after="100"/>
      </w:pPr>
      <w:r>
        <w:rPr>
          <w:b/>
          <w:bCs/>
        </w:rPr>
        <w:t xml:space="preserve">Investors</w:t>
      </w:r>
    </w:p>
    <w:p>
      <w:pPr>
        <w:spacing w:after="100"/>
      </w:pPr>
      <w:r>
        <w:t xml:space="preserve">Original 2014 ICO raised ~$18M from public crowdsale. No traditional VC rounds for the protocol itself. Major institutional holders include Grayscale Ethereum Trust, BlackRock's iShares Ethereum Trust (ETHA), Fidelity, and other spot ETH ETF issuers (approved July 2024). The Ethereum ecosystem has attracted billions in VC funding across L2s, DeFi protocols, and infrastructure.</w:t>
      </w:r>
    </w:p>
    <w:p>
      <w:pPr>
        <w:spacing w:after="100"/>
      </w:pPr>
      <w:r>
        <w:rPr>
          <w:b/>
          <w:bCs/>
        </w:rPr>
        <w:t xml:space="preserve">Community &amp; Governance</w:t>
      </w:r>
    </w:p>
    <w:p>
      <w:pPr>
        <w:spacing w:after="100"/>
      </w:pPr>
      <w:r>
        <w:t xml:space="preserve">Largest blockchain developer community globally. Reddit r/ethereum: 2M+ members. @ethereum Twitter: 3.5M+ followers. Thousands of active governance participants via EIPs (Ethereum Improvement Proposals). EthGlobal hackathons regularly attract thousands of builders. DevConnect and Devcon conferences are premier industry events.</w:t>
      </w:r>
    </w:p>
    <w:p>
      <w:pPr>
        <w:spacing w:before="200" w:after="200"/>
      </w:pPr>
      <w:r>
        <w:t xml:space="preserve">═══════════════════════════════════════════════════════════════════</w:t>
      </w:r>
    </w:p>
    <w:p>
      <w:pPr>
        <w:pStyle w:val="Heading2"/>
        <w:spacing w:before="300" w:after="100"/>
      </w:pPr>
      <w:r>
        <w:rPr>
          <w:b/>
          <w:bCs/>
        </w:rPr>
        <w:t xml:space="preserve">RISKS</w:t>
      </w:r>
    </w:p>
    <w:p>
      <w:pPr>
        <w:spacing w:before="100" w:after="100"/>
      </w:pPr>
      <w:r>
        <w:t xml:space="preserve">───────────────────────────────────────────────────────────────────</w:t>
      </w:r>
    </w:p>
    <w:p>
      <w:pPr>
        <w:spacing w:after="100"/>
      </w:pPr>
      <w:r>
        <w:rPr>
          <w:b/>
          <w:bCs/>
        </w:rPr>
        <w:t xml:space="preserve">L2 Fragmentation (MEDIUM)</w:t>
      </w:r>
    </w:p>
    <w:p>
      <w:pPr>
        <w:spacing w:after="100"/>
      </w:pPr>
      <w:r>
        <w:t xml:space="preserve">The proliferation of L2 rollups could fragment liquidity and user experience, potentially reducing mainnet fee revenue and the ETH burn rate. Cross-L2 interoperability remains an unsolved challenge.</w:t>
      </w:r>
    </w:p>
    <w:p>
      <w:pPr>
        <w:spacing w:after="100"/>
      </w:pPr>
      <w:r>
        <w:rPr>
          <w:b/>
          <w:bCs/>
        </w:rPr>
        <w:t xml:space="preserve">Regulatory Risk (MEDIUM)</w:t>
      </w:r>
    </w:p>
    <w:p>
      <w:pPr>
        <w:spacing w:after="100"/>
      </w:pPr>
      <w:r>
        <w:t xml:space="preserve">Despite spot ETF approval in the US, ETH's regulatory classification remains debated. The SEC has not formally declared ETH a commodity. Staking services face potential securities classification risks.</w:t>
      </w:r>
    </w:p>
    <w:p>
      <w:pPr>
        <w:spacing w:after="100"/>
      </w:pPr>
      <w:r>
        <w:rPr>
          <w:b/>
          <w:bCs/>
        </w:rPr>
        <w:t xml:space="preserve">Competition from Alt-L1s (LOW)</w:t>
      </w:r>
    </w:p>
    <w:p>
      <w:pPr>
        <w:spacing w:after="100"/>
      </w:pPr>
      <w:r>
        <w:t xml:space="preserve">Solana, Sui, and other high-performance L1s offer better UX for certain use cases (payments, gaming, consumer apps). Ethereum's mainnet remains expensive for small transactions, though L2s mitigate this.</w:t>
      </w:r>
    </w:p>
    <w:p>
      <w:pPr>
        <w:spacing w:after="100"/>
      </w:pPr>
      <w:r>
        <w:rPr>
          <w:b/>
          <w:bCs/>
        </w:rPr>
        <w:t xml:space="preserve">Centralization Concerns (MEDIUM)</w:t>
      </w:r>
    </w:p>
    <w:p>
      <w:pPr>
        <w:spacing w:after="100"/>
      </w:pPr>
      <w:r>
        <w:t xml:space="preserve">Lido controls ~28-30% of staked ETH. Block building is concentrated among a few MEV-boost relays. Client diversity has improved but Geth still runs ~60%+ of execution clients.</w:t>
      </w:r>
    </w:p>
    <w:p>
      <w:pPr>
        <w:spacing w:before="200" w:after="200"/>
      </w:pPr>
      <w:r>
        <w:t xml:space="preserve">═══════════════════════════════════════════════════════════════════</w:t>
      </w:r>
    </w:p>
    <w:p>
      <w:pPr>
        <w:pStyle w:val="Heading2"/>
        <w:spacing w:before="300" w:after="100"/>
      </w:pPr>
      <w:r>
        <w:rPr>
          <w:b/>
          <w:bCs/>
        </w:rPr>
        <w:t xml:space="preserve">CATALYSTS &amp; TIMELINE</w:t>
      </w:r>
    </w:p>
    <w:p>
      <w:pPr>
        <w:spacing w:before="100" w:after="10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Catalyst</w:t>
            </w:r>
          </w:p>
        </w:tc>
        <w:tc>
          <w:tcPr>
            <w:tcW w:type="dxa" w:w="3000"/>
            <w:tcBorders>
              <w:top w:val="single" w:color="999999" w:sz="1"/>
              <w:left w:val="single" w:color="999999" w:sz="1"/>
              <w:bottom w:val="single" w:color="999999" w:sz="1"/>
              <w:right w:val="single" w:color="999999" w:sz="1"/>
            </w:tcBorders>
          </w:tcPr>
          <w:p>
            <w:r>
              <w:rPr>
                <w:b/>
                <w:bCs/>
              </w:rPr>
              <w:t xml:space="preserve">Expected</w:t>
            </w:r>
          </w:p>
        </w:tc>
        <w:tc>
          <w:tcPr>
            <w:tcW w:type="dxa" w:w="3000"/>
            <w:tcBorders>
              <w:top w:val="single" w:color="999999" w:sz="1"/>
              <w:left w:val="single" w:color="999999" w:sz="1"/>
              <w:bottom w:val="single" w:color="999999" w:sz="1"/>
              <w:right w:val="single" w:color="999999" w:sz="1"/>
            </w:tcBorders>
          </w:tcPr>
          <w:p>
            <w:r>
              <w:rPr>
                <w:b/>
                <w:bCs/>
              </w:rPr>
              <w:t xml:space="preserve">Impact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Pectra Upgrade</w:t>
            </w:r>
          </w:p>
        </w:tc>
        <w:tc>
          <w:tcPr>
            <w:tcW w:type="dxa" w:w="3000"/>
            <w:tcBorders>
              <w:top w:val="single" w:color="999999" w:sz="1"/>
              <w:left w:val="single" w:color="999999" w:sz="1"/>
              <w:bottom w:val="single" w:color="999999" w:sz="1"/>
              <w:right w:val="single" w:color="999999" w:sz="1"/>
            </w:tcBorders>
          </w:tcPr>
          <w:p>
            <w:r>
              <w:rPr>
                <w:b w:val="false"/>
                <w:bCs w:val="false"/>
              </w:rPr>
              <w:t xml:space="preserve">Q1-Q2 2026</w:t>
            </w:r>
          </w:p>
        </w:tc>
        <w:tc>
          <w:tcPr>
            <w:tcW w:type="dxa" w:w="3000"/>
            <w:tcBorders>
              <w:top w:val="single" w:color="999999" w:sz="1"/>
              <w:left w:val="single" w:color="999999" w:sz="1"/>
              <w:bottom w:val="single" w:color="999999" w:sz="1"/>
              <w:right w:val="single" w:color="999999" w:sz="1"/>
            </w:tcBorders>
          </w:tcPr>
          <w:p>
            <w:r>
              <w:rPr>
                <w:b w:val="false"/>
                <w:bCs w:val="false"/>
              </w:rPr>
              <w:t xml:space="preserve">Account abstraction (EIP-7702), validator consolidation, improved staking</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Full Danksharding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2026-2027</w:t>
            </w:r>
          </w:p>
        </w:tc>
        <w:tc>
          <w:tcPr>
            <w:tcW w:type="dxa" w:w="3000"/>
            <w:tcBorders>
              <w:top w:val="single" w:color="999999" w:sz="1"/>
              <w:left w:val="single" w:color="999999" w:sz="1"/>
              <w:bottom w:val="single" w:color="999999" w:sz="1"/>
              <w:right w:val="single" w:color="999999" w:sz="1"/>
            </w:tcBorders>
          </w:tcPr>
          <w:p>
            <w:r>
              <w:rPr>
                <w:b w:val="false"/>
                <w:bCs w:val="false"/>
              </w:rPr>
              <w:t xml:space="preserve">Massive L2 data cost reduction, enabling sub-cent L2 transactions at scale</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Spot ETH ETF Staking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If approved, could add staking yields to ETF products, increasing institutional demand</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RWA Tokenization Growth</w:t>
            </w:r>
          </w:p>
        </w:tc>
        <w:tc>
          <w:tcPr>
            <w:tcW w:type="dxa" w:w="3000"/>
            <w:tcBorders>
              <w:top w:val="single" w:color="999999" w:sz="1"/>
              <w:left w:val="single" w:color="999999" w:sz="1"/>
              <w:bottom w:val="single" w:color="999999" w:sz="1"/>
              <w:right w:val="single" w:color="999999" w:sz="1"/>
            </w:tcBorders>
          </w:tcPr>
          <w:p>
            <w:r>
              <w:rPr>
                <w:b w:val="false"/>
                <w:bCs w:val="false"/>
              </w:rPr>
              <w:t xml:space="preserve">Ongoing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BlackRock, Franklin Templeton, and others increasingly tokenizing assets on Ethereum</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Verkle Trees</w:t>
            </w:r>
          </w:p>
        </w:tc>
        <w:tc>
          <w:tcPr>
            <w:tcW w:type="dxa" w:w="3000"/>
            <w:tcBorders>
              <w:top w:val="single" w:color="999999" w:sz="1"/>
              <w:left w:val="single" w:color="999999" w:sz="1"/>
              <w:bottom w:val="single" w:color="999999" w:sz="1"/>
              <w:right w:val="single" w:color="999999" w:sz="1"/>
            </w:tcBorders>
          </w:tcPr>
          <w:p>
            <w:r>
              <w:rPr>
                <w:b w:val="false"/>
                <w:bCs w:val="false"/>
              </w:rPr>
              <w:t xml:space="preserve">2026-2027</w:t>
            </w:r>
          </w:p>
        </w:tc>
        <w:tc>
          <w:tcPr>
            <w:tcW w:type="dxa" w:w="3000"/>
            <w:tcBorders>
              <w:top w:val="single" w:color="999999" w:sz="1"/>
              <w:left w:val="single" w:color="999999" w:sz="1"/>
              <w:bottom w:val="single" w:color="999999" w:sz="1"/>
              <w:right w:val="single" w:color="999999" w:sz="1"/>
            </w:tcBorders>
          </w:tcPr>
          <w:p>
            <w:r>
              <w:rPr>
                <w:b w:val="false"/>
                <w:bCs w:val="false"/>
              </w:rPr>
              <w:t xml:space="preserve">Stateless clients, reduced node requirements, improved decentralization</w:t>
            </w:r>
          </w:p>
        </w:tc>
      </w:tr>
    </w:tbl>
    <w:p>
      <w:pPr>
        <w:spacing w:before="200" w:after="200"/>
      </w:pPr>
      <w:r>
        <w:t xml:space="preserve">═══════════════════════════════════════════════════════════════════</w:t>
      </w:r>
    </w:p>
    <w:p>
      <w:pPr>
        <w:pStyle w:val="Heading2"/>
        <w:spacing w:before="300" w:after="100"/>
      </w:pPr>
      <w:r>
        <w:rPr>
          <w:b/>
          <w:bCs/>
        </w:rPr>
        <w:t xml:space="preserve">SOURCES</w:t>
      </w:r>
    </w:p>
    <w:p>
      <w:pPr>
        <w:spacing w:before="100" w:after="100"/>
      </w:pPr>
      <w:r>
        <w:t xml:space="preserve">───────────────────────────────────────────────────────────────────</w:t>
      </w:r>
    </w:p>
    <w:p>
      <w:pPr>
        <w:spacing w:after="50"/>
      </w:pPr>
      <w:r>
        <w:t xml:space="preserve">• CoinGecko API — Market data (accessed Jan 2026)</w:t>
      </w:r>
    </w:p>
    <w:p>
      <w:pPr>
        <w:spacing w:after="50"/>
      </w:pPr>
      <w:r>
        <w:t xml:space="preserve">• ethereum.org — Protocol documentation and roadmap</w:t>
      </w:r>
    </w:p>
    <w:p>
      <w:pPr>
        <w:spacing w:after="50"/>
      </w:pPr>
      <w:r>
        <w:t xml:space="preserve">• DefiLlama — TVL data</w:t>
      </w:r>
    </w:p>
    <w:p>
      <w:pPr>
        <w:spacing w:after="50"/>
      </w:pPr>
      <w:r>
        <w:t xml:space="preserve">• Electric Capital Developer Report — Developer metrics</w:t>
      </w:r>
    </w:p>
    <w:p>
      <w:pPr>
        <w:spacing w:after="50"/>
      </w:pPr>
      <w:r>
        <w:t xml:space="preserve">• EIP-1559 specification (ethereum.org)</w:t>
      </w:r>
    </w:p>
    <w:p>
      <w:pPr>
        <w:spacing w:after="50"/>
      </w:pPr>
      <w:r>
        <w:t xml:space="preserve">• Ethereum Foundation Blog — Upgrade announcements</w:t>
      </w:r>
    </w:p>
    <w:p>
      <w:pPr>
        <w:spacing w:after="50"/>
      </w:pPr>
      <w:r>
        <w:t xml:space="preserve">• ultrasound.money — ETH supply and burn tracking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2026-01-27T18:04:51.111Z</dcterms:created>
  <dcterms:modified xsi:type="dcterms:W3CDTF">2026-01-27T18:04:51.111Z</dcterms:modified>
</cp:coreProperties>
</file>

<file path=docProps/custom.xml><?xml version="1.0" encoding="utf-8"?>
<Properties xmlns="http://schemas.openxmlformats.org/officeDocument/2006/custom-properties" xmlns:vt="http://schemas.openxmlformats.org/officeDocument/2006/docPropsVTypes"/>
</file>